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105A5" w14:textId="77777777" w:rsidR="00AE3430" w:rsidRDefault="00AE3430">
      <w:pPr>
        <w:spacing w:before="0" w:after="200" w:line="276" w:lineRule="auto"/>
      </w:pPr>
    </w:p>
    <w:p w14:paraId="7B32F048" w14:textId="77777777" w:rsidR="00A31053" w:rsidRPr="00A31053" w:rsidRDefault="00A31053" w:rsidP="00836AA4">
      <w:pPr>
        <w:pStyle w:val="AspexClientName0"/>
        <w:rPr>
          <w:sz w:val="72"/>
          <w:szCs w:val="72"/>
        </w:rPr>
      </w:pPr>
    </w:p>
    <w:p w14:paraId="4213C856" w14:textId="77777777" w:rsidR="00AE3430" w:rsidRDefault="008E6665" w:rsidP="00836AA4">
      <w:pPr>
        <w:pStyle w:val="AspexClientName0"/>
      </w:pPr>
      <w:r>
        <w:fldChar w:fldCharType="begin"/>
      </w:r>
      <w:r>
        <w:instrText xml:space="preserve"> DOCPROPERTY  xClient  \* MERGEFORMAT </w:instrText>
      </w:r>
      <w:r>
        <w:fldChar w:fldCharType="separate"/>
      </w:r>
      <w:r w:rsidR="008C3FA8">
        <w:t>Department of Health and Ageing</w:t>
      </w:r>
      <w:r>
        <w:fldChar w:fldCharType="end"/>
      </w:r>
    </w:p>
    <w:p w14:paraId="0BF96024" w14:textId="77777777" w:rsidR="00152F38" w:rsidRPr="00836AA4" w:rsidRDefault="008E6665" w:rsidP="00836AA4">
      <w:pPr>
        <w:pStyle w:val="AspexReportTitle"/>
        <w:rPr>
          <w:sz w:val="22"/>
          <w:szCs w:val="20"/>
        </w:rPr>
      </w:pPr>
      <w:r>
        <w:fldChar w:fldCharType="begin"/>
      </w:r>
      <w:r>
        <w:instrText xml:space="preserve"> DOCPROPERTY  xReportTitle  \* MERGEFORMAT </w:instrText>
      </w:r>
      <w:r>
        <w:fldChar w:fldCharType="separate"/>
      </w:r>
      <w:r w:rsidR="008C3FA8">
        <w:t xml:space="preserve">Analysis of proposed MBS items for Sexual Health Medicine </w:t>
      </w:r>
      <w:r>
        <w:fldChar w:fldCharType="end"/>
      </w:r>
    </w:p>
    <w:p w14:paraId="36BA5D73" w14:textId="77777777" w:rsidR="00A31053" w:rsidRPr="00A31053" w:rsidRDefault="00A31053" w:rsidP="006478D9">
      <w:pPr>
        <w:pStyle w:val="AspexVersion"/>
        <w:rPr>
          <w:sz w:val="72"/>
          <w:szCs w:val="72"/>
        </w:rPr>
      </w:pPr>
    </w:p>
    <w:p w14:paraId="66A91F82" w14:textId="44BBAA02" w:rsidR="00AE3430" w:rsidRPr="00D926BC" w:rsidRDefault="005A7965" w:rsidP="006478D9">
      <w:pPr>
        <w:pStyle w:val="AspexVersion"/>
      </w:pPr>
      <w:r>
        <w:t>Consultant</w:t>
      </w:r>
      <w:r w:rsidR="00B13054">
        <w:t xml:space="preserve"> Report</w:t>
      </w:r>
    </w:p>
    <w:p w14:paraId="448D8A52" w14:textId="77777777" w:rsidR="00A31053" w:rsidRPr="00A31053" w:rsidRDefault="00A31053" w:rsidP="006478D9">
      <w:pPr>
        <w:pStyle w:val="AspexDate"/>
        <w:rPr>
          <w:sz w:val="72"/>
          <w:szCs w:val="72"/>
        </w:rPr>
      </w:pPr>
    </w:p>
    <w:p w14:paraId="12ED12E3" w14:textId="224BB466" w:rsidR="00D066CE" w:rsidRDefault="008E6665" w:rsidP="006478D9">
      <w:pPr>
        <w:pStyle w:val="AspexDate"/>
        <w:sectPr w:rsidR="00D066CE" w:rsidSect="0076777F">
          <w:headerReference w:type="default" r:id="rId10"/>
          <w:footerReference w:type="even" r:id="rId11"/>
          <w:footerReference w:type="default" r:id="rId12"/>
          <w:headerReference w:type="first" r:id="rId13"/>
          <w:footerReference w:type="first" r:id="rId14"/>
          <w:type w:val="continuous"/>
          <w:pgSz w:w="11906" w:h="16838" w:code="9"/>
          <w:pgMar w:top="2835" w:right="1276" w:bottom="1134" w:left="1616" w:header="709" w:footer="709" w:gutter="0"/>
          <w:cols w:space="708"/>
          <w:docGrid w:linePitch="360"/>
        </w:sectPr>
      </w:pPr>
      <w:r>
        <w:fldChar w:fldCharType="begin"/>
      </w:r>
      <w:r>
        <w:instrText xml:space="preserve"> DOCPROPERTY  xDate  \* MERGEFORMAT </w:instrText>
      </w:r>
      <w:r>
        <w:fldChar w:fldCharType="separate"/>
      </w:r>
      <w:r w:rsidR="0033254C">
        <w:t>21</w:t>
      </w:r>
      <w:r w:rsidR="0048077C">
        <w:t xml:space="preserve"> March 2013</w:t>
      </w:r>
      <w:r>
        <w:fldChar w:fldCharType="end"/>
      </w:r>
    </w:p>
    <w:p w14:paraId="2BFA3C2C" w14:textId="341AA5B9" w:rsidR="00B964A9" w:rsidRDefault="00B964A9">
      <w:pPr>
        <w:spacing w:before="0" w:after="0" w:line="240" w:lineRule="auto"/>
      </w:pPr>
      <w:r>
        <w:lastRenderedPageBreak/>
        <w:br w:type="page"/>
      </w:r>
      <w:bookmarkStart w:id="0" w:name="_GoBack"/>
      <w:bookmarkEnd w:id="0"/>
    </w:p>
    <w:p w14:paraId="485DD31B" w14:textId="7EEDDA9E" w:rsidR="00A31053" w:rsidRDefault="00A31053" w:rsidP="00A31053">
      <w:pPr>
        <w:autoSpaceDE w:val="0"/>
        <w:autoSpaceDN w:val="0"/>
        <w:adjustRightInd w:val="0"/>
        <w:spacing w:after="0"/>
        <w:rPr>
          <w:b/>
          <w:bCs/>
          <w:color w:val="000000"/>
          <w:sz w:val="20"/>
          <w:lang w:eastAsia="zh-TW"/>
        </w:rPr>
      </w:pPr>
      <w:r w:rsidRPr="00A31053">
        <w:rPr>
          <w:b/>
          <w:bCs/>
          <w:color w:val="000000"/>
          <w:sz w:val="20"/>
          <w:lang w:eastAsia="zh-TW"/>
        </w:rPr>
        <w:lastRenderedPageBreak/>
        <w:t>Contracted Assessment Report for Application 1171 - Sexual Health Medicine consultation Items</w:t>
      </w:r>
    </w:p>
    <w:p w14:paraId="77A137FD" w14:textId="77777777" w:rsidR="00A31053" w:rsidRPr="00A31053" w:rsidRDefault="00A31053" w:rsidP="00A31053">
      <w:pPr>
        <w:pStyle w:val="AspexBodyStandard"/>
        <w:rPr>
          <w:lang w:eastAsia="zh-TW"/>
        </w:rPr>
      </w:pPr>
    </w:p>
    <w:p w14:paraId="6A838D0E" w14:textId="3927D687" w:rsidR="00A31053" w:rsidRPr="00A31053" w:rsidRDefault="00A31053" w:rsidP="00A31053">
      <w:pPr>
        <w:autoSpaceDE w:val="0"/>
        <w:autoSpaceDN w:val="0"/>
        <w:adjustRightInd w:val="0"/>
        <w:spacing w:after="0"/>
        <w:rPr>
          <w:b/>
          <w:bCs/>
          <w:color w:val="000000"/>
          <w:sz w:val="20"/>
          <w:lang w:eastAsia="zh-TW"/>
        </w:rPr>
      </w:pPr>
      <w:r w:rsidRPr="00A31053">
        <w:rPr>
          <w:b/>
          <w:bCs/>
          <w:color w:val="000000"/>
          <w:sz w:val="20"/>
          <w:lang w:eastAsia="zh-TW"/>
        </w:rPr>
        <w:t xml:space="preserve">Online ISBN: 978-1-74186-113-6 </w:t>
      </w:r>
    </w:p>
    <w:p w14:paraId="18A2BA22" w14:textId="53C74028" w:rsidR="00B964A9" w:rsidRDefault="00A31053" w:rsidP="00A31053">
      <w:pPr>
        <w:autoSpaceDE w:val="0"/>
        <w:autoSpaceDN w:val="0"/>
        <w:adjustRightInd w:val="0"/>
        <w:spacing w:after="0"/>
        <w:rPr>
          <w:b/>
          <w:bCs/>
          <w:color w:val="000000"/>
          <w:sz w:val="20"/>
          <w:lang w:eastAsia="zh-TW"/>
        </w:rPr>
      </w:pPr>
      <w:r w:rsidRPr="00A31053">
        <w:rPr>
          <w:b/>
          <w:bCs/>
          <w:color w:val="000000"/>
          <w:sz w:val="20"/>
          <w:lang w:eastAsia="zh-TW"/>
        </w:rPr>
        <w:t>Publications approval number: 10700</w:t>
      </w:r>
    </w:p>
    <w:p w14:paraId="1DF511DB" w14:textId="77777777" w:rsidR="00A31053" w:rsidRPr="00A31053" w:rsidRDefault="00A31053" w:rsidP="00A31053">
      <w:pPr>
        <w:pStyle w:val="AspexBodyStandard"/>
        <w:rPr>
          <w:lang w:eastAsia="zh-TW"/>
        </w:rPr>
      </w:pPr>
    </w:p>
    <w:p w14:paraId="35CB5D9A" w14:textId="29431BA6" w:rsidR="00B964A9" w:rsidRPr="004D57B3" w:rsidRDefault="00B964A9" w:rsidP="00B964A9">
      <w:pPr>
        <w:autoSpaceDE w:val="0"/>
        <w:autoSpaceDN w:val="0"/>
        <w:adjustRightInd w:val="0"/>
        <w:spacing w:after="0"/>
        <w:rPr>
          <w:b/>
          <w:bCs/>
          <w:color w:val="000000"/>
          <w:sz w:val="20"/>
          <w:lang w:eastAsia="zh-TW"/>
        </w:rPr>
      </w:pPr>
      <w:r w:rsidRPr="004D57B3">
        <w:rPr>
          <w:b/>
          <w:bCs/>
          <w:color w:val="000000"/>
          <w:sz w:val="20"/>
          <w:lang w:eastAsia="zh-TW"/>
        </w:rPr>
        <w:t>Internet sites</w:t>
      </w:r>
      <w:r>
        <w:rPr>
          <w:b/>
          <w:bCs/>
          <w:color w:val="000000"/>
          <w:sz w:val="20"/>
          <w:lang w:eastAsia="zh-TW"/>
        </w:rPr>
        <w:t xml:space="preserve">: </w:t>
      </w:r>
      <w:r>
        <w:rPr>
          <w:rFonts w:cs="Garamond"/>
          <w:color w:val="000000"/>
          <w:sz w:val="20"/>
          <w:lang w:eastAsia="zh-TW"/>
        </w:rPr>
        <w:t>http://</w:t>
      </w:r>
      <w:hyperlink r:id="rId15" w:history="1">
        <w:r w:rsidR="0033254C">
          <w:rPr>
            <w:rStyle w:val="Hyperlink"/>
            <w:rFonts w:cs="Garamond"/>
            <w:sz w:val="20"/>
            <w:lang w:eastAsia="zh-TW"/>
          </w:rPr>
          <w:t>www.msac.gov.au (home page)</w:t>
        </w:r>
      </w:hyperlink>
    </w:p>
    <w:p w14:paraId="05D6C781" w14:textId="77777777" w:rsidR="00E853E7" w:rsidRPr="00362538" w:rsidRDefault="00E853E7" w:rsidP="00E853E7">
      <w:pPr>
        <w:autoSpaceDE w:val="0"/>
        <w:autoSpaceDN w:val="0"/>
        <w:adjustRightInd w:val="0"/>
        <w:rPr>
          <w:rFonts w:ascii="Helv" w:hAnsi="Helv" w:cs="Helv"/>
          <w:color w:val="000000"/>
          <w:sz w:val="20"/>
          <w:szCs w:val="20"/>
        </w:rPr>
      </w:pPr>
      <w:r>
        <w:rPr>
          <w:rFonts w:ascii="Helv" w:hAnsi="Helv" w:cs="Helv"/>
          <w:color w:val="000000"/>
          <w:sz w:val="20"/>
          <w:szCs w:val="20"/>
        </w:rPr>
        <w:t>© Commonwealth of Australia 2014</w:t>
      </w:r>
    </w:p>
    <w:p w14:paraId="592BE33D" w14:textId="0AC8BE78" w:rsidR="00E853E7" w:rsidRPr="00E853E7" w:rsidRDefault="00E853E7" w:rsidP="00E853E7">
      <w:pPr>
        <w:autoSpaceDE w:val="0"/>
        <w:autoSpaceDN w:val="0"/>
        <w:adjustRightInd w:val="0"/>
        <w:spacing w:after="0"/>
        <w:rPr>
          <w:rFonts w:ascii="Helv" w:hAnsi="Helv" w:cs="Helv"/>
          <w:color w:val="000000"/>
          <w:sz w:val="20"/>
          <w:szCs w:val="20"/>
          <w:lang w:eastAsia="en-AU"/>
        </w:rPr>
      </w:pPr>
      <w:r>
        <w:rPr>
          <w:rFonts w:ascii="Helv" w:hAnsi="Helv" w:cs="Helv"/>
          <w:color w:val="000000"/>
          <w:sz w:val="20"/>
          <w:szCs w:val="20"/>
          <w:lang w:eastAsia="en-AU"/>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ascii="Helv" w:hAnsi="Helv" w:cs="Helv"/>
          <w:i/>
          <w:iCs/>
          <w:color w:val="000000"/>
          <w:sz w:val="20"/>
          <w:szCs w:val="20"/>
          <w:lang w:eastAsia="en-AU"/>
        </w:rPr>
        <w:t xml:space="preserve">Copyright Act 1968 </w:t>
      </w:r>
      <w:r>
        <w:rPr>
          <w:rFonts w:ascii="Helv" w:hAnsi="Helv" w:cs="Helv"/>
          <w:color w:val="000000"/>
          <w:sz w:val="20"/>
          <w:szCs w:val="20"/>
          <w:lang w:eastAsia="en-AU"/>
        </w:rPr>
        <w:t>or allowed by this copyright notice</w:t>
      </w:r>
      <w:r>
        <w:rPr>
          <w:rFonts w:ascii="Helv" w:hAnsi="Helv" w:cs="Helv"/>
          <w:i/>
          <w:iCs/>
          <w:color w:val="000000"/>
          <w:sz w:val="20"/>
          <w:szCs w:val="20"/>
          <w:lang w:eastAsia="en-AU"/>
        </w:rPr>
        <w:t xml:space="preserve">, </w:t>
      </w:r>
      <w:r>
        <w:rPr>
          <w:rFonts w:ascii="Helv" w:hAnsi="Helv" w:cs="Helv"/>
          <w:color w:val="000000"/>
          <w:sz w:val="20"/>
          <w:szCs w:val="20"/>
          <w:lang w:eastAsia="en-AU"/>
        </w:rPr>
        <w:t>all other rights are reserved and</w:t>
      </w:r>
      <w:r>
        <w:rPr>
          <w:rFonts w:ascii="Helv" w:hAnsi="Helv" w:cs="Helv"/>
          <w:i/>
          <w:iCs/>
          <w:color w:val="000000"/>
          <w:sz w:val="20"/>
          <w:szCs w:val="20"/>
          <w:lang w:eastAsia="en-AU"/>
        </w:rPr>
        <w:t xml:space="preserve"> </w:t>
      </w:r>
      <w:r>
        <w:rPr>
          <w:rFonts w:ascii="Helv" w:hAnsi="Helv" w:cs="Helv"/>
          <w:color w:val="000000"/>
          <w:sz w:val="20"/>
          <w:szCs w:val="20"/>
          <w:lang w:eastAsia="en-AU"/>
        </w:rPr>
        <w:t>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14:paraId="446EB98D" w14:textId="54699FD6" w:rsidR="00B964A9" w:rsidRDefault="00B964A9" w:rsidP="00B964A9">
      <w:pPr>
        <w:autoSpaceDE w:val="0"/>
        <w:autoSpaceDN w:val="0"/>
        <w:adjustRightInd w:val="0"/>
        <w:spacing w:after="0"/>
        <w:rPr>
          <w:rFonts w:cs="Garamond"/>
          <w:color w:val="000000"/>
          <w:sz w:val="20"/>
          <w:lang w:eastAsia="zh-TW"/>
        </w:rPr>
      </w:pPr>
      <w:r>
        <w:rPr>
          <w:rFonts w:cs="Garamond"/>
          <w:color w:val="000000"/>
          <w:sz w:val="20"/>
          <w:lang w:eastAsia="zh-TW"/>
        </w:rPr>
        <w:t>Electro</w:t>
      </w:r>
      <w:r w:rsidRPr="004D57B3">
        <w:rPr>
          <w:rFonts w:cs="Garamond"/>
          <w:color w:val="000000"/>
          <w:sz w:val="20"/>
          <w:lang w:eastAsia="zh-TW"/>
        </w:rPr>
        <w:t>nic copies of the report can be obtained from the Medical Service Advisory Committee’s Internet site at</w:t>
      </w:r>
      <w:r>
        <w:rPr>
          <w:rFonts w:cs="Garamond"/>
          <w:color w:val="000000"/>
          <w:sz w:val="20"/>
          <w:lang w:eastAsia="zh-TW"/>
        </w:rPr>
        <w:t xml:space="preserve"> http://</w:t>
      </w:r>
      <w:hyperlink r:id="rId16" w:history="1">
        <w:r w:rsidR="0033254C">
          <w:rPr>
            <w:rStyle w:val="Hyperlink"/>
            <w:rFonts w:cs="Garamond"/>
            <w:sz w:val="20"/>
            <w:lang w:eastAsia="zh-TW"/>
          </w:rPr>
          <w:t>www.msac.gov.au (home page)</w:t>
        </w:r>
      </w:hyperlink>
      <w:r>
        <w:rPr>
          <w:rFonts w:cs="Garamond"/>
          <w:color w:val="000000"/>
          <w:sz w:val="20"/>
          <w:lang w:eastAsia="zh-TW"/>
        </w:rPr>
        <w:t xml:space="preserve"> </w:t>
      </w:r>
    </w:p>
    <w:p w14:paraId="048C2C33" w14:textId="41BEC0DA" w:rsidR="00B964A9" w:rsidRPr="004D57B3" w:rsidRDefault="00B964A9" w:rsidP="00B964A9">
      <w:pPr>
        <w:autoSpaceDE w:val="0"/>
        <w:autoSpaceDN w:val="0"/>
        <w:adjustRightInd w:val="0"/>
        <w:spacing w:after="0"/>
        <w:rPr>
          <w:rFonts w:cs="Garamond"/>
          <w:color w:val="000000"/>
          <w:sz w:val="20"/>
          <w:lang w:eastAsia="zh-TW"/>
        </w:rPr>
      </w:pPr>
      <w:r w:rsidRPr="004D57B3">
        <w:rPr>
          <w:rFonts w:cs="Garamond"/>
          <w:color w:val="000000"/>
          <w:sz w:val="20"/>
          <w:lang w:eastAsia="zh-TW"/>
        </w:rPr>
        <w:t>Enquiries about the content of the report should be directed to the above address.</w:t>
      </w:r>
    </w:p>
    <w:p w14:paraId="5AE5C6B2" w14:textId="4DF94D93" w:rsidR="00B964A9" w:rsidRPr="004D57B3" w:rsidRDefault="00B964A9" w:rsidP="00B964A9">
      <w:pPr>
        <w:autoSpaceDE w:val="0"/>
        <w:autoSpaceDN w:val="0"/>
        <w:adjustRightInd w:val="0"/>
        <w:spacing w:after="0"/>
        <w:rPr>
          <w:rFonts w:cs="Garamond"/>
          <w:color w:val="000000"/>
          <w:sz w:val="20"/>
          <w:lang w:eastAsia="zh-TW"/>
        </w:rPr>
      </w:pPr>
      <w:r>
        <w:rPr>
          <w:rFonts w:cs="Garamond"/>
          <w:color w:val="000000"/>
          <w:sz w:val="20"/>
          <w:lang w:eastAsia="zh-TW"/>
        </w:rPr>
        <w:t>This report is a contracted technical report for use by t</w:t>
      </w:r>
      <w:r w:rsidRPr="004D57B3">
        <w:rPr>
          <w:rFonts w:cs="Garamond"/>
          <w:color w:val="000000"/>
          <w:sz w:val="20"/>
          <w:lang w:eastAsia="zh-TW"/>
        </w:rPr>
        <w:t>he Medical Services Advisory Committee (MSAC)</w:t>
      </w:r>
      <w:r>
        <w:rPr>
          <w:rFonts w:cs="Garamond"/>
          <w:color w:val="000000"/>
          <w:sz w:val="20"/>
          <w:lang w:eastAsia="zh-TW"/>
        </w:rPr>
        <w:t xml:space="preserve"> to inform its deliberations.  MSAC</w:t>
      </w:r>
      <w:r w:rsidRPr="004D57B3">
        <w:rPr>
          <w:rFonts w:cs="Garamond"/>
          <w:color w:val="000000"/>
          <w:sz w:val="20"/>
          <w:lang w:eastAsia="zh-TW"/>
        </w:rPr>
        <w:t xml:space="preserve"> is an independent committee which has been established to provide advice to the Minister for Health and Ageing on the strength of evidence available on new and existing medical technologies and procedures in terms of their safety, effectiveness and cost-effectiveness. This advice will help to inform government decisions about which medical services should attract funding under Medicare.</w:t>
      </w:r>
    </w:p>
    <w:p w14:paraId="137A5914" w14:textId="646153F7" w:rsidR="00B964A9" w:rsidRPr="00B964A9" w:rsidRDefault="00B964A9" w:rsidP="00B964A9">
      <w:pPr>
        <w:autoSpaceDE w:val="0"/>
        <w:autoSpaceDN w:val="0"/>
        <w:adjustRightInd w:val="0"/>
        <w:spacing w:after="0"/>
        <w:rPr>
          <w:rFonts w:cs="Garamond-Bold"/>
          <w:b/>
          <w:bCs/>
          <w:color w:val="000000"/>
          <w:sz w:val="20"/>
          <w:u w:val="single"/>
          <w:lang w:eastAsia="zh-TW"/>
        </w:rPr>
      </w:pPr>
      <w:r w:rsidRPr="00F77211">
        <w:rPr>
          <w:rFonts w:cs="Garamond-Bold"/>
          <w:b/>
          <w:bCs/>
          <w:color w:val="000000"/>
          <w:sz w:val="20"/>
          <w:u w:val="single"/>
          <w:lang w:eastAsia="zh-TW"/>
        </w:rPr>
        <w:t>MSAC’s advice does not necessarily reflect the views of all individuals who participated in the MSAC evaluation.</w:t>
      </w:r>
    </w:p>
    <w:p w14:paraId="4CD9957E" w14:textId="20AD7628" w:rsidR="00B964A9" w:rsidRPr="00B964A9" w:rsidRDefault="00B964A9" w:rsidP="00B964A9">
      <w:pPr>
        <w:spacing w:after="0"/>
        <w:rPr>
          <w:rFonts w:ascii="Times New Roman" w:hAnsi="Times New Roman"/>
          <w:noProof/>
          <w:color w:val="1F497D"/>
          <w:sz w:val="20"/>
        </w:rPr>
      </w:pPr>
      <w:r>
        <w:rPr>
          <w:sz w:val="20"/>
        </w:rPr>
        <w:t xml:space="preserve">This </w:t>
      </w:r>
      <w:r w:rsidRPr="004D57B3">
        <w:rPr>
          <w:sz w:val="20"/>
        </w:rPr>
        <w:t xml:space="preserve">report was prepared </w:t>
      </w:r>
      <w:r>
        <w:rPr>
          <w:sz w:val="20"/>
        </w:rPr>
        <w:t xml:space="preserve">for MSAC </w:t>
      </w:r>
      <w:r w:rsidRPr="004D57B3">
        <w:rPr>
          <w:sz w:val="20"/>
        </w:rPr>
        <w:t xml:space="preserve">by </w:t>
      </w:r>
      <w:r>
        <w:rPr>
          <w:sz w:val="20"/>
        </w:rPr>
        <w:t xml:space="preserve">Aspex Consulting. </w:t>
      </w:r>
      <w:r w:rsidRPr="004D57B3">
        <w:rPr>
          <w:sz w:val="20"/>
        </w:rPr>
        <w:t xml:space="preserve"> The report was commissioned by the Department of Health and Ageing on behalf of MSAC. </w:t>
      </w:r>
    </w:p>
    <w:p w14:paraId="7D547EDF" w14:textId="77777777" w:rsidR="00AE3430" w:rsidRDefault="00AE3430" w:rsidP="006478D9">
      <w:pPr>
        <w:pStyle w:val="AspexDate"/>
      </w:pPr>
    </w:p>
    <w:p w14:paraId="39E3362E" w14:textId="7D54004A" w:rsidR="00AE3430" w:rsidRDefault="00F86829" w:rsidP="00AE3430">
      <w:pPr>
        <w:pStyle w:val="TOCHeading"/>
      </w:pPr>
      <w:r>
        <w:br w:type="page"/>
      </w:r>
      <w:r>
        <w:lastRenderedPageBreak/>
        <w:t xml:space="preserve">Table </w:t>
      </w:r>
      <w:r w:rsidRPr="006478D9">
        <w:t>of</w:t>
      </w:r>
      <w:r>
        <w:t xml:space="preserve"> Contents</w:t>
      </w:r>
    </w:p>
    <w:p w14:paraId="2AD099DC" w14:textId="77777777" w:rsidR="00685A58" w:rsidRDefault="00A42CFB">
      <w:pPr>
        <w:pStyle w:val="TOC1"/>
        <w:rPr>
          <w:rFonts w:asciiTheme="minorHAnsi" w:eastAsiaTheme="minorEastAsia" w:hAnsiTheme="minorHAnsi" w:cstheme="minorBidi"/>
          <w:sz w:val="22"/>
          <w:szCs w:val="22"/>
          <w:lang w:eastAsia="en-AU"/>
        </w:rPr>
      </w:pPr>
      <w:r>
        <w:rPr>
          <w:b/>
        </w:rPr>
        <w:fldChar w:fldCharType="begin"/>
      </w:r>
      <w:r>
        <w:rPr>
          <w:b/>
        </w:rPr>
        <w:instrText xml:space="preserve"> TOC \o "1-2" </w:instrText>
      </w:r>
      <w:r>
        <w:rPr>
          <w:b/>
        </w:rPr>
        <w:fldChar w:fldCharType="separate"/>
      </w:r>
      <w:r w:rsidR="00685A58">
        <w:t>1</w:t>
      </w:r>
      <w:r w:rsidR="00685A58">
        <w:rPr>
          <w:rFonts w:asciiTheme="minorHAnsi" w:eastAsiaTheme="minorEastAsia" w:hAnsiTheme="minorHAnsi" w:cstheme="minorBidi"/>
          <w:sz w:val="22"/>
          <w:szCs w:val="22"/>
          <w:lang w:eastAsia="en-AU"/>
        </w:rPr>
        <w:tab/>
      </w:r>
      <w:r w:rsidR="00685A58">
        <w:t>Executive Summary</w:t>
      </w:r>
      <w:r w:rsidR="00685A58">
        <w:tab/>
      </w:r>
      <w:r w:rsidR="00685A58">
        <w:fldChar w:fldCharType="begin"/>
      </w:r>
      <w:r w:rsidR="00685A58">
        <w:instrText xml:space="preserve"> PAGEREF _Toc351480492 \h </w:instrText>
      </w:r>
      <w:r w:rsidR="00685A58">
        <w:fldChar w:fldCharType="separate"/>
      </w:r>
      <w:r w:rsidR="008E6665">
        <w:t>9</w:t>
      </w:r>
      <w:r w:rsidR="00685A58">
        <w:fldChar w:fldCharType="end"/>
      </w:r>
    </w:p>
    <w:p w14:paraId="1FAB57ED"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Abstract</w:t>
      </w:r>
      <w:r>
        <w:tab/>
      </w:r>
      <w:r>
        <w:fldChar w:fldCharType="begin"/>
      </w:r>
      <w:r>
        <w:instrText xml:space="preserve"> PAGEREF _Toc351480493 \h </w:instrText>
      </w:r>
      <w:r>
        <w:fldChar w:fldCharType="separate"/>
      </w:r>
      <w:r w:rsidR="008E6665">
        <w:t>9</w:t>
      </w:r>
      <w:r>
        <w:fldChar w:fldCharType="end"/>
      </w:r>
    </w:p>
    <w:p w14:paraId="0B58F21F"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Purpose of application</w:t>
      </w:r>
      <w:r>
        <w:tab/>
      </w:r>
      <w:r>
        <w:fldChar w:fldCharType="begin"/>
      </w:r>
      <w:r>
        <w:instrText xml:space="preserve"> PAGEREF _Toc351480494 \h </w:instrText>
      </w:r>
      <w:r>
        <w:fldChar w:fldCharType="separate"/>
      </w:r>
      <w:r w:rsidR="008E6665">
        <w:t>10</w:t>
      </w:r>
      <w:r>
        <w:fldChar w:fldCharType="end"/>
      </w:r>
    </w:p>
    <w:p w14:paraId="6E4D4CA0"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Background</w:t>
      </w:r>
      <w:r>
        <w:tab/>
      </w:r>
      <w:r>
        <w:fldChar w:fldCharType="begin"/>
      </w:r>
      <w:r>
        <w:instrText xml:space="preserve"> PAGEREF _Toc351480495 \h </w:instrText>
      </w:r>
      <w:r>
        <w:fldChar w:fldCharType="separate"/>
      </w:r>
      <w:r w:rsidR="008E6665">
        <w:t>11</w:t>
      </w:r>
      <w:r>
        <w:fldChar w:fldCharType="end"/>
      </w:r>
    </w:p>
    <w:p w14:paraId="26818D43"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Prerequisites to implementation of any funding advice</w:t>
      </w:r>
      <w:r>
        <w:tab/>
      </w:r>
      <w:r>
        <w:fldChar w:fldCharType="begin"/>
      </w:r>
      <w:r>
        <w:instrText xml:space="preserve"> PAGEREF _Toc351480496 \h </w:instrText>
      </w:r>
      <w:r>
        <w:fldChar w:fldCharType="separate"/>
      </w:r>
      <w:r w:rsidR="008E6665">
        <w:t>11</w:t>
      </w:r>
      <w:r>
        <w:fldChar w:fldCharType="end"/>
      </w:r>
    </w:p>
    <w:p w14:paraId="531515D6"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Proposal for public funding</w:t>
      </w:r>
      <w:r>
        <w:tab/>
      </w:r>
      <w:r>
        <w:fldChar w:fldCharType="begin"/>
      </w:r>
      <w:r>
        <w:instrText xml:space="preserve"> PAGEREF _Toc351480497 \h </w:instrText>
      </w:r>
      <w:r>
        <w:fldChar w:fldCharType="separate"/>
      </w:r>
      <w:r w:rsidR="008E6665">
        <w:t>11</w:t>
      </w:r>
      <w:r>
        <w:fldChar w:fldCharType="end"/>
      </w:r>
    </w:p>
    <w:p w14:paraId="6AF38C0E"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Consumer Impact Statement</w:t>
      </w:r>
      <w:r>
        <w:tab/>
      </w:r>
      <w:r>
        <w:fldChar w:fldCharType="begin"/>
      </w:r>
      <w:r>
        <w:instrText xml:space="preserve"> PAGEREF _Toc351480498 \h </w:instrText>
      </w:r>
      <w:r>
        <w:fldChar w:fldCharType="separate"/>
      </w:r>
      <w:r w:rsidR="008E6665">
        <w:t>12</w:t>
      </w:r>
      <w:r>
        <w:fldChar w:fldCharType="end"/>
      </w:r>
    </w:p>
    <w:p w14:paraId="1C50E2B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Proposed intervention’s place in clinical management</w:t>
      </w:r>
      <w:r>
        <w:tab/>
      </w:r>
      <w:r>
        <w:fldChar w:fldCharType="begin"/>
      </w:r>
      <w:r>
        <w:instrText xml:space="preserve"> PAGEREF _Toc351480499 \h </w:instrText>
      </w:r>
      <w:r>
        <w:fldChar w:fldCharType="separate"/>
      </w:r>
      <w:r w:rsidR="008E6665">
        <w:t>12</w:t>
      </w:r>
      <w:r>
        <w:fldChar w:fldCharType="end"/>
      </w:r>
    </w:p>
    <w:p w14:paraId="661609B3"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Other options for MSAC consideration</w:t>
      </w:r>
      <w:r>
        <w:tab/>
      </w:r>
      <w:r>
        <w:fldChar w:fldCharType="begin"/>
      </w:r>
      <w:r>
        <w:instrText xml:space="preserve"> PAGEREF _Toc351480500 \h </w:instrText>
      </w:r>
      <w:r>
        <w:fldChar w:fldCharType="separate"/>
      </w:r>
      <w:r w:rsidR="008E6665">
        <w:t>13</w:t>
      </w:r>
      <w:r>
        <w:fldChar w:fldCharType="end"/>
      </w:r>
    </w:p>
    <w:p w14:paraId="767F10F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Comparator to the proposed intervention</w:t>
      </w:r>
      <w:r>
        <w:tab/>
      </w:r>
      <w:r>
        <w:fldChar w:fldCharType="begin"/>
      </w:r>
      <w:r>
        <w:instrText xml:space="preserve"> PAGEREF _Toc351480501 \h </w:instrText>
      </w:r>
      <w:r>
        <w:fldChar w:fldCharType="separate"/>
      </w:r>
      <w:r w:rsidR="008E6665">
        <w:t>14</w:t>
      </w:r>
      <w:r>
        <w:fldChar w:fldCharType="end"/>
      </w:r>
    </w:p>
    <w:p w14:paraId="03BA8DA7"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1.10</w:t>
      </w:r>
      <w:r>
        <w:rPr>
          <w:rFonts w:asciiTheme="minorHAnsi" w:eastAsiaTheme="minorEastAsia" w:hAnsiTheme="minorHAnsi" w:cstheme="minorBidi"/>
          <w:color w:val="auto"/>
          <w:sz w:val="22"/>
          <w:szCs w:val="22"/>
          <w:lang w:eastAsia="en-AU"/>
        </w:rPr>
        <w:tab/>
      </w:r>
      <w:r>
        <w:t>Comparative safety</w:t>
      </w:r>
      <w:r>
        <w:tab/>
      </w:r>
      <w:r>
        <w:fldChar w:fldCharType="begin"/>
      </w:r>
      <w:r>
        <w:instrText xml:space="preserve"> PAGEREF _Toc351480502 \h </w:instrText>
      </w:r>
      <w:r>
        <w:fldChar w:fldCharType="separate"/>
      </w:r>
      <w:r w:rsidR="008E6665">
        <w:t>14</w:t>
      </w:r>
      <w:r>
        <w:fldChar w:fldCharType="end"/>
      </w:r>
    </w:p>
    <w:p w14:paraId="26D902E1"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1.11</w:t>
      </w:r>
      <w:r>
        <w:rPr>
          <w:rFonts w:asciiTheme="minorHAnsi" w:eastAsiaTheme="minorEastAsia" w:hAnsiTheme="minorHAnsi" w:cstheme="minorBidi"/>
          <w:color w:val="auto"/>
          <w:sz w:val="22"/>
          <w:szCs w:val="22"/>
          <w:lang w:eastAsia="en-AU"/>
        </w:rPr>
        <w:tab/>
      </w:r>
      <w:r>
        <w:t>Comparative effectiveness</w:t>
      </w:r>
      <w:r>
        <w:tab/>
      </w:r>
      <w:r>
        <w:fldChar w:fldCharType="begin"/>
      </w:r>
      <w:r>
        <w:instrText xml:space="preserve"> PAGEREF _Toc351480503 \h </w:instrText>
      </w:r>
      <w:r>
        <w:fldChar w:fldCharType="separate"/>
      </w:r>
      <w:r w:rsidR="008E6665">
        <w:t>14</w:t>
      </w:r>
      <w:r>
        <w:fldChar w:fldCharType="end"/>
      </w:r>
    </w:p>
    <w:p w14:paraId="6E5048F4"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1.12</w:t>
      </w:r>
      <w:r>
        <w:rPr>
          <w:rFonts w:asciiTheme="minorHAnsi" w:eastAsiaTheme="minorEastAsia" w:hAnsiTheme="minorHAnsi" w:cstheme="minorBidi"/>
          <w:color w:val="auto"/>
          <w:sz w:val="22"/>
          <w:szCs w:val="22"/>
          <w:lang w:eastAsia="en-AU"/>
        </w:rPr>
        <w:tab/>
      </w:r>
      <w:r>
        <w:t>Economic evaluation</w:t>
      </w:r>
      <w:r>
        <w:tab/>
      </w:r>
      <w:r>
        <w:fldChar w:fldCharType="begin"/>
      </w:r>
      <w:r>
        <w:instrText xml:space="preserve"> PAGEREF _Toc351480504 \h </w:instrText>
      </w:r>
      <w:r>
        <w:fldChar w:fldCharType="separate"/>
      </w:r>
      <w:r w:rsidR="008E6665">
        <w:t>15</w:t>
      </w:r>
      <w:r>
        <w:fldChar w:fldCharType="end"/>
      </w:r>
    </w:p>
    <w:p w14:paraId="190BA2F7"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1.13</w:t>
      </w:r>
      <w:r>
        <w:rPr>
          <w:rFonts w:asciiTheme="minorHAnsi" w:eastAsiaTheme="minorEastAsia" w:hAnsiTheme="minorHAnsi" w:cstheme="minorBidi"/>
          <w:color w:val="auto"/>
          <w:sz w:val="22"/>
          <w:szCs w:val="22"/>
          <w:lang w:eastAsia="en-AU"/>
        </w:rPr>
        <w:tab/>
      </w:r>
      <w:r>
        <w:t>Financial/budgetary impacts</w:t>
      </w:r>
      <w:r>
        <w:tab/>
      </w:r>
      <w:r>
        <w:fldChar w:fldCharType="begin"/>
      </w:r>
      <w:r>
        <w:instrText xml:space="preserve"> PAGEREF _Toc351480505 \h </w:instrText>
      </w:r>
      <w:r>
        <w:fldChar w:fldCharType="separate"/>
      </w:r>
      <w:r w:rsidR="008E6665">
        <w:t>17</w:t>
      </w:r>
      <w:r>
        <w:fldChar w:fldCharType="end"/>
      </w:r>
    </w:p>
    <w:p w14:paraId="6E77ADFA"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1.14</w:t>
      </w:r>
      <w:r>
        <w:rPr>
          <w:rFonts w:asciiTheme="minorHAnsi" w:eastAsiaTheme="minorEastAsia" w:hAnsiTheme="minorHAnsi" w:cstheme="minorBidi"/>
          <w:color w:val="auto"/>
          <w:sz w:val="22"/>
          <w:szCs w:val="22"/>
          <w:lang w:eastAsia="en-AU"/>
        </w:rPr>
        <w:tab/>
      </w:r>
      <w:r>
        <w:t>Key Issues for MSAC</w:t>
      </w:r>
      <w:r>
        <w:tab/>
      </w:r>
      <w:r>
        <w:fldChar w:fldCharType="begin"/>
      </w:r>
      <w:r>
        <w:instrText xml:space="preserve"> PAGEREF _Toc351480506 \h </w:instrText>
      </w:r>
      <w:r>
        <w:fldChar w:fldCharType="separate"/>
      </w:r>
      <w:r w:rsidR="008E6665">
        <w:t>17</w:t>
      </w:r>
      <w:r>
        <w:fldChar w:fldCharType="end"/>
      </w:r>
    </w:p>
    <w:p w14:paraId="005A3E4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1.15</w:t>
      </w:r>
      <w:r>
        <w:rPr>
          <w:rFonts w:asciiTheme="minorHAnsi" w:eastAsiaTheme="minorEastAsia" w:hAnsiTheme="minorHAnsi" w:cstheme="minorBidi"/>
          <w:color w:val="auto"/>
          <w:sz w:val="22"/>
          <w:szCs w:val="22"/>
          <w:lang w:eastAsia="en-AU"/>
        </w:rPr>
        <w:tab/>
      </w:r>
      <w:r>
        <w:t>Other significant factors</w:t>
      </w:r>
      <w:r>
        <w:tab/>
      </w:r>
      <w:r>
        <w:fldChar w:fldCharType="begin"/>
      </w:r>
      <w:r>
        <w:instrText xml:space="preserve"> PAGEREF _Toc351480507 \h </w:instrText>
      </w:r>
      <w:r>
        <w:fldChar w:fldCharType="separate"/>
      </w:r>
      <w:r w:rsidR="008E6665">
        <w:t>18</w:t>
      </w:r>
      <w:r>
        <w:fldChar w:fldCharType="end"/>
      </w:r>
    </w:p>
    <w:p w14:paraId="21138681"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1.16</w:t>
      </w:r>
      <w:r>
        <w:rPr>
          <w:rFonts w:asciiTheme="minorHAnsi" w:eastAsiaTheme="minorEastAsia" w:hAnsiTheme="minorHAnsi" w:cstheme="minorBidi"/>
          <w:color w:val="auto"/>
          <w:sz w:val="22"/>
          <w:szCs w:val="22"/>
          <w:lang w:eastAsia="en-AU"/>
        </w:rPr>
        <w:tab/>
      </w:r>
      <w:r>
        <w:t>Summary of consideration and rationale for MSAC’s advice</w:t>
      </w:r>
      <w:r>
        <w:tab/>
      </w:r>
      <w:r>
        <w:fldChar w:fldCharType="begin"/>
      </w:r>
      <w:r>
        <w:instrText xml:space="preserve"> PAGEREF _Toc351480508 \h </w:instrText>
      </w:r>
      <w:r>
        <w:fldChar w:fldCharType="separate"/>
      </w:r>
      <w:r w:rsidR="008E6665">
        <w:t>19</w:t>
      </w:r>
      <w:r>
        <w:fldChar w:fldCharType="end"/>
      </w:r>
    </w:p>
    <w:p w14:paraId="051BC781"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1.17</w:t>
      </w:r>
      <w:r>
        <w:rPr>
          <w:rFonts w:asciiTheme="minorHAnsi" w:eastAsiaTheme="minorEastAsia" w:hAnsiTheme="minorHAnsi" w:cstheme="minorBidi"/>
          <w:color w:val="auto"/>
          <w:sz w:val="22"/>
          <w:szCs w:val="22"/>
          <w:lang w:eastAsia="en-AU"/>
        </w:rPr>
        <w:tab/>
      </w:r>
      <w:r>
        <w:t>Proposed new items for sexual health medicine</w:t>
      </w:r>
      <w:r>
        <w:tab/>
      </w:r>
      <w:r>
        <w:fldChar w:fldCharType="begin"/>
      </w:r>
      <w:r>
        <w:instrText xml:space="preserve"> PAGEREF _Toc351480509 \h </w:instrText>
      </w:r>
      <w:r>
        <w:fldChar w:fldCharType="separate"/>
      </w:r>
      <w:r w:rsidR="008E6665">
        <w:t>19</w:t>
      </w:r>
      <w:r>
        <w:fldChar w:fldCharType="end"/>
      </w:r>
    </w:p>
    <w:p w14:paraId="15C14A0D"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1.18</w:t>
      </w:r>
      <w:r>
        <w:rPr>
          <w:rFonts w:asciiTheme="minorHAnsi" w:eastAsiaTheme="minorEastAsia" w:hAnsiTheme="minorHAnsi" w:cstheme="minorBidi"/>
          <w:color w:val="auto"/>
          <w:sz w:val="22"/>
          <w:szCs w:val="22"/>
          <w:lang w:eastAsia="en-AU"/>
        </w:rPr>
        <w:tab/>
      </w:r>
      <w:r>
        <w:t>Applicant’s response to the Public Summary Document</w:t>
      </w:r>
      <w:r>
        <w:tab/>
      </w:r>
      <w:r>
        <w:fldChar w:fldCharType="begin"/>
      </w:r>
      <w:r>
        <w:instrText xml:space="preserve"> PAGEREF _Toc351480510 \h </w:instrText>
      </w:r>
      <w:r>
        <w:fldChar w:fldCharType="separate"/>
      </w:r>
      <w:r w:rsidR="008E6665">
        <w:t>25</w:t>
      </w:r>
      <w:r>
        <w:fldChar w:fldCharType="end"/>
      </w:r>
    </w:p>
    <w:p w14:paraId="33429251"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1.19</w:t>
      </w:r>
      <w:r>
        <w:rPr>
          <w:rFonts w:asciiTheme="minorHAnsi" w:eastAsiaTheme="minorEastAsia" w:hAnsiTheme="minorHAnsi" w:cstheme="minorBidi"/>
          <w:color w:val="auto"/>
          <w:sz w:val="22"/>
          <w:szCs w:val="22"/>
          <w:lang w:eastAsia="en-AU"/>
        </w:rPr>
        <w:tab/>
      </w:r>
      <w:r>
        <w:t>Context for decision</w:t>
      </w:r>
      <w:r>
        <w:tab/>
      </w:r>
      <w:r>
        <w:fldChar w:fldCharType="begin"/>
      </w:r>
      <w:r>
        <w:instrText xml:space="preserve"> PAGEREF _Toc351480511 \h </w:instrText>
      </w:r>
      <w:r>
        <w:fldChar w:fldCharType="separate"/>
      </w:r>
      <w:r w:rsidR="008E6665">
        <w:t>25</w:t>
      </w:r>
      <w:r>
        <w:fldChar w:fldCharType="end"/>
      </w:r>
    </w:p>
    <w:p w14:paraId="1BF3ECBE"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1.20</w:t>
      </w:r>
      <w:r>
        <w:rPr>
          <w:rFonts w:asciiTheme="minorHAnsi" w:eastAsiaTheme="minorEastAsia" w:hAnsiTheme="minorHAnsi" w:cstheme="minorBidi"/>
          <w:color w:val="auto"/>
          <w:sz w:val="22"/>
          <w:szCs w:val="22"/>
          <w:lang w:eastAsia="en-AU"/>
        </w:rPr>
        <w:tab/>
      </w:r>
      <w:r>
        <w:t>Linkages to other documents</w:t>
      </w:r>
      <w:r>
        <w:tab/>
      </w:r>
      <w:r>
        <w:fldChar w:fldCharType="begin"/>
      </w:r>
      <w:r>
        <w:instrText xml:space="preserve"> PAGEREF _Toc351480512 \h </w:instrText>
      </w:r>
      <w:r>
        <w:fldChar w:fldCharType="separate"/>
      </w:r>
      <w:r w:rsidR="008E6665">
        <w:t>25</w:t>
      </w:r>
      <w:r>
        <w:fldChar w:fldCharType="end"/>
      </w:r>
    </w:p>
    <w:p w14:paraId="77CDFB27" w14:textId="77777777" w:rsidR="00685A58" w:rsidRDefault="00685A58">
      <w:pPr>
        <w:pStyle w:val="TOC1"/>
        <w:rPr>
          <w:rFonts w:asciiTheme="minorHAnsi" w:eastAsiaTheme="minorEastAsia" w:hAnsiTheme="minorHAnsi" w:cstheme="minorBidi"/>
          <w:sz w:val="22"/>
          <w:szCs w:val="22"/>
          <w:lang w:eastAsia="en-AU"/>
        </w:rPr>
      </w:pPr>
      <w:r>
        <w:t>2</w:t>
      </w:r>
      <w:r>
        <w:rPr>
          <w:rFonts w:asciiTheme="minorHAnsi" w:eastAsiaTheme="minorEastAsia" w:hAnsiTheme="minorHAnsi" w:cstheme="minorBidi"/>
          <w:sz w:val="22"/>
          <w:szCs w:val="22"/>
          <w:lang w:eastAsia="en-AU"/>
        </w:rPr>
        <w:tab/>
      </w:r>
      <w:r>
        <w:t>Population demand, and supply of clinical services</w:t>
      </w:r>
      <w:r>
        <w:tab/>
      </w:r>
      <w:r>
        <w:fldChar w:fldCharType="begin"/>
      </w:r>
      <w:r>
        <w:instrText xml:space="preserve"> PAGEREF _Toc351480513 \h </w:instrText>
      </w:r>
      <w:r>
        <w:fldChar w:fldCharType="separate"/>
      </w:r>
      <w:r w:rsidR="008E6665">
        <w:t>26</w:t>
      </w:r>
      <w:r>
        <w:fldChar w:fldCharType="end"/>
      </w:r>
    </w:p>
    <w:p w14:paraId="342907F9"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The clinical population</w:t>
      </w:r>
      <w:r>
        <w:tab/>
      </w:r>
      <w:r>
        <w:fldChar w:fldCharType="begin"/>
      </w:r>
      <w:r>
        <w:instrText xml:space="preserve"> PAGEREF _Toc351480514 \h </w:instrText>
      </w:r>
      <w:r>
        <w:fldChar w:fldCharType="separate"/>
      </w:r>
      <w:r w:rsidR="008E6665">
        <w:t>26</w:t>
      </w:r>
      <w:r>
        <w:fldChar w:fldCharType="end"/>
      </w:r>
    </w:p>
    <w:p w14:paraId="2523983A"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Community demand for services</w:t>
      </w:r>
      <w:r>
        <w:tab/>
      </w:r>
      <w:r>
        <w:fldChar w:fldCharType="begin"/>
      </w:r>
      <w:r>
        <w:instrText xml:space="preserve"> PAGEREF _Toc351480515 \h </w:instrText>
      </w:r>
      <w:r>
        <w:fldChar w:fldCharType="separate"/>
      </w:r>
      <w:r w:rsidR="008E6665">
        <w:t>27</w:t>
      </w:r>
      <w:r>
        <w:fldChar w:fldCharType="end"/>
      </w:r>
    </w:p>
    <w:p w14:paraId="6193A87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2.3</w:t>
      </w:r>
      <w:r>
        <w:rPr>
          <w:rFonts w:asciiTheme="minorHAnsi" w:eastAsiaTheme="minorEastAsia" w:hAnsiTheme="minorHAnsi" w:cstheme="minorBidi"/>
          <w:color w:val="auto"/>
          <w:sz w:val="22"/>
          <w:szCs w:val="22"/>
          <w:lang w:eastAsia="en-AU"/>
        </w:rPr>
        <w:tab/>
      </w:r>
      <w:r>
        <w:t>Supply of community services</w:t>
      </w:r>
      <w:r>
        <w:tab/>
      </w:r>
      <w:r>
        <w:fldChar w:fldCharType="begin"/>
      </w:r>
      <w:r>
        <w:instrText xml:space="preserve"> PAGEREF _Toc351480516 \h </w:instrText>
      </w:r>
      <w:r>
        <w:fldChar w:fldCharType="separate"/>
      </w:r>
      <w:r w:rsidR="008E6665">
        <w:t>33</w:t>
      </w:r>
      <w:r>
        <w:fldChar w:fldCharType="end"/>
      </w:r>
    </w:p>
    <w:p w14:paraId="78B283F7"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2.4</w:t>
      </w:r>
      <w:r>
        <w:rPr>
          <w:rFonts w:asciiTheme="minorHAnsi" w:eastAsiaTheme="minorEastAsia" w:hAnsiTheme="minorHAnsi" w:cstheme="minorBidi"/>
          <w:color w:val="auto"/>
          <w:sz w:val="22"/>
          <w:szCs w:val="22"/>
          <w:lang w:eastAsia="en-AU"/>
        </w:rPr>
        <w:tab/>
      </w:r>
      <w:r>
        <w:t>Unmet demand for community services</w:t>
      </w:r>
      <w:r>
        <w:tab/>
      </w:r>
      <w:r>
        <w:fldChar w:fldCharType="begin"/>
      </w:r>
      <w:r>
        <w:instrText xml:space="preserve"> PAGEREF _Toc351480517 \h </w:instrText>
      </w:r>
      <w:r>
        <w:fldChar w:fldCharType="separate"/>
      </w:r>
      <w:r w:rsidR="008E6665">
        <w:t>37</w:t>
      </w:r>
      <w:r>
        <w:fldChar w:fldCharType="end"/>
      </w:r>
    </w:p>
    <w:p w14:paraId="737D9769"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2.5</w:t>
      </w:r>
      <w:r>
        <w:rPr>
          <w:rFonts w:asciiTheme="minorHAnsi" w:eastAsiaTheme="minorEastAsia" w:hAnsiTheme="minorHAnsi" w:cstheme="minorBidi"/>
          <w:color w:val="auto"/>
          <w:sz w:val="22"/>
          <w:szCs w:val="22"/>
          <w:lang w:eastAsia="en-AU"/>
        </w:rPr>
        <w:tab/>
      </w:r>
      <w:r>
        <w:t>Demand for specialist services</w:t>
      </w:r>
      <w:r>
        <w:tab/>
      </w:r>
      <w:r>
        <w:fldChar w:fldCharType="begin"/>
      </w:r>
      <w:r>
        <w:instrText xml:space="preserve"> PAGEREF _Toc351480518 \h </w:instrText>
      </w:r>
      <w:r>
        <w:fldChar w:fldCharType="separate"/>
      </w:r>
      <w:r w:rsidR="008E6665">
        <w:t>38</w:t>
      </w:r>
      <w:r>
        <w:fldChar w:fldCharType="end"/>
      </w:r>
    </w:p>
    <w:p w14:paraId="34267A93"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2.6</w:t>
      </w:r>
      <w:r>
        <w:rPr>
          <w:rFonts w:asciiTheme="minorHAnsi" w:eastAsiaTheme="minorEastAsia" w:hAnsiTheme="minorHAnsi" w:cstheme="minorBidi"/>
          <w:color w:val="auto"/>
          <w:sz w:val="22"/>
          <w:szCs w:val="22"/>
          <w:lang w:eastAsia="en-AU"/>
        </w:rPr>
        <w:tab/>
      </w:r>
      <w:r>
        <w:t>Supply of specialist services</w:t>
      </w:r>
      <w:r>
        <w:tab/>
      </w:r>
      <w:r>
        <w:fldChar w:fldCharType="begin"/>
      </w:r>
      <w:r>
        <w:instrText xml:space="preserve"> PAGEREF _Toc351480519 \h </w:instrText>
      </w:r>
      <w:r>
        <w:fldChar w:fldCharType="separate"/>
      </w:r>
      <w:r w:rsidR="008E6665">
        <w:t>39</w:t>
      </w:r>
      <w:r>
        <w:fldChar w:fldCharType="end"/>
      </w:r>
    </w:p>
    <w:p w14:paraId="433934BD"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2.7</w:t>
      </w:r>
      <w:r>
        <w:rPr>
          <w:rFonts w:asciiTheme="minorHAnsi" w:eastAsiaTheme="minorEastAsia" w:hAnsiTheme="minorHAnsi" w:cstheme="minorBidi"/>
          <w:color w:val="auto"/>
          <w:sz w:val="22"/>
          <w:szCs w:val="22"/>
          <w:lang w:eastAsia="en-AU"/>
        </w:rPr>
        <w:tab/>
      </w:r>
      <w:r>
        <w:t>Unmet demand for specialist services</w:t>
      </w:r>
      <w:r>
        <w:tab/>
      </w:r>
      <w:r>
        <w:fldChar w:fldCharType="begin"/>
      </w:r>
      <w:r>
        <w:instrText xml:space="preserve"> PAGEREF _Toc351480520 \h </w:instrText>
      </w:r>
      <w:r>
        <w:fldChar w:fldCharType="separate"/>
      </w:r>
      <w:r w:rsidR="008E6665">
        <w:t>40</w:t>
      </w:r>
      <w:r>
        <w:fldChar w:fldCharType="end"/>
      </w:r>
    </w:p>
    <w:p w14:paraId="04A9209D"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2.8</w:t>
      </w:r>
      <w:r>
        <w:rPr>
          <w:rFonts w:asciiTheme="minorHAnsi" w:eastAsiaTheme="minorEastAsia" w:hAnsiTheme="minorHAnsi" w:cstheme="minorBidi"/>
          <w:color w:val="auto"/>
          <w:sz w:val="22"/>
          <w:szCs w:val="22"/>
          <w:lang w:eastAsia="en-AU"/>
        </w:rPr>
        <w:tab/>
      </w:r>
      <w:r>
        <w:t>The consequences of unmet demand</w:t>
      </w:r>
      <w:r>
        <w:tab/>
      </w:r>
      <w:r>
        <w:fldChar w:fldCharType="begin"/>
      </w:r>
      <w:r>
        <w:instrText xml:space="preserve"> PAGEREF _Toc351480521 \h </w:instrText>
      </w:r>
      <w:r>
        <w:fldChar w:fldCharType="separate"/>
      </w:r>
      <w:r w:rsidR="008E6665">
        <w:t>41</w:t>
      </w:r>
      <w:r>
        <w:fldChar w:fldCharType="end"/>
      </w:r>
    </w:p>
    <w:p w14:paraId="6754D45D" w14:textId="77777777" w:rsidR="00685A58" w:rsidRDefault="00685A58">
      <w:pPr>
        <w:pStyle w:val="TOC1"/>
        <w:rPr>
          <w:rFonts w:asciiTheme="minorHAnsi" w:eastAsiaTheme="minorEastAsia" w:hAnsiTheme="minorHAnsi" w:cstheme="minorBidi"/>
          <w:sz w:val="22"/>
          <w:szCs w:val="22"/>
          <w:lang w:eastAsia="en-AU"/>
        </w:rPr>
      </w:pPr>
      <w:r>
        <w:t>3</w:t>
      </w:r>
      <w:r>
        <w:rPr>
          <w:rFonts w:asciiTheme="minorHAnsi" w:eastAsiaTheme="minorEastAsia" w:hAnsiTheme="minorHAnsi" w:cstheme="minorBidi"/>
          <w:sz w:val="22"/>
          <w:szCs w:val="22"/>
          <w:lang w:eastAsia="en-AU"/>
        </w:rPr>
        <w:tab/>
      </w:r>
      <w:r>
        <w:t>The clinical safety and effectiveness of interventions</w:t>
      </w:r>
      <w:r>
        <w:tab/>
      </w:r>
      <w:r>
        <w:fldChar w:fldCharType="begin"/>
      </w:r>
      <w:r>
        <w:instrText xml:space="preserve"> PAGEREF _Toc351480522 \h </w:instrText>
      </w:r>
      <w:r>
        <w:fldChar w:fldCharType="separate"/>
      </w:r>
      <w:r w:rsidR="008E6665">
        <w:t>44</w:t>
      </w:r>
      <w:r>
        <w:fldChar w:fldCharType="end"/>
      </w:r>
    </w:p>
    <w:p w14:paraId="3C63EFDE"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lastRenderedPageBreak/>
        <w:t>3.1</w:t>
      </w:r>
      <w:r>
        <w:rPr>
          <w:rFonts w:asciiTheme="minorHAnsi" w:eastAsiaTheme="minorEastAsia" w:hAnsiTheme="minorHAnsi" w:cstheme="minorBidi"/>
          <w:color w:val="auto"/>
          <w:sz w:val="22"/>
          <w:szCs w:val="22"/>
          <w:lang w:eastAsia="en-AU"/>
        </w:rPr>
        <w:tab/>
      </w:r>
      <w:r>
        <w:t>Types of intervention provided for sexual health problems</w:t>
      </w:r>
      <w:r>
        <w:tab/>
      </w:r>
      <w:r>
        <w:fldChar w:fldCharType="begin"/>
      </w:r>
      <w:r>
        <w:instrText xml:space="preserve"> PAGEREF _Toc351480523 \h </w:instrText>
      </w:r>
      <w:r>
        <w:fldChar w:fldCharType="separate"/>
      </w:r>
      <w:r w:rsidR="008E6665">
        <w:t>44</w:t>
      </w:r>
      <w:r>
        <w:fldChar w:fldCharType="end"/>
      </w:r>
    </w:p>
    <w:p w14:paraId="60F5E9B1"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3.2</w:t>
      </w:r>
      <w:r>
        <w:rPr>
          <w:rFonts w:asciiTheme="minorHAnsi" w:eastAsiaTheme="minorEastAsia" w:hAnsiTheme="minorHAnsi" w:cstheme="minorBidi"/>
          <w:color w:val="auto"/>
          <w:sz w:val="22"/>
          <w:szCs w:val="22"/>
          <w:lang w:eastAsia="en-AU"/>
        </w:rPr>
        <w:tab/>
      </w:r>
      <w:r>
        <w:t>Clinical safety of interventions</w:t>
      </w:r>
      <w:r>
        <w:tab/>
      </w:r>
      <w:r>
        <w:fldChar w:fldCharType="begin"/>
      </w:r>
      <w:r>
        <w:instrText xml:space="preserve"> PAGEREF _Toc351480524 \h </w:instrText>
      </w:r>
      <w:r>
        <w:fldChar w:fldCharType="separate"/>
      </w:r>
      <w:r w:rsidR="008E6665">
        <w:t>44</w:t>
      </w:r>
      <w:r>
        <w:fldChar w:fldCharType="end"/>
      </w:r>
    </w:p>
    <w:p w14:paraId="55132788"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3.3</w:t>
      </w:r>
      <w:r>
        <w:rPr>
          <w:rFonts w:asciiTheme="minorHAnsi" w:eastAsiaTheme="minorEastAsia" w:hAnsiTheme="minorHAnsi" w:cstheme="minorBidi"/>
          <w:color w:val="auto"/>
          <w:sz w:val="22"/>
          <w:szCs w:val="22"/>
          <w:lang w:eastAsia="en-AU"/>
        </w:rPr>
        <w:tab/>
      </w:r>
      <w:r>
        <w:t>Clinical effectiveness of interventions</w:t>
      </w:r>
      <w:r>
        <w:tab/>
      </w:r>
      <w:r>
        <w:fldChar w:fldCharType="begin"/>
      </w:r>
      <w:r>
        <w:instrText xml:space="preserve"> PAGEREF _Toc351480525 \h </w:instrText>
      </w:r>
      <w:r>
        <w:fldChar w:fldCharType="separate"/>
      </w:r>
      <w:r w:rsidR="008E6665">
        <w:t>45</w:t>
      </w:r>
      <w:r>
        <w:fldChar w:fldCharType="end"/>
      </w:r>
    </w:p>
    <w:p w14:paraId="5AE06C63" w14:textId="77777777" w:rsidR="00685A58" w:rsidRDefault="00685A58">
      <w:pPr>
        <w:pStyle w:val="TOC1"/>
        <w:rPr>
          <w:rFonts w:asciiTheme="minorHAnsi" w:eastAsiaTheme="minorEastAsia" w:hAnsiTheme="minorHAnsi" w:cstheme="minorBidi"/>
          <w:sz w:val="22"/>
          <w:szCs w:val="22"/>
          <w:lang w:eastAsia="en-AU"/>
        </w:rPr>
      </w:pPr>
      <w:r>
        <w:t>4</w:t>
      </w:r>
      <w:r>
        <w:rPr>
          <w:rFonts w:asciiTheme="minorHAnsi" w:eastAsiaTheme="minorEastAsia" w:hAnsiTheme="minorHAnsi" w:cstheme="minorBidi"/>
          <w:sz w:val="22"/>
          <w:szCs w:val="22"/>
          <w:lang w:eastAsia="en-AU"/>
        </w:rPr>
        <w:tab/>
      </w:r>
      <w:r>
        <w:t>Sexual Health Medicine scope of practice and workforce</w:t>
      </w:r>
      <w:r>
        <w:tab/>
      </w:r>
      <w:r>
        <w:fldChar w:fldCharType="begin"/>
      </w:r>
      <w:r>
        <w:instrText xml:space="preserve"> PAGEREF _Toc351480526 \h </w:instrText>
      </w:r>
      <w:r>
        <w:fldChar w:fldCharType="separate"/>
      </w:r>
      <w:r w:rsidR="008E6665">
        <w:t>52</w:t>
      </w:r>
      <w:r>
        <w:fldChar w:fldCharType="end"/>
      </w:r>
    </w:p>
    <w:p w14:paraId="6EAB05F4"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4.1</w:t>
      </w:r>
      <w:r>
        <w:rPr>
          <w:rFonts w:asciiTheme="minorHAnsi" w:eastAsiaTheme="minorEastAsia" w:hAnsiTheme="minorHAnsi" w:cstheme="minorBidi"/>
          <w:color w:val="auto"/>
          <w:sz w:val="22"/>
          <w:szCs w:val="22"/>
          <w:lang w:eastAsia="en-AU"/>
        </w:rPr>
        <w:tab/>
      </w:r>
      <w:r>
        <w:t>Comparator specialty groups</w:t>
      </w:r>
      <w:r>
        <w:tab/>
      </w:r>
      <w:r>
        <w:fldChar w:fldCharType="begin"/>
      </w:r>
      <w:r>
        <w:instrText xml:space="preserve"> PAGEREF _Toc351480527 \h </w:instrText>
      </w:r>
      <w:r>
        <w:fldChar w:fldCharType="separate"/>
      </w:r>
      <w:r w:rsidR="008E6665">
        <w:t>52</w:t>
      </w:r>
      <w:r>
        <w:fldChar w:fldCharType="end"/>
      </w:r>
    </w:p>
    <w:p w14:paraId="32104260"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4.2</w:t>
      </w:r>
      <w:r>
        <w:rPr>
          <w:rFonts w:asciiTheme="minorHAnsi" w:eastAsiaTheme="minorEastAsia" w:hAnsiTheme="minorHAnsi" w:cstheme="minorBidi"/>
          <w:color w:val="auto"/>
          <w:sz w:val="22"/>
          <w:szCs w:val="22"/>
          <w:lang w:eastAsia="en-AU"/>
        </w:rPr>
        <w:tab/>
      </w:r>
      <w:r>
        <w:t>Sexual Health Medicine training</w:t>
      </w:r>
      <w:r>
        <w:tab/>
      </w:r>
      <w:r>
        <w:fldChar w:fldCharType="begin"/>
      </w:r>
      <w:r>
        <w:instrText xml:space="preserve"> PAGEREF _Toc351480528 \h </w:instrText>
      </w:r>
      <w:r>
        <w:fldChar w:fldCharType="separate"/>
      </w:r>
      <w:r w:rsidR="008E6665">
        <w:t>55</w:t>
      </w:r>
      <w:r>
        <w:fldChar w:fldCharType="end"/>
      </w:r>
    </w:p>
    <w:p w14:paraId="34CF2389"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4.3</w:t>
      </w:r>
      <w:r>
        <w:rPr>
          <w:rFonts w:asciiTheme="minorHAnsi" w:eastAsiaTheme="minorEastAsia" w:hAnsiTheme="minorHAnsi" w:cstheme="minorBidi"/>
          <w:color w:val="auto"/>
          <w:sz w:val="22"/>
          <w:szCs w:val="22"/>
          <w:lang w:eastAsia="en-AU"/>
        </w:rPr>
        <w:tab/>
      </w:r>
      <w:r>
        <w:t>Sexual Health Medicine scope of practice</w:t>
      </w:r>
      <w:r>
        <w:tab/>
      </w:r>
      <w:r>
        <w:fldChar w:fldCharType="begin"/>
      </w:r>
      <w:r>
        <w:instrText xml:space="preserve"> PAGEREF _Toc351480529 \h </w:instrText>
      </w:r>
      <w:r>
        <w:fldChar w:fldCharType="separate"/>
      </w:r>
      <w:r w:rsidR="008E6665">
        <w:t>56</w:t>
      </w:r>
      <w:r>
        <w:fldChar w:fldCharType="end"/>
      </w:r>
    </w:p>
    <w:p w14:paraId="0992FD43"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4.4</w:t>
      </w:r>
      <w:r>
        <w:rPr>
          <w:rFonts w:asciiTheme="minorHAnsi" w:eastAsiaTheme="minorEastAsia" w:hAnsiTheme="minorHAnsi" w:cstheme="minorBidi"/>
          <w:color w:val="auto"/>
          <w:sz w:val="22"/>
          <w:szCs w:val="22"/>
          <w:lang w:eastAsia="en-AU"/>
        </w:rPr>
        <w:tab/>
      </w:r>
      <w:r>
        <w:t>Sexual Health Medicine interventions</w:t>
      </w:r>
      <w:r>
        <w:tab/>
      </w:r>
      <w:r>
        <w:fldChar w:fldCharType="begin"/>
      </w:r>
      <w:r>
        <w:instrText xml:space="preserve"> PAGEREF _Toc351480530 \h </w:instrText>
      </w:r>
      <w:r>
        <w:fldChar w:fldCharType="separate"/>
      </w:r>
      <w:r w:rsidR="008E6665">
        <w:t>58</w:t>
      </w:r>
      <w:r>
        <w:fldChar w:fldCharType="end"/>
      </w:r>
    </w:p>
    <w:p w14:paraId="670AB98C"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4.5</w:t>
      </w:r>
      <w:r>
        <w:rPr>
          <w:rFonts w:asciiTheme="minorHAnsi" w:eastAsiaTheme="minorEastAsia" w:hAnsiTheme="minorHAnsi" w:cstheme="minorBidi"/>
          <w:color w:val="auto"/>
          <w:sz w:val="22"/>
          <w:szCs w:val="22"/>
          <w:lang w:eastAsia="en-AU"/>
        </w:rPr>
        <w:tab/>
      </w:r>
      <w:r>
        <w:t>Sexual Health Medicine workforce</w:t>
      </w:r>
      <w:r>
        <w:tab/>
      </w:r>
      <w:r>
        <w:fldChar w:fldCharType="begin"/>
      </w:r>
      <w:r>
        <w:instrText xml:space="preserve"> PAGEREF _Toc351480531 \h </w:instrText>
      </w:r>
      <w:r>
        <w:fldChar w:fldCharType="separate"/>
      </w:r>
      <w:r w:rsidR="008E6665">
        <w:t>58</w:t>
      </w:r>
      <w:r>
        <w:fldChar w:fldCharType="end"/>
      </w:r>
    </w:p>
    <w:p w14:paraId="217D114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4.6</w:t>
      </w:r>
      <w:r>
        <w:rPr>
          <w:rFonts w:asciiTheme="minorHAnsi" w:eastAsiaTheme="minorEastAsia" w:hAnsiTheme="minorHAnsi" w:cstheme="minorBidi"/>
          <w:color w:val="auto"/>
          <w:sz w:val="22"/>
          <w:szCs w:val="22"/>
          <w:lang w:eastAsia="en-AU"/>
        </w:rPr>
        <w:tab/>
      </w:r>
      <w:r>
        <w:t>Practice settings for Sexual Health Medicine</w:t>
      </w:r>
      <w:r>
        <w:tab/>
      </w:r>
      <w:r>
        <w:fldChar w:fldCharType="begin"/>
      </w:r>
      <w:r>
        <w:instrText xml:space="preserve"> PAGEREF _Toc351480532 \h </w:instrText>
      </w:r>
      <w:r>
        <w:fldChar w:fldCharType="separate"/>
      </w:r>
      <w:r w:rsidR="008E6665">
        <w:t>60</w:t>
      </w:r>
      <w:r>
        <w:fldChar w:fldCharType="end"/>
      </w:r>
    </w:p>
    <w:p w14:paraId="560C3CA3" w14:textId="77777777" w:rsidR="00685A58" w:rsidRDefault="00685A58">
      <w:pPr>
        <w:pStyle w:val="TOC1"/>
        <w:rPr>
          <w:rFonts w:asciiTheme="minorHAnsi" w:eastAsiaTheme="minorEastAsia" w:hAnsiTheme="minorHAnsi" w:cstheme="minorBidi"/>
          <w:sz w:val="22"/>
          <w:szCs w:val="22"/>
          <w:lang w:eastAsia="en-AU"/>
        </w:rPr>
      </w:pPr>
      <w:r>
        <w:t>5</w:t>
      </w:r>
      <w:r>
        <w:rPr>
          <w:rFonts w:asciiTheme="minorHAnsi" w:eastAsiaTheme="minorEastAsia" w:hAnsiTheme="minorHAnsi" w:cstheme="minorBidi"/>
          <w:sz w:val="22"/>
          <w:szCs w:val="22"/>
          <w:lang w:eastAsia="en-AU"/>
        </w:rPr>
        <w:tab/>
      </w:r>
      <w:r>
        <w:t>Current Private Sector Remuneration Arrangements</w:t>
      </w:r>
      <w:r>
        <w:tab/>
      </w:r>
      <w:r>
        <w:fldChar w:fldCharType="begin"/>
      </w:r>
      <w:r>
        <w:instrText xml:space="preserve"> PAGEREF _Toc351480533 \h </w:instrText>
      </w:r>
      <w:r>
        <w:fldChar w:fldCharType="separate"/>
      </w:r>
      <w:r w:rsidR="008E6665">
        <w:t>66</w:t>
      </w:r>
      <w:r>
        <w:fldChar w:fldCharType="end"/>
      </w:r>
    </w:p>
    <w:p w14:paraId="2E7F1860"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5.1</w:t>
      </w:r>
      <w:r>
        <w:rPr>
          <w:rFonts w:asciiTheme="minorHAnsi" w:eastAsiaTheme="minorEastAsia" w:hAnsiTheme="minorHAnsi" w:cstheme="minorBidi"/>
          <w:color w:val="auto"/>
          <w:sz w:val="22"/>
          <w:szCs w:val="22"/>
          <w:lang w:eastAsia="en-AU"/>
        </w:rPr>
        <w:tab/>
      </w:r>
      <w:r>
        <w:t>Patient assessment and follow-up</w:t>
      </w:r>
      <w:r>
        <w:tab/>
      </w:r>
      <w:r>
        <w:fldChar w:fldCharType="begin"/>
      </w:r>
      <w:r>
        <w:instrText xml:space="preserve"> PAGEREF _Toc351480534 \h </w:instrText>
      </w:r>
      <w:r>
        <w:fldChar w:fldCharType="separate"/>
      </w:r>
      <w:r w:rsidR="008E6665">
        <w:t>66</w:t>
      </w:r>
      <w:r>
        <w:fldChar w:fldCharType="end"/>
      </w:r>
    </w:p>
    <w:p w14:paraId="5CD6E893"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5.2</w:t>
      </w:r>
      <w:r>
        <w:rPr>
          <w:rFonts w:asciiTheme="minorHAnsi" w:eastAsiaTheme="minorEastAsia" w:hAnsiTheme="minorHAnsi" w:cstheme="minorBidi"/>
          <w:color w:val="auto"/>
          <w:sz w:val="22"/>
          <w:szCs w:val="22"/>
          <w:lang w:eastAsia="en-AU"/>
        </w:rPr>
        <w:tab/>
      </w:r>
      <w:r>
        <w:t>Complex assessment, case conferencing and groups</w:t>
      </w:r>
      <w:r>
        <w:tab/>
      </w:r>
      <w:r>
        <w:fldChar w:fldCharType="begin"/>
      </w:r>
      <w:r>
        <w:instrText xml:space="preserve"> PAGEREF _Toc351480535 \h </w:instrText>
      </w:r>
      <w:r>
        <w:fldChar w:fldCharType="separate"/>
      </w:r>
      <w:r w:rsidR="008E6665">
        <w:t>67</w:t>
      </w:r>
      <w:r>
        <w:fldChar w:fldCharType="end"/>
      </w:r>
    </w:p>
    <w:p w14:paraId="3BA5371B"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5.3</w:t>
      </w:r>
      <w:r>
        <w:rPr>
          <w:rFonts w:asciiTheme="minorHAnsi" w:eastAsiaTheme="minorEastAsia" w:hAnsiTheme="minorHAnsi" w:cstheme="minorBidi"/>
          <w:color w:val="auto"/>
          <w:sz w:val="22"/>
          <w:szCs w:val="22"/>
          <w:lang w:eastAsia="en-AU"/>
        </w:rPr>
        <w:tab/>
      </w:r>
      <w:r>
        <w:t>Modelled Costs of Current Expenditure</w:t>
      </w:r>
      <w:r>
        <w:tab/>
      </w:r>
      <w:r>
        <w:fldChar w:fldCharType="begin"/>
      </w:r>
      <w:r>
        <w:instrText xml:space="preserve"> PAGEREF _Toc351480536 \h </w:instrText>
      </w:r>
      <w:r>
        <w:fldChar w:fldCharType="separate"/>
      </w:r>
      <w:r w:rsidR="008E6665">
        <w:t>71</w:t>
      </w:r>
      <w:r>
        <w:fldChar w:fldCharType="end"/>
      </w:r>
    </w:p>
    <w:p w14:paraId="4C3FC945" w14:textId="77777777" w:rsidR="00685A58" w:rsidRDefault="00685A58">
      <w:pPr>
        <w:pStyle w:val="TOC1"/>
        <w:rPr>
          <w:rFonts w:asciiTheme="minorHAnsi" w:eastAsiaTheme="minorEastAsia" w:hAnsiTheme="minorHAnsi" w:cstheme="minorBidi"/>
          <w:sz w:val="22"/>
          <w:szCs w:val="22"/>
          <w:lang w:eastAsia="en-AU"/>
        </w:rPr>
      </w:pPr>
      <w:r>
        <w:t>6</w:t>
      </w:r>
      <w:r>
        <w:rPr>
          <w:rFonts w:asciiTheme="minorHAnsi" w:eastAsiaTheme="minorEastAsia" w:hAnsiTheme="minorHAnsi" w:cstheme="minorBidi"/>
          <w:sz w:val="22"/>
          <w:szCs w:val="22"/>
          <w:lang w:eastAsia="en-AU"/>
        </w:rPr>
        <w:tab/>
      </w:r>
      <w:r>
        <w:t>Options for Future Private Sector Remuneration</w:t>
      </w:r>
      <w:r>
        <w:tab/>
      </w:r>
      <w:r>
        <w:fldChar w:fldCharType="begin"/>
      </w:r>
      <w:r>
        <w:instrText xml:space="preserve"> PAGEREF _Toc351480537 \h </w:instrText>
      </w:r>
      <w:r>
        <w:fldChar w:fldCharType="separate"/>
      </w:r>
      <w:r w:rsidR="008E6665">
        <w:t>74</w:t>
      </w:r>
      <w:r>
        <w:fldChar w:fldCharType="end"/>
      </w:r>
    </w:p>
    <w:p w14:paraId="46193A53" w14:textId="212F8197" w:rsidR="00685A58" w:rsidRDefault="00685A58">
      <w:pPr>
        <w:pStyle w:val="TOC2"/>
        <w:tabs>
          <w:tab w:val="left" w:pos="1320"/>
        </w:tabs>
        <w:rPr>
          <w:rFonts w:asciiTheme="minorHAnsi" w:eastAsiaTheme="minorEastAsia" w:hAnsiTheme="minorHAnsi" w:cstheme="minorBidi"/>
          <w:color w:val="auto"/>
          <w:sz w:val="22"/>
          <w:szCs w:val="22"/>
          <w:lang w:eastAsia="en-AU"/>
        </w:rPr>
      </w:pPr>
      <w:r>
        <w:t>6.1</w:t>
      </w:r>
      <w:r>
        <w:rPr>
          <w:rFonts w:asciiTheme="minorHAnsi" w:eastAsiaTheme="minorEastAsia" w:hAnsiTheme="minorHAnsi" w:cstheme="minorBidi"/>
          <w:color w:val="auto"/>
          <w:sz w:val="22"/>
          <w:szCs w:val="22"/>
          <w:lang w:eastAsia="en-AU"/>
        </w:rPr>
        <w:tab/>
      </w:r>
      <w:r>
        <w:t xml:space="preserve">MBS items for </w:t>
      </w:r>
      <w:r w:rsidR="00325762">
        <w:t>p</w:t>
      </w:r>
      <w:r>
        <w:t>rofessional attendances</w:t>
      </w:r>
      <w:r>
        <w:tab/>
      </w:r>
      <w:r>
        <w:fldChar w:fldCharType="begin"/>
      </w:r>
      <w:r>
        <w:instrText xml:space="preserve"> PAGEREF _Toc351480538 \h </w:instrText>
      </w:r>
      <w:r>
        <w:fldChar w:fldCharType="separate"/>
      </w:r>
      <w:r w:rsidR="008E6665">
        <w:t>74</w:t>
      </w:r>
      <w:r>
        <w:fldChar w:fldCharType="end"/>
      </w:r>
    </w:p>
    <w:p w14:paraId="50DF6F52"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6.2</w:t>
      </w:r>
      <w:r>
        <w:rPr>
          <w:rFonts w:asciiTheme="minorHAnsi" w:eastAsiaTheme="minorEastAsia" w:hAnsiTheme="minorHAnsi" w:cstheme="minorBidi"/>
          <w:color w:val="auto"/>
          <w:sz w:val="22"/>
          <w:szCs w:val="22"/>
          <w:lang w:eastAsia="en-AU"/>
        </w:rPr>
        <w:tab/>
      </w:r>
      <w:r>
        <w:t>MBS items for complex treatment and management planning</w:t>
      </w:r>
      <w:r>
        <w:tab/>
      </w:r>
      <w:r>
        <w:fldChar w:fldCharType="begin"/>
      </w:r>
      <w:r>
        <w:instrText xml:space="preserve"> PAGEREF _Toc351480539 \h </w:instrText>
      </w:r>
      <w:r>
        <w:fldChar w:fldCharType="separate"/>
      </w:r>
      <w:r w:rsidR="008E6665">
        <w:t>78</w:t>
      </w:r>
      <w:r>
        <w:fldChar w:fldCharType="end"/>
      </w:r>
    </w:p>
    <w:p w14:paraId="26BE8F9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6.3</w:t>
      </w:r>
      <w:r>
        <w:rPr>
          <w:rFonts w:asciiTheme="minorHAnsi" w:eastAsiaTheme="minorEastAsia" w:hAnsiTheme="minorHAnsi" w:cstheme="minorBidi"/>
          <w:color w:val="auto"/>
          <w:sz w:val="22"/>
          <w:szCs w:val="22"/>
          <w:lang w:eastAsia="en-AU"/>
        </w:rPr>
        <w:tab/>
      </w:r>
      <w:r>
        <w:t>MBS items for multidisciplinary case conferencing</w:t>
      </w:r>
      <w:r>
        <w:tab/>
      </w:r>
      <w:r>
        <w:fldChar w:fldCharType="begin"/>
      </w:r>
      <w:r>
        <w:instrText xml:space="preserve"> PAGEREF _Toc351480540 \h </w:instrText>
      </w:r>
      <w:r>
        <w:fldChar w:fldCharType="separate"/>
      </w:r>
      <w:r w:rsidR="008E6665">
        <w:t>80</w:t>
      </w:r>
      <w:r>
        <w:fldChar w:fldCharType="end"/>
      </w:r>
    </w:p>
    <w:p w14:paraId="77970517"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6.4</w:t>
      </w:r>
      <w:r>
        <w:rPr>
          <w:rFonts w:asciiTheme="minorHAnsi" w:eastAsiaTheme="minorEastAsia" w:hAnsiTheme="minorHAnsi" w:cstheme="minorBidi"/>
          <w:color w:val="auto"/>
          <w:sz w:val="22"/>
          <w:szCs w:val="22"/>
          <w:lang w:eastAsia="en-AU"/>
        </w:rPr>
        <w:tab/>
      </w:r>
      <w:r>
        <w:t>Additional items proposed for sexual health medicine</w:t>
      </w:r>
      <w:r>
        <w:tab/>
      </w:r>
      <w:r>
        <w:fldChar w:fldCharType="begin"/>
      </w:r>
      <w:r>
        <w:instrText xml:space="preserve"> PAGEREF _Toc351480541 \h </w:instrText>
      </w:r>
      <w:r>
        <w:fldChar w:fldCharType="separate"/>
      </w:r>
      <w:r w:rsidR="008E6665">
        <w:t>84</w:t>
      </w:r>
      <w:r>
        <w:fldChar w:fldCharType="end"/>
      </w:r>
    </w:p>
    <w:p w14:paraId="77AB4BDF" w14:textId="77777777" w:rsidR="00685A58" w:rsidRDefault="00685A58">
      <w:pPr>
        <w:pStyle w:val="TOC1"/>
        <w:rPr>
          <w:rFonts w:asciiTheme="minorHAnsi" w:eastAsiaTheme="minorEastAsia" w:hAnsiTheme="minorHAnsi" w:cstheme="minorBidi"/>
          <w:sz w:val="22"/>
          <w:szCs w:val="22"/>
          <w:lang w:eastAsia="en-AU"/>
        </w:rPr>
      </w:pPr>
      <w:r>
        <w:t>7</w:t>
      </w:r>
      <w:r>
        <w:rPr>
          <w:rFonts w:asciiTheme="minorHAnsi" w:eastAsiaTheme="minorEastAsia" w:hAnsiTheme="minorHAnsi" w:cstheme="minorBidi"/>
          <w:sz w:val="22"/>
          <w:szCs w:val="22"/>
          <w:lang w:eastAsia="en-AU"/>
        </w:rPr>
        <w:tab/>
      </w:r>
      <w:r>
        <w:t>Impact of Changes to Remuneration Arrangements</w:t>
      </w:r>
      <w:r>
        <w:tab/>
      </w:r>
      <w:r>
        <w:fldChar w:fldCharType="begin"/>
      </w:r>
      <w:r>
        <w:instrText xml:space="preserve"> PAGEREF _Toc351480542 \h </w:instrText>
      </w:r>
      <w:r>
        <w:fldChar w:fldCharType="separate"/>
      </w:r>
      <w:r w:rsidR="008E6665">
        <w:t>87</w:t>
      </w:r>
      <w:r>
        <w:fldChar w:fldCharType="end"/>
      </w:r>
    </w:p>
    <w:p w14:paraId="018AA845"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7.1</w:t>
      </w:r>
      <w:r>
        <w:rPr>
          <w:rFonts w:asciiTheme="minorHAnsi" w:eastAsiaTheme="minorEastAsia" w:hAnsiTheme="minorHAnsi" w:cstheme="minorBidi"/>
          <w:color w:val="auto"/>
          <w:sz w:val="22"/>
          <w:szCs w:val="22"/>
          <w:lang w:eastAsia="en-AU"/>
        </w:rPr>
        <w:tab/>
      </w:r>
      <w:r>
        <w:t>Modelling Objectives</w:t>
      </w:r>
      <w:r>
        <w:tab/>
      </w:r>
      <w:r>
        <w:fldChar w:fldCharType="begin"/>
      </w:r>
      <w:r>
        <w:instrText xml:space="preserve"> PAGEREF _Toc351480543 \h </w:instrText>
      </w:r>
      <w:r>
        <w:fldChar w:fldCharType="separate"/>
      </w:r>
      <w:r w:rsidR="008E6665">
        <w:t>87</w:t>
      </w:r>
      <w:r>
        <w:fldChar w:fldCharType="end"/>
      </w:r>
    </w:p>
    <w:p w14:paraId="3F661517"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7.2</w:t>
      </w:r>
      <w:r>
        <w:rPr>
          <w:rFonts w:asciiTheme="minorHAnsi" w:eastAsiaTheme="minorEastAsia" w:hAnsiTheme="minorHAnsi" w:cstheme="minorBidi"/>
          <w:color w:val="auto"/>
          <w:sz w:val="22"/>
          <w:szCs w:val="22"/>
          <w:lang w:eastAsia="en-AU"/>
        </w:rPr>
        <w:tab/>
      </w:r>
      <w:r>
        <w:t>Private Sector</w:t>
      </w:r>
      <w:r>
        <w:tab/>
      </w:r>
      <w:r>
        <w:fldChar w:fldCharType="begin"/>
      </w:r>
      <w:r>
        <w:instrText xml:space="preserve"> PAGEREF _Toc351480544 \h </w:instrText>
      </w:r>
      <w:r>
        <w:fldChar w:fldCharType="separate"/>
      </w:r>
      <w:r w:rsidR="008E6665">
        <w:t>87</w:t>
      </w:r>
      <w:r>
        <w:fldChar w:fldCharType="end"/>
      </w:r>
    </w:p>
    <w:p w14:paraId="4A43EBC6"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7.3</w:t>
      </w:r>
      <w:r>
        <w:rPr>
          <w:rFonts w:asciiTheme="minorHAnsi" w:eastAsiaTheme="minorEastAsia" w:hAnsiTheme="minorHAnsi" w:cstheme="minorBidi"/>
          <w:color w:val="auto"/>
          <w:sz w:val="22"/>
          <w:szCs w:val="22"/>
          <w:lang w:eastAsia="en-AU"/>
        </w:rPr>
        <w:tab/>
      </w:r>
      <w:r>
        <w:t>Public Sector</w:t>
      </w:r>
      <w:r>
        <w:tab/>
      </w:r>
      <w:r>
        <w:fldChar w:fldCharType="begin"/>
      </w:r>
      <w:r>
        <w:instrText xml:space="preserve"> PAGEREF _Toc351480545 \h </w:instrText>
      </w:r>
      <w:r>
        <w:fldChar w:fldCharType="separate"/>
      </w:r>
      <w:r w:rsidR="008E6665">
        <w:t>96</w:t>
      </w:r>
      <w:r>
        <w:fldChar w:fldCharType="end"/>
      </w:r>
    </w:p>
    <w:p w14:paraId="2AB8D6C2"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7.4</w:t>
      </w:r>
      <w:r>
        <w:rPr>
          <w:rFonts w:asciiTheme="minorHAnsi" w:eastAsiaTheme="minorEastAsia" w:hAnsiTheme="minorHAnsi" w:cstheme="minorBidi"/>
          <w:color w:val="auto"/>
          <w:sz w:val="22"/>
          <w:szCs w:val="22"/>
          <w:lang w:eastAsia="en-AU"/>
        </w:rPr>
        <w:tab/>
      </w:r>
      <w:r>
        <w:t>Impact upon supply of specialists</w:t>
      </w:r>
      <w:r>
        <w:tab/>
      </w:r>
      <w:r>
        <w:fldChar w:fldCharType="begin"/>
      </w:r>
      <w:r>
        <w:instrText xml:space="preserve"> PAGEREF _Toc351480546 \h </w:instrText>
      </w:r>
      <w:r>
        <w:fldChar w:fldCharType="separate"/>
      </w:r>
      <w:r w:rsidR="008E6665">
        <w:t>96</w:t>
      </w:r>
      <w:r>
        <w:fldChar w:fldCharType="end"/>
      </w:r>
    </w:p>
    <w:p w14:paraId="1013A36D"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7.5</w:t>
      </w:r>
      <w:r>
        <w:rPr>
          <w:rFonts w:asciiTheme="minorHAnsi" w:eastAsiaTheme="minorEastAsia" w:hAnsiTheme="minorHAnsi" w:cstheme="minorBidi"/>
          <w:color w:val="auto"/>
          <w:sz w:val="22"/>
          <w:szCs w:val="22"/>
          <w:lang w:eastAsia="en-AU"/>
        </w:rPr>
        <w:tab/>
      </w:r>
      <w:r>
        <w:t>Impact upon access to services</w:t>
      </w:r>
      <w:r>
        <w:tab/>
      </w:r>
      <w:r>
        <w:fldChar w:fldCharType="begin"/>
      </w:r>
      <w:r>
        <w:instrText xml:space="preserve"> PAGEREF _Toc351480547 \h </w:instrText>
      </w:r>
      <w:r>
        <w:fldChar w:fldCharType="separate"/>
      </w:r>
      <w:r w:rsidR="008E6665">
        <w:t>96</w:t>
      </w:r>
      <w:r>
        <w:fldChar w:fldCharType="end"/>
      </w:r>
    </w:p>
    <w:p w14:paraId="5C7142FF"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7.6</w:t>
      </w:r>
      <w:r>
        <w:rPr>
          <w:rFonts w:asciiTheme="minorHAnsi" w:eastAsiaTheme="minorEastAsia" w:hAnsiTheme="minorHAnsi" w:cstheme="minorBidi"/>
          <w:color w:val="auto"/>
          <w:sz w:val="22"/>
          <w:szCs w:val="22"/>
          <w:lang w:eastAsia="en-AU"/>
        </w:rPr>
        <w:tab/>
      </w:r>
      <w:r>
        <w:t>Impact upon patient outcomes</w:t>
      </w:r>
      <w:r>
        <w:tab/>
      </w:r>
      <w:r>
        <w:fldChar w:fldCharType="begin"/>
      </w:r>
      <w:r>
        <w:instrText xml:space="preserve"> PAGEREF _Toc351480548 \h </w:instrText>
      </w:r>
      <w:r>
        <w:fldChar w:fldCharType="separate"/>
      </w:r>
      <w:r w:rsidR="008E6665">
        <w:t>96</w:t>
      </w:r>
      <w:r>
        <w:fldChar w:fldCharType="end"/>
      </w:r>
    </w:p>
    <w:p w14:paraId="00240589"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7.7</w:t>
      </w:r>
      <w:r>
        <w:rPr>
          <w:rFonts w:asciiTheme="minorHAnsi" w:eastAsiaTheme="minorEastAsia" w:hAnsiTheme="minorHAnsi" w:cstheme="minorBidi"/>
          <w:color w:val="auto"/>
          <w:sz w:val="22"/>
          <w:szCs w:val="22"/>
          <w:lang w:eastAsia="en-AU"/>
        </w:rPr>
        <w:tab/>
      </w:r>
      <w:r>
        <w:t>Impact upon private sector providers</w:t>
      </w:r>
      <w:r>
        <w:tab/>
      </w:r>
      <w:r>
        <w:fldChar w:fldCharType="begin"/>
      </w:r>
      <w:r>
        <w:instrText xml:space="preserve"> PAGEREF _Toc351480549 \h </w:instrText>
      </w:r>
      <w:r>
        <w:fldChar w:fldCharType="separate"/>
      </w:r>
      <w:r w:rsidR="008E6665">
        <w:t>97</w:t>
      </w:r>
      <w:r>
        <w:fldChar w:fldCharType="end"/>
      </w:r>
    </w:p>
    <w:p w14:paraId="00F50488" w14:textId="77777777" w:rsidR="00685A58" w:rsidRDefault="00685A58">
      <w:pPr>
        <w:pStyle w:val="TOC2"/>
        <w:tabs>
          <w:tab w:val="left" w:pos="1320"/>
        </w:tabs>
        <w:rPr>
          <w:rFonts w:asciiTheme="minorHAnsi" w:eastAsiaTheme="minorEastAsia" w:hAnsiTheme="minorHAnsi" w:cstheme="minorBidi"/>
          <w:color w:val="auto"/>
          <w:sz w:val="22"/>
          <w:szCs w:val="22"/>
          <w:lang w:eastAsia="en-AU"/>
        </w:rPr>
      </w:pPr>
      <w:r>
        <w:t>7.8</w:t>
      </w:r>
      <w:r>
        <w:rPr>
          <w:rFonts w:asciiTheme="minorHAnsi" w:eastAsiaTheme="minorEastAsia" w:hAnsiTheme="minorHAnsi" w:cstheme="minorBidi"/>
          <w:color w:val="auto"/>
          <w:sz w:val="22"/>
          <w:szCs w:val="22"/>
          <w:lang w:eastAsia="en-AU"/>
        </w:rPr>
        <w:tab/>
      </w:r>
      <w:r>
        <w:t>Impact upon public sector services</w:t>
      </w:r>
      <w:r>
        <w:tab/>
      </w:r>
      <w:r>
        <w:fldChar w:fldCharType="begin"/>
      </w:r>
      <w:r>
        <w:instrText xml:space="preserve"> PAGEREF _Toc351480550 \h </w:instrText>
      </w:r>
      <w:r>
        <w:fldChar w:fldCharType="separate"/>
      </w:r>
      <w:r w:rsidR="008E6665">
        <w:t>97</w:t>
      </w:r>
      <w:r>
        <w:fldChar w:fldCharType="end"/>
      </w:r>
    </w:p>
    <w:p w14:paraId="52BB8BE1" w14:textId="7275C9D7" w:rsidR="00685A58" w:rsidRDefault="00685A58" w:rsidP="00F14724">
      <w:pPr>
        <w:pStyle w:val="TOC2"/>
        <w:tabs>
          <w:tab w:val="left" w:pos="1320"/>
        </w:tabs>
        <w:ind w:left="1317" w:hanging="750"/>
        <w:rPr>
          <w:rFonts w:asciiTheme="minorHAnsi" w:eastAsiaTheme="minorEastAsia" w:hAnsiTheme="minorHAnsi" w:cstheme="minorBidi"/>
          <w:color w:val="auto"/>
          <w:sz w:val="22"/>
          <w:szCs w:val="22"/>
          <w:lang w:eastAsia="en-AU"/>
        </w:rPr>
      </w:pPr>
      <w:r>
        <w:t>7.9</w:t>
      </w:r>
      <w:r>
        <w:rPr>
          <w:rFonts w:asciiTheme="minorHAnsi" w:eastAsiaTheme="minorEastAsia" w:hAnsiTheme="minorHAnsi" w:cstheme="minorBidi"/>
          <w:color w:val="auto"/>
          <w:sz w:val="22"/>
          <w:szCs w:val="22"/>
          <w:lang w:eastAsia="en-AU"/>
        </w:rPr>
        <w:tab/>
      </w:r>
      <w:r>
        <w:t>Impact upon overall health expenditure (relative cost</w:t>
      </w:r>
      <w:r w:rsidR="00F14724">
        <w:br/>
      </w:r>
      <w:r>
        <w:t>effectiveness)</w:t>
      </w:r>
      <w:r>
        <w:tab/>
      </w:r>
      <w:r>
        <w:fldChar w:fldCharType="begin"/>
      </w:r>
      <w:r>
        <w:instrText xml:space="preserve"> PAGEREF _Toc351480551 \h </w:instrText>
      </w:r>
      <w:r>
        <w:fldChar w:fldCharType="separate"/>
      </w:r>
      <w:r w:rsidR="008E6665">
        <w:t>98</w:t>
      </w:r>
      <w:r>
        <w:fldChar w:fldCharType="end"/>
      </w:r>
    </w:p>
    <w:p w14:paraId="07E34401" w14:textId="6BDA6FCF" w:rsidR="00B525F2" w:rsidRDefault="00A42CFB" w:rsidP="00B525F2">
      <w:pPr>
        <w:pStyle w:val="TableofFigures"/>
        <w:tabs>
          <w:tab w:val="left" w:pos="851"/>
        </w:tabs>
        <w:rPr>
          <w:b/>
          <w:sz w:val="24"/>
        </w:rPr>
      </w:pPr>
      <w:r>
        <w:rPr>
          <w:b/>
          <w:sz w:val="24"/>
        </w:rPr>
        <w:fldChar w:fldCharType="end"/>
      </w:r>
    </w:p>
    <w:p w14:paraId="2533913B" w14:textId="77777777" w:rsidR="00B525F2" w:rsidRDefault="00B525F2" w:rsidP="00B525F2">
      <w:pPr>
        <w:pStyle w:val="TableofFigures"/>
        <w:tabs>
          <w:tab w:val="left" w:pos="851"/>
        </w:tabs>
        <w:rPr>
          <w:b/>
          <w:sz w:val="24"/>
        </w:rPr>
      </w:pPr>
    </w:p>
    <w:p w14:paraId="0A8E4FFA" w14:textId="57AE5E9C" w:rsidR="00337D61" w:rsidRPr="00337D61" w:rsidRDefault="00F86829" w:rsidP="00F333A1">
      <w:pPr>
        <w:pStyle w:val="TableofFigures"/>
        <w:ind w:left="0" w:firstLine="0"/>
        <w:rPr>
          <w:rStyle w:val="Hyperlink"/>
          <w:rFonts w:ascii="Arial Narrow" w:hAnsi="Arial Narrow"/>
        </w:rPr>
      </w:pPr>
      <w:r w:rsidRPr="00B82FE2">
        <w:rPr>
          <w:b/>
        </w:rPr>
        <w:t>Index of Figures</w:t>
      </w:r>
      <w:r w:rsidR="00FF19B1" w:rsidRPr="00B82FE2">
        <w:rPr>
          <w:rFonts w:ascii="Arial Narrow" w:hAnsi="Arial Narrow"/>
          <w:b/>
        </w:rPr>
        <w:fldChar w:fldCharType="begin"/>
      </w:r>
      <w:r w:rsidRPr="00B82FE2">
        <w:rPr>
          <w:rFonts w:ascii="Arial Narrow" w:hAnsi="Arial Narrow"/>
          <w:b/>
        </w:rPr>
        <w:instrText xml:space="preserve"> TOC \h \z \c "Figure" </w:instrText>
      </w:r>
      <w:r w:rsidR="00FF19B1" w:rsidRPr="00B82FE2">
        <w:rPr>
          <w:rFonts w:ascii="Arial Narrow" w:hAnsi="Arial Narrow"/>
          <w:b/>
        </w:rPr>
        <w:fldChar w:fldCharType="separate"/>
      </w:r>
    </w:p>
    <w:p w14:paraId="109ECED7" w14:textId="77777777" w:rsidR="00337D61" w:rsidRPr="00337D61" w:rsidRDefault="008E6665">
      <w:pPr>
        <w:pStyle w:val="TableofFigures"/>
        <w:tabs>
          <w:tab w:val="left" w:pos="1320"/>
        </w:tabs>
        <w:rPr>
          <w:rStyle w:val="Hyperlink"/>
          <w:rFonts w:ascii="Arial Narrow" w:hAnsi="Arial Narrow"/>
        </w:rPr>
      </w:pPr>
      <w:hyperlink w:anchor="_Toc351129604" w:history="1">
        <w:r w:rsidR="00337D61" w:rsidRPr="00337D61">
          <w:rPr>
            <w:rStyle w:val="Hyperlink"/>
            <w:rFonts w:ascii="Arial Narrow" w:hAnsi="Arial Narrow"/>
          </w:rPr>
          <w:t>Figure 2</w:t>
        </w:r>
        <w:r w:rsidR="00337D61" w:rsidRPr="00337D61">
          <w:rPr>
            <w:rStyle w:val="Hyperlink"/>
            <w:rFonts w:ascii="Arial Narrow" w:hAnsi="Arial Narrow"/>
          </w:rPr>
          <w:noBreakHyphen/>
          <w:t>1:</w:t>
        </w:r>
        <w:r w:rsidR="00337D61" w:rsidRPr="00337D61">
          <w:rPr>
            <w:rStyle w:val="Hyperlink"/>
            <w:rFonts w:ascii="Arial Narrow" w:hAnsi="Arial Narrow"/>
          </w:rPr>
          <w:tab/>
          <w:t>National estimates of reportable STIs in Australia per annum</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_Toc351129604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28</w:t>
        </w:r>
        <w:r w:rsidR="00337D61" w:rsidRPr="00337D61">
          <w:rPr>
            <w:rStyle w:val="Hyperlink"/>
            <w:rFonts w:ascii="Arial Narrow" w:hAnsi="Arial Narrow"/>
            <w:webHidden/>
          </w:rPr>
          <w:fldChar w:fldCharType="end"/>
        </w:r>
      </w:hyperlink>
    </w:p>
    <w:p w14:paraId="3771B73E" w14:textId="77777777" w:rsidR="00337D61" w:rsidRPr="00337D61" w:rsidRDefault="008E6665">
      <w:pPr>
        <w:pStyle w:val="TableofFigures"/>
        <w:tabs>
          <w:tab w:val="left" w:pos="1320"/>
        </w:tabs>
        <w:rPr>
          <w:rStyle w:val="Hyperlink"/>
          <w:rFonts w:ascii="Arial Narrow" w:hAnsi="Arial Narrow"/>
        </w:rPr>
      </w:pPr>
      <w:hyperlink w:anchor="_Toc351129605" w:history="1">
        <w:r w:rsidR="00337D61" w:rsidRPr="00337D61">
          <w:rPr>
            <w:rStyle w:val="Hyperlink"/>
            <w:rFonts w:ascii="Arial Narrow" w:hAnsi="Arial Narrow"/>
          </w:rPr>
          <w:t>Figure 4</w:t>
        </w:r>
        <w:r w:rsidR="00337D61" w:rsidRPr="00337D61">
          <w:rPr>
            <w:rStyle w:val="Hyperlink"/>
            <w:rFonts w:ascii="Arial Narrow" w:hAnsi="Arial Narrow"/>
          </w:rPr>
          <w:noBreakHyphen/>
          <w:t>1:</w:t>
        </w:r>
        <w:r w:rsidR="00337D61" w:rsidRPr="00337D61">
          <w:rPr>
            <w:rStyle w:val="Hyperlink"/>
            <w:rFonts w:ascii="Arial Narrow" w:hAnsi="Arial Narrow"/>
          </w:rPr>
          <w:tab/>
          <w:t>Accredited S100 prescribers of HIV medications across Australia</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_Toc351129605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53</w:t>
        </w:r>
        <w:r w:rsidR="00337D61" w:rsidRPr="00337D61">
          <w:rPr>
            <w:rStyle w:val="Hyperlink"/>
            <w:rFonts w:ascii="Arial Narrow" w:hAnsi="Arial Narrow"/>
            <w:webHidden/>
          </w:rPr>
          <w:fldChar w:fldCharType="end"/>
        </w:r>
      </w:hyperlink>
    </w:p>
    <w:p w14:paraId="208F94A6" w14:textId="77777777" w:rsidR="00337D61" w:rsidRPr="00337D61" w:rsidRDefault="008E6665">
      <w:pPr>
        <w:pStyle w:val="TableofFigures"/>
        <w:tabs>
          <w:tab w:val="left" w:pos="1320"/>
        </w:tabs>
        <w:rPr>
          <w:rStyle w:val="Hyperlink"/>
          <w:rFonts w:ascii="Arial Narrow" w:hAnsi="Arial Narrow"/>
        </w:rPr>
      </w:pPr>
      <w:hyperlink w:anchor="_Toc351129606" w:history="1">
        <w:r w:rsidR="00337D61" w:rsidRPr="00337D61">
          <w:rPr>
            <w:rStyle w:val="Hyperlink"/>
            <w:rFonts w:ascii="Arial Narrow" w:hAnsi="Arial Narrow"/>
          </w:rPr>
          <w:t>Figure 4</w:t>
        </w:r>
        <w:r w:rsidR="00337D61" w:rsidRPr="00337D61">
          <w:rPr>
            <w:rStyle w:val="Hyperlink"/>
            <w:rFonts w:ascii="Arial Narrow" w:hAnsi="Arial Narrow"/>
          </w:rPr>
          <w:noBreakHyphen/>
          <w:t>2:</w:t>
        </w:r>
        <w:r w:rsidR="00337D61" w:rsidRPr="00337D61">
          <w:rPr>
            <w:rStyle w:val="Hyperlink"/>
            <w:rFonts w:ascii="Arial Narrow" w:hAnsi="Arial Narrow"/>
          </w:rPr>
          <w:tab/>
          <w:t>Standardised Distribution of Specialists across Australia 2011</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_Toc351129606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59</w:t>
        </w:r>
        <w:r w:rsidR="00337D61" w:rsidRPr="00337D61">
          <w:rPr>
            <w:rStyle w:val="Hyperlink"/>
            <w:rFonts w:ascii="Arial Narrow" w:hAnsi="Arial Narrow"/>
            <w:webHidden/>
          </w:rPr>
          <w:fldChar w:fldCharType="end"/>
        </w:r>
      </w:hyperlink>
    </w:p>
    <w:p w14:paraId="3F4676F3" w14:textId="77777777" w:rsidR="00337D61" w:rsidRPr="00337D61" w:rsidRDefault="008E6665">
      <w:pPr>
        <w:pStyle w:val="TableofFigures"/>
        <w:tabs>
          <w:tab w:val="left" w:pos="1320"/>
        </w:tabs>
        <w:rPr>
          <w:rStyle w:val="Hyperlink"/>
          <w:rFonts w:ascii="Arial Narrow" w:hAnsi="Arial Narrow"/>
        </w:rPr>
      </w:pPr>
      <w:hyperlink w:anchor="_Toc351129607" w:history="1">
        <w:r w:rsidR="00337D61" w:rsidRPr="00337D61">
          <w:rPr>
            <w:rStyle w:val="Hyperlink"/>
            <w:rFonts w:ascii="Arial Narrow" w:hAnsi="Arial Narrow"/>
          </w:rPr>
          <w:t>Figure 4</w:t>
        </w:r>
        <w:r w:rsidR="00337D61" w:rsidRPr="00337D61">
          <w:rPr>
            <w:rStyle w:val="Hyperlink"/>
            <w:rFonts w:ascii="Arial Narrow" w:hAnsi="Arial Narrow"/>
          </w:rPr>
          <w:noBreakHyphen/>
          <w:t>3:</w:t>
        </w:r>
        <w:r w:rsidR="00337D61" w:rsidRPr="00337D61">
          <w:rPr>
            <w:rStyle w:val="Hyperlink"/>
            <w:rFonts w:ascii="Arial Narrow" w:hAnsi="Arial Narrow"/>
          </w:rPr>
          <w:tab/>
          <w:t>MBS billing episodes for Sexual Health Specialists per annum (2010-12)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_Toc351129607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61</w:t>
        </w:r>
        <w:r w:rsidR="00337D61" w:rsidRPr="00337D61">
          <w:rPr>
            <w:rStyle w:val="Hyperlink"/>
            <w:rFonts w:ascii="Arial Narrow" w:hAnsi="Arial Narrow"/>
            <w:webHidden/>
          </w:rPr>
          <w:fldChar w:fldCharType="end"/>
        </w:r>
      </w:hyperlink>
    </w:p>
    <w:p w14:paraId="0D4E2F88" w14:textId="77777777" w:rsidR="00337D61" w:rsidRPr="00337D61" w:rsidRDefault="008E6665">
      <w:pPr>
        <w:pStyle w:val="TableofFigures"/>
        <w:tabs>
          <w:tab w:val="left" w:pos="1320"/>
        </w:tabs>
        <w:rPr>
          <w:rStyle w:val="Hyperlink"/>
          <w:rFonts w:ascii="Arial Narrow" w:hAnsi="Arial Narrow"/>
        </w:rPr>
      </w:pPr>
      <w:hyperlink w:anchor="_Toc351129608" w:history="1">
        <w:r w:rsidR="00337D61" w:rsidRPr="00337D61">
          <w:rPr>
            <w:rStyle w:val="Hyperlink"/>
            <w:rFonts w:ascii="Arial Narrow" w:hAnsi="Arial Narrow"/>
          </w:rPr>
          <w:t>Figure 4</w:t>
        </w:r>
        <w:r w:rsidR="00337D61" w:rsidRPr="00337D61">
          <w:rPr>
            <w:rStyle w:val="Hyperlink"/>
            <w:rFonts w:ascii="Arial Narrow" w:hAnsi="Arial Narrow"/>
          </w:rPr>
          <w:noBreakHyphen/>
          <w:t>4:</w:t>
        </w:r>
        <w:r w:rsidR="00337D61" w:rsidRPr="00337D61">
          <w:rPr>
            <w:rStyle w:val="Hyperlink"/>
            <w:rFonts w:ascii="Arial Narrow" w:hAnsi="Arial Narrow"/>
          </w:rPr>
          <w:tab/>
          <w:t>Average episodes per actual day of MBS billing (2010-12)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_Toc351129608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62</w:t>
        </w:r>
        <w:r w:rsidR="00337D61" w:rsidRPr="00337D61">
          <w:rPr>
            <w:rStyle w:val="Hyperlink"/>
            <w:rFonts w:ascii="Arial Narrow" w:hAnsi="Arial Narrow"/>
            <w:webHidden/>
          </w:rPr>
          <w:fldChar w:fldCharType="end"/>
        </w:r>
      </w:hyperlink>
    </w:p>
    <w:p w14:paraId="0B82336D" w14:textId="77777777" w:rsidR="00337D61" w:rsidRPr="00337D61" w:rsidRDefault="008E6665">
      <w:pPr>
        <w:pStyle w:val="TableofFigures"/>
        <w:tabs>
          <w:tab w:val="left" w:pos="1320"/>
        </w:tabs>
        <w:rPr>
          <w:rStyle w:val="Hyperlink"/>
          <w:rFonts w:ascii="Arial Narrow" w:hAnsi="Arial Narrow"/>
        </w:rPr>
      </w:pPr>
      <w:hyperlink w:anchor="_Toc351129609" w:history="1">
        <w:r w:rsidR="00337D61" w:rsidRPr="00337D61">
          <w:rPr>
            <w:rStyle w:val="Hyperlink"/>
            <w:rFonts w:ascii="Arial Narrow" w:hAnsi="Arial Narrow"/>
          </w:rPr>
          <w:t>Figure 4</w:t>
        </w:r>
        <w:r w:rsidR="00337D61" w:rsidRPr="00337D61">
          <w:rPr>
            <w:rStyle w:val="Hyperlink"/>
            <w:rFonts w:ascii="Arial Narrow" w:hAnsi="Arial Narrow"/>
          </w:rPr>
          <w:noBreakHyphen/>
          <w:t>5:</w:t>
        </w:r>
        <w:r w:rsidR="00337D61" w:rsidRPr="00337D61">
          <w:rPr>
            <w:rStyle w:val="Hyperlink"/>
            <w:rFonts w:ascii="Arial Narrow" w:hAnsi="Arial Narrow"/>
          </w:rPr>
          <w:tab/>
          <w:t>Average days per week of MBS billing (2010-12)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_Toc351129609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63</w:t>
        </w:r>
        <w:r w:rsidR="00337D61" w:rsidRPr="00337D61">
          <w:rPr>
            <w:rStyle w:val="Hyperlink"/>
            <w:rFonts w:ascii="Arial Narrow" w:hAnsi="Arial Narrow"/>
            <w:webHidden/>
          </w:rPr>
          <w:fldChar w:fldCharType="end"/>
        </w:r>
      </w:hyperlink>
    </w:p>
    <w:p w14:paraId="1CFB86DC" w14:textId="77777777" w:rsidR="00337D61" w:rsidRPr="00337D61" w:rsidRDefault="008E6665">
      <w:pPr>
        <w:pStyle w:val="TableofFigures"/>
        <w:tabs>
          <w:tab w:val="left" w:pos="1320"/>
        </w:tabs>
        <w:rPr>
          <w:rStyle w:val="Hyperlink"/>
          <w:rFonts w:ascii="Arial Narrow" w:hAnsi="Arial Narrow"/>
        </w:rPr>
      </w:pPr>
      <w:hyperlink w:anchor="_Toc351129610" w:history="1">
        <w:r w:rsidR="00337D61" w:rsidRPr="00337D61">
          <w:rPr>
            <w:rStyle w:val="Hyperlink"/>
            <w:rFonts w:ascii="Arial Narrow" w:hAnsi="Arial Narrow"/>
          </w:rPr>
          <w:t>Figure 4</w:t>
        </w:r>
        <w:r w:rsidR="00337D61" w:rsidRPr="00337D61">
          <w:rPr>
            <w:rStyle w:val="Hyperlink"/>
            <w:rFonts w:ascii="Arial Narrow" w:hAnsi="Arial Narrow"/>
          </w:rPr>
          <w:noBreakHyphen/>
          <w:t>6:</w:t>
        </w:r>
        <w:r w:rsidR="00337D61" w:rsidRPr="00337D61">
          <w:rPr>
            <w:rStyle w:val="Hyperlink"/>
            <w:rFonts w:ascii="Arial Narrow" w:hAnsi="Arial Narrow"/>
          </w:rPr>
          <w:tab/>
          <w:t>Average weeks per year of MBS billing (2010-12)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_Toc351129610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64</w:t>
        </w:r>
        <w:r w:rsidR="00337D61" w:rsidRPr="00337D61">
          <w:rPr>
            <w:rStyle w:val="Hyperlink"/>
            <w:rFonts w:ascii="Arial Narrow" w:hAnsi="Arial Narrow"/>
            <w:webHidden/>
          </w:rPr>
          <w:fldChar w:fldCharType="end"/>
        </w:r>
      </w:hyperlink>
    </w:p>
    <w:p w14:paraId="78716A7A" w14:textId="77777777" w:rsidR="00337D61" w:rsidRPr="00337D61" w:rsidRDefault="008E6665">
      <w:pPr>
        <w:pStyle w:val="TableofFigures"/>
        <w:tabs>
          <w:tab w:val="left" w:pos="1320"/>
        </w:tabs>
        <w:rPr>
          <w:rStyle w:val="Hyperlink"/>
          <w:rFonts w:ascii="Arial Narrow" w:hAnsi="Arial Narrow"/>
        </w:rPr>
      </w:pPr>
      <w:hyperlink w:anchor="_Toc351129611" w:history="1">
        <w:r w:rsidR="00337D61" w:rsidRPr="00337D61">
          <w:rPr>
            <w:rStyle w:val="Hyperlink"/>
            <w:rFonts w:ascii="Arial Narrow" w:hAnsi="Arial Narrow"/>
          </w:rPr>
          <w:t>Figure 4</w:t>
        </w:r>
        <w:r w:rsidR="00337D61" w:rsidRPr="00337D61">
          <w:rPr>
            <w:rStyle w:val="Hyperlink"/>
            <w:rFonts w:ascii="Arial Narrow" w:hAnsi="Arial Narrow"/>
          </w:rPr>
          <w:noBreakHyphen/>
          <w:t>7:</w:t>
        </w:r>
        <w:r w:rsidR="00337D61" w:rsidRPr="00337D61">
          <w:rPr>
            <w:rStyle w:val="Hyperlink"/>
            <w:rFonts w:ascii="Arial Narrow" w:hAnsi="Arial Narrow"/>
          </w:rPr>
          <w:tab/>
          <w:t>Sexual Health Medicine MBS billing by Australian jurisdiction (2010-12)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_Toc351129611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65</w:t>
        </w:r>
        <w:r w:rsidR="00337D61" w:rsidRPr="00337D61">
          <w:rPr>
            <w:rStyle w:val="Hyperlink"/>
            <w:rFonts w:ascii="Arial Narrow" w:hAnsi="Arial Narrow"/>
            <w:webHidden/>
          </w:rPr>
          <w:fldChar w:fldCharType="end"/>
        </w:r>
      </w:hyperlink>
    </w:p>
    <w:p w14:paraId="320ED23E" w14:textId="77777777" w:rsidR="00337D61" w:rsidRPr="00337D61" w:rsidRDefault="008E6665">
      <w:pPr>
        <w:pStyle w:val="TableofFigures"/>
        <w:tabs>
          <w:tab w:val="left" w:pos="1320"/>
        </w:tabs>
        <w:rPr>
          <w:rStyle w:val="Hyperlink"/>
          <w:rFonts w:ascii="Arial Narrow" w:hAnsi="Arial Narrow"/>
        </w:rPr>
      </w:pPr>
      <w:hyperlink w:anchor="_Toc351129612" w:history="1">
        <w:r w:rsidR="00337D61" w:rsidRPr="00337D61">
          <w:rPr>
            <w:rStyle w:val="Hyperlink"/>
            <w:rFonts w:ascii="Arial Narrow" w:hAnsi="Arial Narrow"/>
          </w:rPr>
          <w:t>Figure 4</w:t>
        </w:r>
        <w:r w:rsidR="00337D61" w:rsidRPr="00337D61">
          <w:rPr>
            <w:rStyle w:val="Hyperlink"/>
            <w:rFonts w:ascii="Arial Narrow" w:hAnsi="Arial Narrow"/>
          </w:rPr>
          <w:noBreakHyphen/>
          <w:t>8:</w:t>
        </w:r>
        <w:r w:rsidR="00337D61" w:rsidRPr="00337D61">
          <w:rPr>
            <w:rStyle w:val="Hyperlink"/>
            <w:rFonts w:ascii="Arial Narrow" w:hAnsi="Arial Narrow"/>
          </w:rPr>
          <w:tab/>
          <w:t>Comparison of Sexual Health Medicine and General Practice billing</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_Toc351129612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65</w:t>
        </w:r>
        <w:r w:rsidR="00337D61" w:rsidRPr="00337D61">
          <w:rPr>
            <w:rStyle w:val="Hyperlink"/>
            <w:rFonts w:ascii="Arial Narrow" w:hAnsi="Arial Narrow"/>
            <w:webHidden/>
          </w:rPr>
          <w:fldChar w:fldCharType="end"/>
        </w:r>
      </w:hyperlink>
    </w:p>
    <w:p w14:paraId="7DA45B07" w14:textId="77777777" w:rsidR="00337D61" w:rsidRPr="00337D61" w:rsidRDefault="008E6665">
      <w:pPr>
        <w:pStyle w:val="TableofFigures"/>
        <w:tabs>
          <w:tab w:val="left" w:pos="1320"/>
        </w:tabs>
        <w:rPr>
          <w:rStyle w:val="Hyperlink"/>
          <w:rFonts w:ascii="Arial Narrow" w:hAnsi="Arial Narrow"/>
        </w:rPr>
      </w:pPr>
      <w:hyperlink w:anchor="_Toc351129613" w:history="1">
        <w:r w:rsidR="00337D61" w:rsidRPr="00337D61">
          <w:rPr>
            <w:rStyle w:val="Hyperlink"/>
            <w:rFonts w:ascii="Arial Narrow" w:hAnsi="Arial Narrow"/>
          </w:rPr>
          <w:t>Figure 5</w:t>
        </w:r>
        <w:r w:rsidR="00337D61" w:rsidRPr="00337D61">
          <w:rPr>
            <w:rStyle w:val="Hyperlink"/>
            <w:rFonts w:ascii="Arial Narrow" w:hAnsi="Arial Narrow"/>
          </w:rPr>
          <w:noBreakHyphen/>
          <w:t>1:</w:t>
        </w:r>
        <w:r w:rsidR="00337D61" w:rsidRPr="00337D61">
          <w:rPr>
            <w:rStyle w:val="Hyperlink"/>
            <w:rFonts w:ascii="Arial Narrow" w:hAnsi="Arial Narrow"/>
          </w:rPr>
          <w:tab/>
          <w:t>Proportion of MBS item groups claimed by SHM specialists (2010-12)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_Toc351129613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69</w:t>
        </w:r>
        <w:r w:rsidR="00337D61" w:rsidRPr="00337D61">
          <w:rPr>
            <w:rStyle w:val="Hyperlink"/>
            <w:rFonts w:ascii="Arial Narrow" w:hAnsi="Arial Narrow"/>
            <w:webHidden/>
          </w:rPr>
          <w:fldChar w:fldCharType="end"/>
        </w:r>
      </w:hyperlink>
    </w:p>
    <w:p w14:paraId="254518D3" w14:textId="77777777" w:rsidR="00337D61" w:rsidRPr="00337D61" w:rsidRDefault="008E6665">
      <w:pPr>
        <w:pStyle w:val="TableofFigures"/>
        <w:tabs>
          <w:tab w:val="left" w:pos="1320"/>
        </w:tabs>
        <w:rPr>
          <w:rStyle w:val="Hyperlink"/>
          <w:rFonts w:ascii="Arial Narrow" w:hAnsi="Arial Narrow"/>
        </w:rPr>
      </w:pPr>
      <w:hyperlink w:anchor="_Toc351129614" w:history="1">
        <w:r w:rsidR="00337D61" w:rsidRPr="00337D61">
          <w:rPr>
            <w:rStyle w:val="Hyperlink"/>
            <w:rFonts w:ascii="Arial Narrow" w:hAnsi="Arial Narrow"/>
          </w:rPr>
          <w:t>Figure 5</w:t>
        </w:r>
        <w:r w:rsidR="00337D61" w:rsidRPr="00337D61">
          <w:rPr>
            <w:rStyle w:val="Hyperlink"/>
            <w:rFonts w:ascii="Arial Narrow" w:hAnsi="Arial Narrow"/>
          </w:rPr>
          <w:noBreakHyphen/>
          <w:t>2:</w:t>
        </w:r>
        <w:r w:rsidR="00337D61" w:rsidRPr="00337D61">
          <w:rPr>
            <w:rStyle w:val="Hyperlink"/>
            <w:rFonts w:ascii="Arial Narrow" w:hAnsi="Arial Narrow"/>
          </w:rPr>
          <w:tab/>
          <w:t>Proportion of MBS item group costs for SHM specialists (at $ 2013)</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_Toc351129614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69</w:t>
        </w:r>
        <w:r w:rsidR="00337D61" w:rsidRPr="00337D61">
          <w:rPr>
            <w:rStyle w:val="Hyperlink"/>
            <w:rFonts w:ascii="Arial Narrow" w:hAnsi="Arial Narrow"/>
            <w:webHidden/>
          </w:rPr>
          <w:fldChar w:fldCharType="end"/>
        </w:r>
      </w:hyperlink>
    </w:p>
    <w:p w14:paraId="66D6251A" w14:textId="77777777" w:rsidR="00337D61" w:rsidRPr="00337D61" w:rsidRDefault="008E6665">
      <w:pPr>
        <w:pStyle w:val="TableofFigures"/>
        <w:tabs>
          <w:tab w:val="left" w:pos="1320"/>
        </w:tabs>
        <w:rPr>
          <w:rStyle w:val="Hyperlink"/>
          <w:rFonts w:ascii="Arial Narrow" w:hAnsi="Arial Narrow"/>
        </w:rPr>
      </w:pPr>
      <w:hyperlink w:anchor="_Toc351129615" w:history="1">
        <w:r w:rsidR="00337D61" w:rsidRPr="00337D61">
          <w:rPr>
            <w:rStyle w:val="Hyperlink"/>
            <w:rFonts w:ascii="Arial Narrow" w:hAnsi="Arial Narrow"/>
          </w:rPr>
          <w:t>Figure 5</w:t>
        </w:r>
        <w:r w:rsidR="00337D61" w:rsidRPr="00337D61">
          <w:rPr>
            <w:rStyle w:val="Hyperlink"/>
            <w:rFonts w:ascii="Arial Narrow" w:hAnsi="Arial Narrow"/>
          </w:rPr>
          <w:noBreakHyphen/>
          <w:t>3:</w:t>
        </w:r>
        <w:r w:rsidR="00337D61" w:rsidRPr="00337D61">
          <w:rPr>
            <w:rStyle w:val="Hyperlink"/>
            <w:rFonts w:ascii="Arial Narrow" w:hAnsi="Arial Narrow"/>
          </w:rPr>
          <w:tab/>
          <w:t>General Practice billing of MBS item groups for sexual health problems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_Toc351129615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70</w:t>
        </w:r>
        <w:r w:rsidR="00337D61" w:rsidRPr="00337D61">
          <w:rPr>
            <w:rStyle w:val="Hyperlink"/>
            <w:rFonts w:ascii="Arial Narrow" w:hAnsi="Arial Narrow"/>
            <w:webHidden/>
          </w:rPr>
          <w:fldChar w:fldCharType="end"/>
        </w:r>
      </w:hyperlink>
    </w:p>
    <w:p w14:paraId="405A371A" w14:textId="40CEA4F9" w:rsidR="00337D61" w:rsidRPr="00337D61" w:rsidRDefault="008E6665">
      <w:pPr>
        <w:pStyle w:val="TableofFigures"/>
        <w:tabs>
          <w:tab w:val="left" w:pos="1320"/>
        </w:tabs>
        <w:rPr>
          <w:rStyle w:val="Hyperlink"/>
          <w:rFonts w:ascii="Arial Narrow" w:hAnsi="Arial Narrow"/>
        </w:rPr>
      </w:pPr>
      <w:hyperlink w:anchor="_Toc351129616" w:history="1">
        <w:r w:rsidR="00337D61" w:rsidRPr="00337D61">
          <w:rPr>
            <w:rStyle w:val="Hyperlink"/>
            <w:rFonts w:ascii="Arial Narrow" w:hAnsi="Arial Narrow"/>
          </w:rPr>
          <w:t>Figure 5</w:t>
        </w:r>
        <w:r w:rsidR="00337D61" w:rsidRPr="00337D61">
          <w:rPr>
            <w:rStyle w:val="Hyperlink"/>
            <w:rFonts w:ascii="Arial Narrow" w:hAnsi="Arial Narrow"/>
          </w:rPr>
          <w:noBreakHyphen/>
          <w:t>4:</w:t>
        </w:r>
        <w:r w:rsidR="00337D61" w:rsidRPr="00337D61">
          <w:rPr>
            <w:rStyle w:val="Hyperlink"/>
            <w:rFonts w:ascii="Arial Narrow" w:hAnsi="Arial Narrow"/>
          </w:rPr>
          <w:tab/>
          <w:t>Sexual health medicine billing of MBS item groups for sexual health problems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_Toc351129616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71</w:t>
        </w:r>
        <w:r w:rsidR="00337D61" w:rsidRPr="00337D61">
          <w:rPr>
            <w:rStyle w:val="Hyperlink"/>
            <w:rFonts w:ascii="Arial Narrow" w:hAnsi="Arial Narrow"/>
            <w:webHidden/>
          </w:rPr>
          <w:fldChar w:fldCharType="end"/>
        </w:r>
      </w:hyperlink>
    </w:p>
    <w:p w14:paraId="6000C66C" w14:textId="529BC5B7" w:rsidR="00337D61" w:rsidRPr="00337D61" w:rsidRDefault="008E6665" w:rsidP="00337D61">
      <w:pPr>
        <w:pStyle w:val="TableofFigures"/>
        <w:tabs>
          <w:tab w:val="left" w:pos="1320"/>
        </w:tabs>
        <w:rPr>
          <w:rStyle w:val="Hyperlink"/>
          <w:rFonts w:ascii="Arial Narrow" w:hAnsi="Arial Narrow"/>
        </w:rPr>
      </w:pPr>
      <w:hyperlink w:anchor="_Toc351129617" w:history="1">
        <w:r w:rsidR="00337D61" w:rsidRPr="00337D61">
          <w:rPr>
            <w:rStyle w:val="Hyperlink"/>
            <w:rFonts w:ascii="Arial Narrow" w:hAnsi="Arial Narrow"/>
          </w:rPr>
          <w:t>Figure 5</w:t>
        </w:r>
        <w:r w:rsidR="00337D61" w:rsidRPr="00337D61">
          <w:rPr>
            <w:rStyle w:val="Hyperlink"/>
            <w:rFonts w:ascii="Arial Narrow" w:hAnsi="Arial Narrow"/>
          </w:rPr>
          <w:noBreakHyphen/>
          <w:t xml:space="preserve">5: </w:t>
        </w:r>
        <w:r w:rsidR="00337D61">
          <w:rPr>
            <w:rStyle w:val="Hyperlink"/>
            <w:rFonts w:ascii="Arial Narrow" w:hAnsi="Arial Narrow"/>
          </w:rPr>
          <w:tab/>
        </w:r>
        <w:r w:rsidR="00337D61" w:rsidRPr="00337D61">
          <w:rPr>
            <w:rStyle w:val="Hyperlink"/>
            <w:rFonts w:ascii="Arial Narrow" w:hAnsi="Arial Narrow"/>
          </w:rPr>
          <w:t>Treatment services – Average $/service</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_Toc351129617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73</w:t>
        </w:r>
        <w:r w:rsidR="00337D61" w:rsidRPr="00337D61">
          <w:rPr>
            <w:rStyle w:val="Hyperlink"/>
            <w:rFonts w:ascii="Arial Narrow" w:hAnsi="Arial Narrow"/>
            <w:webHidden/>
          </w:rPr>
          <w:fldChar w:fldCharType="end"/>
        </w:r>
      </w:hyperlink>
    </w:p>
    <w:p w14:paraId="18C8FF3E" w14:textId="3CFCCE7A" w:rsidR="00337D61" w:rsidRPr="00337D61" w:rsidRDefault="008E6665" w:rsidP="00337D61">
      <w:pPr>
        <w:pStyle w:val="TableofFigures"/>
        <w:tabs>
          <w:tab w:val="left" w:pos="1320"/>
        </w:tabs>
        <w:rPr>
          <w:rStyle w:val="Hyperlink"/>
          <w:rFonts w:ascii="Arial Narrow" w:hAnsi="Arial Narrow"/>
        </w:rPr>
      </w:pPr>
      <w:hyperlink w:anchor="_Toc351129618" w:history="1">
        <w:r w:rsidR="00337D61" w:rsidRPr="00337D61">
          <w:rPr>
            <w:rStyle w:val="Hyperlink"/>
            <w:rFonts w:ascii="Arial Narrow" w:hAnsi="Arial Narrow"/>
          </w:rPr>
          <w:t>Figure 5</w:t>
        </w:r>
        <w:r w:rsidR="00337D61" w:rsidRPr="00337D61">
          <w:rPr>
            <w:rStyle w:val="Hyperlink"/>
            <w:rFonts w:ascii="Arial Narrow" w:hAnsi="Arial Narrow"/>
          </w:rPr>
          <w:noBreakHyphen/>
          <w:t xml:space="preserve">6: </w:t>
        </w:r>
        <w:r w:rsidR="00337D61" w:rsidRPr="00337D61">
          <w:rPr>
            <w:rStyle w:val="Hyperlink"/>
            <w:rFonts w:ascii="Arial Narrow" w:hAnsi="Arial Narrow"/>
          </w:rPr>
          <w:tab/>
          <w:t>Assessment services – Average $/service</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_Toc351129618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73</w:t>
        </w:r>
        <w:r w:rsidR="00337D61" w:rsidRPr="00337D61">
          <w:rPr>
            <w:rStyle w:val="Hyperlink"/>
            <w:rFonts w:ascii="Arial Narrow" w:hAnsi="Arial Narrow"/>
            <w:webHidden/>
          </w:rPr>
          <w:fldChar w:fldCharType="end"/>
        </w:r>
      </w:hyperlink>
    </w:p>
    <w:p w14:paraId="71F4B77A" w14:textId="498A05B9" w:rsidR="00337D61" w:rsidRPr="00337D61" w:rsidRDefault="008E6665">
      <w:pPr>
        <w:pStyle w:val="TableofFigures"/>
        <w:tabs>
          <w:tab w:val="left" w:pos="1320"/>
        </w:tabs>
        <w:rPr>
          <w:rStyle w:val="Hyperlink"/>
          <w:rFonts w:ascii="Arial Narrow" w:hAnsi="Arial Narrow"/>
        </w:rPr>
      </w:pPr>
      <w:hyperlink w:anchor="_Toc351129619" w:history="1">
        <w:r w:rsidR="00337D61" w:rsidRPr="00337D61">
          <w:rPr>
            <w:rStyle w:val="Hyperlink"/>
            <w:rFonts w:ascii="Arial Narrow" w:hAnsi="Arial Narrow"/>
          </w:rPr>
          <w:t>Figure 6</w:t>
        </w:r>
        <w:r w:rsidR="00337D61" w:rsidRPr="00337D61">
          <w:rPr>
            <w:rStyle w:val="Hyperlink"/>
            <w:rFonts w:ascii="Arial Narrow" w:hAnsi="Arial Narrow"/>
          </w:rPr>
          <w:noBreakHyphen/>
          <w:t>1:</w:t>
        </w:r>
        <w:r w:rsidR="00337D61" w:rsidRPr="00337D61">
          <w:rPr>
            <w:rStyle w:val="Hyperlink"/>
            <w:rFonts w:ascii="Arial Narrow" w:hAnsi="Arial Narrow"/>
          </w:rPr>
          <w:tab/>
          <w:t>Proposed structure for physician equivalent 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_Toc351129619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75</w:t>
        </w:r>
        <w:r w:rsidR="00337D61" w:rsidRPr="00337D61">
          <w:rPr>
            <w:rStyle w:val="Hyperlink"/>
            <w:rFonts w:ascii="Arial Narrow" w:hAnsi="Arial Narrow"/>
            <w:webHidden/>
          </w:rPr>
          <w:fldChar w:fldCharType="end"/>
        </w:r>
      </w:hyperlink>
    </w:p>
    <w:p w14:paraId="542FA7E0" w14:textId="4F0A5728" w:rsidR="00337D61" w:rsidRPr="00337D61" w:rsidRDefault="008E6665">
      <w:pPr>
        <w:pStyle w:val="TableofFigures"/>
        <w:tabs>
          <w:tab w:val="left" w:pos="1320"/>
        </w:tabs>
        <w:rPr>
          <w:rStyle w:val="Hyperlink"/>
          <w:rFonts w:ascii="Arial Narrow" w:hAnsi="Arial Narrow"/>
        </w:rPr>
      </w:pPr>
      <w:hyperlink w:anchor="_Toc351129620" w:history="1">
        <w:r w:rsidR="00337D61" w:rsidRPr="00337D61">
          <w:rPr>
            <w:rStyle w:val="Hyperlink"/>
            <w:rFonts w:ascii="Arial Narrow" w:hAnsi="Arial Narrow"/>
          </w:rPr>
          <w:t>Figure 6</w:t>
        </w:r>
        <w:r w:rsidR="00337D61" w:rsidRPr="00337D61">
          <w:rPr>
            <w:rStyle w:val="Hyperlink"/>
            <w:rFonts w:ascii="Arial Narrow" w:hAnsi="Arial Narrow"/>
          </w:rPr>
          <w:noBreakHyphen/>
          <w:t>2:</w:t>
        </w:r>
        <w:r w:rsidR="00337D61" w:rsidRPr="00337D61">
          <w:rPr>
            <w:rStyle w:val="Hyperlink"/>
            <w:rFonts w:ascii="Arial Narrow" w:hAnsi="Arial Narrow"/>
          </w:rPr>
          <w:tab/>
          <w:t>Item descriptors for physician equivalent MBS consultations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_Toc351129620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75</w:t>
        </w:r>
        <w:r w:rsidR="00337D61" w:rsidRPr="00337D61">
          <w:rPr>
            <w:rStyle w:val="Hyperlink"/>
            <w:rFonts w:ascii="Arial Narrow" w:hAnsi="Arial Narrow"/>
            <w:webHidden/>
          </w:rPr>
          <w:fldChar w:fldCharType="end"/>
        </w:r>
      </w:hyperlink>
    </w:p>
    <w:p w14:paraId="43480D13" w14:textId="5ABE8846" w:rsidR="00337D61" w:rsidRPr="00337D61" w:rsidRDefault="008E6665">
      <w:pPr>
        <w:pStyle w:val="TableofFigures"/>
        <w:tabs>
          <w:tab w:val="left" w:pos="1320"/>
        </w:tabs>
        <w:rPr>
          <w:rStyle w:val="Hyperlink"/>
          <w:rFonts w:ascii="Arial Narrow" w:hAnsi="Arial Narrow"/>
        </w:rPr>
      </w:pPr>
      <w:hyperlink w:anchor="_Toc351129621" w:history="1">
        <w:r w:rsidR="00337D61" w:rsidRPr="00337D61">
          <w:rPr>
            <w:rStyle w:val="Hyperlink"/>
            <w:rFonts w:ascii="Arial Narrow" w:hAnsi="Arial Narrow"/>
          </w:rPr>
          <w:t>Figure 6</w:t>
        </w:r>
        <w:r w:rsidR="00337D61" w:rsidRPr="00337D61">
          <w:rPr>
            <w:rStyle w:val="Hyperlink"/>
            <w:rFonts w:ascii="Arial Narrow" w:hAnsi="Arial Narrow"/>
          </w:rPr>
          <w:noBreakHyphen/>
          <w:t>3:</w:t>
        </w:r>
        <w:r w:rsidR="00337D61" w:rsidRPr="00337D61">
          <w:rPr>
            <w:rStyle w:val="Hyperlink"/>
            <w:rFonts w:ascii="Arial Narrow" w:hAnsi="Arial Narrow"/>
          </w:rPr>
          <w:tab/>
          <w:t>Proposed structure for time-tiered 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_Toc351129621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76</w:t>
        </w:r>
        <w:r w:rsidR="00337D61" w:rsidRPr="00337D61">
          <w:rPr>
            <w:rStyle w:val="Hyperlink"/>
            <w:rFonts w:ascii="Arial Narrow" w:hAnsi="Arial Narrow"/>
            <w:webHidden/>
          </w:rPr>
          <w:fldChar w:fldCharType="end"/>
        </w:r>
      </w:hyperlink>
    </w:p>
    <w:p w14:paraId="3E2A5D6E" w14:textId="5A7ED11A" w:rsidR="00337D61" w:rsidRPr="00337D61" w:rsidRDefault="008E6665">
      <w:pPr>
        <w:pStyle w:val="TableofFigures"/>
        <w:tabs>
          <w:tab w:val="left" w:pos="1320"/>
        </w:tabs>
        <w:rPr>
          <w:rStyle w:val="Hyperlink"/>
          <w:rFonts w:ascii="Arial Narrow" w:hAnsi="Arial Narrow"/>
        </w:rPr>
      </w:pPr>
      <w:hyperlink w:anchor="_Toc351129622" w:history="1">
        <w:r w:rsidR="00337D61" w:rsidRPr="00337D61">
          <w:rPr>
            <w:rStyle w:val="Hyperlink"/>
            <w:rFonts w:ascii="Arial Narrow" w:hAnsi="Arial Narrow"/>
          </w:rPr>
          <w:t>Figure 6</w:t>
        </w:r>
        <w:r w:rsidR="00337D61" w:rsidRPr="00337D61">
          <w:rPr>
            <w:rStyle w:val="Hyperlink"/>
            <w:rFonts w:ascii="Arial Narrow" w:hAnsi="Arial Narrow"/>
          </w:rPr>
          <w:noBreakHyphen/>
          <w:t>4:</w:t>
        </w:r>
        <w:r w:rsidR="00337D61" w:rsidRPr="00337D61">
          <w:rPr>
            <w:rStyle w:val="Hyperlink"/>
            <w:rFonts w:ascii="Arial Narrow" w:hAnsi="Arial Narrow"/>
          </w:rPr>
          <w:tab/>
          <w:t>Item descriptors for time-tiered MBS consultations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_Toc351129622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77</w:t>
        </w:r>
        <w:r w:rsidR="00337D61" w:rsidRPr="00337D61">
          <w:rPr>
            <w:rStyle w:val="Hyperlink"/>
            <w:rFonts w:ascii="Arial Narrow" w:hAnsi="Arial Narrow"/>
            <w:webHidden/>
          </w:rPr>
          <w:fldChar w:fldCharType="end"/>
        </w:r>
      </w:hyperlink>
    </w:p>
    <w:p w14:paraId="7A4F2265" w14:textId="4E28ACF5" w:rsidR="00337D61" w:rsidRPr="00337D61" w:rsidRDefault="008E6665">
      <w:pPr>
        <w:pStyle w:val="TableofFigures"/>
        <w:tabs>
          <w:tab w:val="left" w:pos="1320"/>
        </w:tabs>
        <w:rPr>
          <w:rStyle w:val="Hyperlink"/>
          <w:rFonts w:ascii="Arial Narrow" w:hAnsi="Arial Narrow"/>
        </w:rPr>
      </w:pPr>
      <w:hyperlink w:anchor="_Toc351129623" w:history="1">
        <w:r w:rsidR="00337D61" w:rsidRPr="00337D61">
          <w:rPr>
            <w:rStyle w:val="Hyperlink"/>
            <w:rFonts w:ascii="Arial Narrow" w:hAnsi="Arial Narrow"/>
          </w:rPr>
          <w:t>Figure 6</w:t>
        </w:r>
        <w:r w:rsidR="00337D61" w:rsidRPr="00337D61">
          <w:rPr>
            <w:rStyle w:val="Hyperlink"/>
            <w:rFonts w:ascii="Arial Narrow" w:hAnsi="Arial Narrow"/>
          </w:rPr>
          <w:noBreakHyphen/>
          <w:t>5:</w:t>
        </w:r>
        <w:r w:rsidR="00337D61" w:rsidRPr="00337D61">
          <w:rPr>
            <w:rStyle w:val="Hyperlink"/>
            <w:rFonts w:ascii="Arial Narrow" w:hAnsi="Arial Narrow"/>
          </w:rPr>
          <w:tab/>
          <w:t>Proposed items for complex treatment and management planning</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_Toc351129623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78</w:t>
        </w:r>
        <w:r w:rsidR="00337D61" w:rsidRPr="00337D61">
          <w:rPr>
            <w:rStyle w:val="Hyperlink"/>
            <w:rFonts w:ascii="Arial Narrow" w:hAnsi="Arial Narrow"/>
            <w:webHidden/>
          </w:rPr>
          <w:fldChar w:fldCharType="end"/>
        </w:r>
      </w:hyperlink>
    </w:p>
    <w:p w14:paraId="48E769F0" w14:textId="09801D08" w:rsidR="00337D61" w:rsidRPr="00337D61" w:rsidRDefault="008E6665">
      <w:pPr>
        <w:pStyle w:val="TableofFigures"/>
        <w:tabs>
          <w:tab w:val="left" w:pos="1320"/>
        </w:tabs>
        <w:rPr>
          <w:rStyle w:val="Hyperlink"/>
          <w:rFonts w:ascii="Arial Narrow" w:hAnsi="Arial Narrow"/>
        </w:rPr>
      </w:pPr>
      <w:hyperlink w:anchor="_Toc351129624" w:history="1">
        <w:r w:rsidR="00337D61" w:rsidRPr="00337D61">
          <w:rPr>
            <w:rStyle w:val="Hyperlink"/>
            <w:rFonts w:ascii="Arial Narrow" w:hAnsi="Arial Narrow"/>
          </w:rPr>
          <w:t>Figure 6</w:t>
        </w:r>
        <w:r w:rsidR="00337D61" w:rsidRPr="00337D61">
          <w:rPr>
            <w:rStyle w:val="Hyperlink"/>
            <w:rFonts w:ascii="Arial Narrow" w:hAnsi="Arial Narrow"/>
          </w:rPr>
          <w:noBreakHyphen/>
          <w:t>6:</w:t>
        </w:r>
        <w:r w:rsidR="00337D61" w:rsidRPr="00337D61">
          <w:rPr>
            <w:rStyle w:val="Hyperlink"/>
            <w:rFonts w:ascii="Arial Narrow" w:hAnsi="Arial Narrow"/>
          </w:rPr>
          <w:tab/>
          <w:t>Proposed items descriptors for complex patients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_Toc351129624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79</w:t>
        </w:r>
        <w:r w:rsidR="00337D61" w:rsidRPr="00337D61">
          <w:rPr>
            <w:rStyle w:val="Hyperlink"/>
            <w:rFonts w:ascii="Arial Narrow" w:hAnsi="Arial Narrow"/>
            <w:webHidden/>
          </w:rPr>
          <w:fldChar w:fldCharType="end"/>
        </w:r>
      </w:hyperlink>
    </w:p>
    <w:p w14:paraId="70D7EF94" w14:textId="12E67036" w:rsidR="00337D61" w:rsidRPr="00337D61" w:rsidRDefault="008E6665">
      <w:pPr>
        <w:pStyle w:val="TableofFigures"/>
        <w:tabs>
          <w:tab w:val="left" w:pos="1320"/>
        </w:tabs>
        <w:rPr>
          <w:rStyle w:val="Hyperlink"/>
          <w:rFonts w:ascii="Arial Narrow" w:hAnsi="Arial Narrow"/>
        </w:rPr>
      </w:pPr>
      <w:hyperlink w:anchor="_Toc351129625" w:history="1">
        <w:r w:rsidR="00337D61" w:rsidRPr="00337D61">
          <w:rPr>
            <w:rStyle w:val="Hyperlink"/>
            <w:rFonts w:ascii="Arial Narrow" w:hAnsi="Arial Narrow"/>
          </w:rPr>
          <w:t>Figure 6</w:t>
        </w:r>
        <w:r w:rsidR="00337D61" w:rsidRPr="00337D61">
          <w:rPr>
            <w:rStyle w:val="Hyperlink"/>
            <w:rFonts w:ascii="Arial Narrow" w:hAnsi="Arial Narrow"/>
          </w:rPr>
          <w:noBreakHyphen/>
          <w:t>7:</w:t>
        </w:r>
        <w:r w:rsidR="00337D61" w:rsidRPr="00337D61">
          <w:rPr>
            <w:rStyle w:val="Hyperlink"/>
            <w:rFonts w:ascii="Arial Narrow" w:hAnsi="Arial Narrow"/>
          </w:rPr>
          <w:tab/>
          <w:t>Proposed structure for multi-disciplinary case conferencing 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_Toc351129625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81</w:t>
        </w:r>
        <w:r w:rsidR="00337D61" w:rsidRPr="00337D61">
          <w:rPr>
            <w:rStyle w:val="Hyperlink"/>
            <w:rFonts w:ascii="Arial Narrow" w:hAnsi="Arial Narrow"/>
            <w:webHidden/>
          </w:rPr>
          <w:fldChar w:fldCharType="end"/>
        </w:r>
      </w:hyperlink>
    </w:p>
    <w:p w14:paraId="270F0757" w14:textId="2D6B72DA" w:rsidR="00337D61" w:rsidRPr="00337D61" w:rsidRDefault="008E6665">
      <w:pPr>
        <w:pStyle w:val="TableofFigures"/>
        <w:tabs>
          <w:tab w:val="left" w:pos="1320"/>
        </w:tabs>
        <w:rPr>
          <w:rStyle w:val="Hyperlink"/>
          <w:rFonts w:ascii="Arial Narrow" w:hAnsi="Arial Narrow"/>
        </w:rPr>
      </w:pPr>
      <w:hyperlink w:anchor="_Toc351129626" w:history="1">
        <w:r w:rsidR="00337D61" w:rsidRPr="00337D61">
          <w:rPr>
            <w:rStyle w:val="Hyperlink"/>
            <w:rFonts w:ascii="Arial Narrow" w:hAnsi="Arial Narrow"/>
          </w:rPr>
          <w:t>Figure 6</w:t>
        </w:r>
        <w:r w:rsidR="00337D61" w:rsidRPr="00337D61">
          <w:rPr>
            <w:rStyle w:val="Hyperlink"/>
            <w:rFonts w:ascii="Arial Narrow" w:hAnsi="Arial Narrow"/>
          </w:rPr>
          <w:noBreakHyphen/>
          <w:t>8:</w:t>
        </w:r>
        <w:r w:rsidR="00337D61" w:rsidRPr="00337D61">
          <w:rPr>
            <w:rStyle w:val="Hyperlink"/>
            <w:rFonts w:ascii="Arial Narrow" w:hAnsi="Arial Narrow"/>
          </w:rPr>
          <w:tab/>
          <w:t>Proposed descriptors for multidisciplinary case conferencing 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_Toc351129626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81</w:t>
        </w:r>
        <w:r w:rsidR="00337D61" w:rsidRPr="00337D61">
          <w:rPr>
            <w:rStyle w:val="Hyperlink"/>
            <w:rFonts w:ascii="Arial Narrow" w:hAnsi="Arial Narrow"/>
            <w:webHidden/>
          </w:rPr>
          <w:fldChar w:fldCharType="end"/>
        </w:r>
      </w:hyperlink>
    </w:p>
    <w:p w14:paraId="069950C7" w14:textId="0E21E79F" w:rsidR="00337D61" w:rsidRPr="00337D61" w:rsidRDefault="008E6665">
      <w:pPr>
        <w:pStyle w:val="TableofFigures"/>
        <w:tabs>
          <w:tab w:val="left" w:pos="1320"/>
        </w:tabs>
        <w:rPr>
          <w:rStyle w:val="Hyperlink"/>
          <w:rFonts w:ascii="Arial Narrow" w:hAnsi="Arial Narrow"/>
        </w:rPr>
      </w:pPr>
      <w:hyperlink w:anchor="_Toc351129627" w:history="1">
        <w:r w:rsidR="00337D61" w:rsidRPr="00337D61">
          <w:rPr>
            <w:rStyle w:val="Hyperlink"/>
            <w:rFonts w:ascii="Arial Narrow" w:hAnsi="Arial Narrow"/>
          </w:rPr>
          <w:t>Figure 6</w:t>
        </w:r>
        <w:r w:rsidR="00337D61" w:rsidRPr="00337D61">
          <w:rPr>
            <w:rStyle w:val="Hyperlink"/>
            <w:rFonts w:ascii="Arial Narrow" w:hAnsi="Arial Narrow"/>
          </w:rPr>
          <w:noBreakHyphen/>
          <w:t>9:</w:t>
        </w:r>
        <w:r w:rsidR="00337D61" w:rsidRPr="00337D61">
          <w:rPr>
            <w:rStyle w:val="Hyperlink"/>
            <w:rFonts w:ascii="Arial Narrow" w:hAnsi="Arial Narrow"/>
          </w:rPr>
          <w:tab/>
          <w:t>Proposed descriptors for residential care/home visits 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_Toc351129627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84</w:t>
        </w:r>
        <w:r w:rsidR="00337D61" w:rsidRPr="00337D61">
          <w:rPr>
            <w:rStyle w:val="Hyperlink"/>
            <w:rFonts w:ascii="Arial Narrow" w:hAnsi="Arial Narrow"/>
            <w:webHidden/>
          </w:rPr>
          <w:fldChar w:fldCharType="end"/>
        </w:r>
      </w:hyperlink>
    </w:p>
    <w:p w14:paraId="42BC904D" w14:textId="7B633246" w:rsidR="00337D61" w:rsidRPr="00337D61" w:rsidRDefault="008E6665" w:rsidP="00337D61">
      <w:pPr>
        <w:pStyle w:val="TableofFigures"/>
        <w:tabs>
          <w:tab w:val="left" w:pos="1276"/>
        </w:tabs>
        <w:ind w:left="1276" w:hanging="1276"/>
        <w:rPr>
          <w:rStyle w:val="Hyperlink"/>
          <w:rFonts w:ascii="Arial Narrow" w:hAnsi="Arial Narrow"/>
        </w:rPr>
      </w:pPr>
      <w:hyperlink w:anchor="_Toc351129628" w:history="1">
        <w:r w:rsidR="00337D61" w:rsidRPr="00337D61">
          <w:rPr>
            <w:rStyle w:val="Hyperlink"/>
            <w:rFonts w:ascii="Arial Narrow" w:hAnsi="Arial Narrow"/>
          </w:rPr>
          <w:t>Figure 6</w:t>
        </w:r>
        <w:r w:rsidR="00337D61" w:rsidRPr="00337D61">
          <w:rPr>
            <w:rStyle w:val="Hyperlink"/>
            <w:rFonts w:ascii="Arial Narrow" w:hAnsi="Arial Narrow"/>
          </w:rPr>
          <w:noBreakHyphen/>
          <w:t>10:</w:t>
        </w:r>
        <w:r w:rsidR="00337D61" w:rsidRPr="00337D61">
          <w:rPr>
            <w:rStyle w:val="Hyperlink"/>
            <w:rFonts w:ascii="Arial Narrow" w:hAnsi="Arial Narrow"/>
          </w:rPr>
          <w:tab/>
          <w:t>Proposed descriptors for short and long tele</w:t>
        </w:r>
        <w:r w:rsidR="00325762">
          <w:rPr>
            <w:rStyle w:val="Hyperlink"/>
            <w:rFonts w:ascii="Arial Narrow" w:hAnsi="Arial Narrow"/>
          </w:rPr>
          <w:t xml:space="preserve">health </w:t>
        </w:r>
        <w:r w:rsidR="00337D61" w:rsidRPr="00337D61">
          <w:rPr>
            <w:rStyle w:val="Hyperlink"/>
            <w:rFonts w:ascii="Arial Narrow" w:hAnsi="Arial Narrow"/>
          </w:rPr>
          <w:t>items – physician equivalent 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_Toc351129628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85</w:t>
        </w:r>
        <w:r w:rsidR="00337D61" w:rsidRPr="00337D61">
          <w:rPr>
            <w:rStyle w:val="Hyperlink"/>
            <w:rFonts w:ascii="Arial Narrow" w:hAnsi="Arial Narrow"/>
            <w:webHidden/>
          </w:rPr>
          <w:fldChar w:fldCharType="end"/>
        </w:r>
      </w:hyperlink>
    </w:p>
    <w:p w14:paraId="56F8A1AE" w14:textId="3E407026" w:rsidR="00337D61" w:rsidRPr="00337D61" w:rsidRDefault="008E6665" w:rsidP="00337D61">
      <w:pPr>
        <w:pStyle w:val="TableofFigures"/>
        <w:tabs>
          <w:tab w:val="left" w:pos="1320"/>
        </w:tabs>
        <w:ind w:left="1276" w:hanging="1276"/>
        <w:rPr>
          <w:rStyle w:val="Hyperlink"/>
          <w:rFonts w:ascii="Arial Narrow" w:hAnsi="Arial Narrow"/>
        </w:rPr>
      </w:pPr>
      <w:hyperlink w:anchor="_Toc351129629" w:history="1">
        <w:r w:rsidR="00337D61" w:rsidRPr="00337D61">
          <w:rPr>
            <w:rStyle w:val="Hyperlink"/>
            <w:rFonts w:ascii="Arial Narrow" w:hAnsi="Arial Narrow"/>
          </w:rPr>
          <w:t>Figure 6</w:t>
        </w:r>
        <w:r w:rsidR="00337D61" w:rsidRPr="00337D61">
          <w:rPr>
            <w:rStyle w:val="Hyperlink"/>
            <w:rFonts w:ascii="Arial Narrow" w:hAnsi="Arial Narrow"/>
          </w:rPr>
          <w:noBreakHyphen/>
          <w:t>11:</w:t>
        </w:r>
        <w:r w:rsidR="00337D61" w:rsidRPr="00337D61">
          <w:rPr>
            <w:rStyle w:val="Hyperlink"/>
            <w:rFonts w:ascii="Arial Narrow" w:hAnsi="Arial Narrow"/>
          </w:rPr>
          <w:tab/>
          <w:t>Proposed descriptor for tel</w:t>
        </w:r>
        <w:r w:rsidR="00337D61">
          <w:rPr>
            <w:rStyle w:val="Hyperlink"/>
            <w:rFonts w:ascii="Arial Narrow" w:hAnsi="Arial Narrow"/>
          </w:rPr>
          <w:t>e</w:t>
        </w:r>
        <w:r w:rsidR="00D135B7">
          <w:rPr>
            <w:rStyle w:val="Hyperlink"/>
            <w:rFonts w:ascii="Arial Narrow" w:hAnsi="Arial Narrow"/>
          </w:rPr>
          <w:t>health</w:t>
        </w:r>
        <w:r w:rsidR="00337D61">
          <w:rPr>
            <w:rStyle w:val="Hyperlink"/>
            <w:rFonts w:ascii="Arial Narrow" w:hAnsi="Arial Narrow"/>
          </w:rPr>
          <w:t xml:space="preserve"> item – time tiered </w:t>
        </w:r>
        <w:r w:rsidR="00337D61" w:rsidRPr="00337D61">
          <w:rPr>
            <w:rStyle w:val="Hyperlink"/>
            <w:rFonts w:ascii="Arial Narrow" w:hAnsi="Arial Narrow"/>
          </w:rPr>
          <w:t>items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_Toc351129629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86</w:t>
        </w:r>
        <w:r w:rsidR="00337D61" w:rsidRPr="00337D61">
          <w:rPr>
            <w:rStyle w:val="Hyperlink"/>
            <w:rFonts w:ascii="Arial Narrow" w:hAnsi="Arial Narrow"/>
            <w:webHidden/>
          </w:rPr>
          <w:fldChar w:fldCharType="end"/>
        </w:r>
      </w:hyperlink>
    </w:p>
    <w:p w14:paraId="1B5F6389" w14:textId="497DEAB4" w:rsidR="00337D61" w:rsidRPr="00337D61" w:rsidRDefault="008E6665">
      <w:pPr>
        <w:pStyle w:val="TableofFigures"/>
        <w:tabs>
          <w:tab w:val="left" w:pos="1320"/>
        </w:tabs>
        <w:rPr>
          <w:rStyle w:val="Hyperlink"/>
          <w:rFonts w:ascii="Arial Narrow" w:hAnsi="Arial Narrow"/>
        </w:rPr>
      </w:pPr>
      <w:hyperlink w:anchor="_Toc351129630" w:history="1">
        <w:r w:rsidR="00337D61" w:rsidRPr="00337D61">
          <w:rPr>
            <w:rStyle w:val="Hyperlink"/>
            <w:rFonts w:ascii="Arial Narrow" w:hAnsi="Arial Narrow"/>
          </w:rPr>
          <w:t>Figure 7</w:t>
        </w:r>
        <w:r w:rsidR="00337D61" w:rsidRPr="00337D61">
          <w:rPr>
            <w:rStyle w:val="Hyperlink"/>
            <w:rFonts w:ascii="Arial Narrow" w:hAnsi="Arial Narrow"/>
          </w:rPr>
          <w:noBreakHyphen/>
          <w:t>1:</w:t>
        </w:r>
        <w:r w:rsidR="00337D61" w:rsidRPr="00337D61">
          <w:rPr>
            <w:rStyle w:val="Hyperlink"/>
            <w:rFonts w:ascii="Arial Narrow" w:hAnsi="Arial Narrow"/>
          </w:rPr>
          <w:tab/>
          <w:t>Physician Rates Modified – Average $/service for Assessment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_Toc351129630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87</w:t>
        </w:r>
        <w:r w:rsidR="00337D61" w:rsidRPr="00337D61">
          <w:rPr>
            <w:rStyle w:val="Hyperlink"/>
            <w:rFonts w:ascii="Arial Narrow" w:hAnsi="Arial Narrow"/>
            <w:webHidden/>
          </w:rPr>
          <w:fldChar w:fldCharType="end"/>
        </w:r>
      </w:hyperlink>
    </w:p>
    <w:p w14:paraId="357A31A6" w14:textId="7EA1CA83" w:rsidR="00337D61" w:rsidRPr="00337D61" w:rsidRDefault="008E6665">
      <w:pPr>
        <w:pStyle w:val="TableofFigures"/>
        <w:tabs>
          <w:tab w:val="left" w:pos="1320"/>
        </w:tabs>
        <w:rPr>
          <w:rStyle w:val="Hyperlink"/>
          <w:rFonts w:ascii="Arial Narrow" w:hAnsi="Arial Narrow"/>
        </w:rPr>
      </w:pPr>
      <w:hyperlink w:anchor="_Toc351129631" w:history="1">
        <w:r w:rsidR="00337D61" w:rsidRPr="00337D61">
          <w:rPr>
            <w:rStyle w:val="Hyperlink"/>
            <w:rFonts w:ascii="Arial Narrow" w:hAnsi="Arial Narrow"/>
          </w:rPr>
          <w:t>Figure 7</w:t>
        </w:r>
        <w:r w:rsidR="00337D61" w:rsidRPr="00337D61">
          <w:rPr>
            <w:rStyle w:val="Hyperlink"/>
            <w:rFonts w:ascii="Arial Narrow" w:hAnsi="Arial Narrow"/>
          </w:rPr>
          <w:noBreakHyphen/>
          <w:t>2:</w:t>
        </w:r>
        <w:r w:rsidR="00337D61" w:rsidRPr="00337D61">
          <w:rPr>
            <w:rStyle w:val="Hyperlink"/>
            <w:rFonts w:ascii="Arial Narrow" w:hAnsi="Arial Narrow"/>
          </w:rPr>
          <w:tab/>
          <w:t>Physician Rates Modified – Average $/service for Treatment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_Toc351129631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88</w:t>
        </w:r>
        <w:r w:rsidR="00337D61" w:rsidRPr="00337D61">
          <w:rPr>
            <w:rStyle w:val="Hyperlink"/>
            <w:rFonts w:ascii="Arial Narrow" w:hAnsi="Arial Narrow"/>
            <w:webHidden/>
          </w:rPr>
          <w:fldChar w:fldCharType="end"/>
        </w:r>
      </w:hyperlink>
    </w:p>
    <w:p w14:paraId="2BCF6D98" w14:textId="1FE2FC9A" w:rsidR="00337D61" w:rsidRPr="00337D61" w:rsidRDefault="008E6665">
      <w:pPr>
        <w:pStyle w:val="TableofFigures"/>
        <w:tabs>
          <w:tab w:val="left" w:pos="1320"/>
        </w:tabs>
        <w:rPr>
          <w:rStyle w:val="Hyperlink"/>
          <w:rFonts w:ascii="Arial Narrow" w:hAnsi="Arial Narrow"/>
        </w:rPr>
      </w:pPr>
      <w:hyperlink w:anchor="_Toc351129632" w:history="1">
        <w:r w:rsidR="00337D61" w:rsidRPr="00337D61">
          <w:rPr>
            <w:rStyle w:val="Hyperlink"/>
            <w:rFonts w:ascii="Arial Narrow" w:hAnsi="Arial Narrow"/>
          </w:rPr>
          <w:t>Figure 7</w:t>
        </w:r>
        <w:r w:rsidR="00337D61" w:rsidRPr="00337D61">
          <w:rPr>
            <w:rStyle w:val="Hyperlink"/>
            <w:rFonts w:ascii="Arial Narrow" w:hAnsi="Arial Narrow"/>
          </w:rPr>
          <w:noBreakHyphen/>
          <w:t>3:</w:t>
        </w:r>
        <w:r w:rsidR="00337D61" w:rsidRPr="00337D61">
          <w:rPr>
            <w:rStyle w:val="Hyperlink"/>
            <w:rFonts w:ascii="Arial Narrow" w:hAnsi="Arial Narrow"/>
          </w:rPr>
          <w:tab/>
          <w:t>Time-Tier Rates – Average $/service for Assessment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_Toc351129632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89</w:t>
        </w:r>
        <w:r w:rsidR="00337D61" w:rsidRPr="00337D61">
          <w:rPr>
            <w:rStyle w:val="Hyperlink"/>
            <w:rFonts w:ascii="Arial Narrow" w:hAnsi="Arial Narrow"/>
            <w:webHidden/>
          </w:rPr>
          <w:fldChar w:fldCharType="end"/>
        </w:r>
      </w:hyperlink>
    </w:p>
    <w:p w14:paraId="4FAC3436" w14:textId="620160E8" w:rsidR="00337D61" w:rsidRPr="00337D61" w:rsidRDefault="008E6665">
      <w:pPr>
        <w:pStyle w:val="TableofFigures"/>
        <w:tabs>
          <w:tab w:val="left" w:pos="1320"/>
        </w:tabs>
        <w:rPr>
          <w:rStyle w:val="Hyperlink"/>
          <w:rFonts w:ascii="Arial Narrow" w:hAnsi="Arial Narrow"/>
        </w:rPr>
      </w:pPr>
      <w:hyperlink w:anchor="_Toc351129633" w:history="1">
        <w:r w:rsidR="00337D61" w:rsidRPr="00337D61">
          <w:rPr>
            <w:rStyle w:val="Hyperlink"/>
            <w:rFonts w:ascii="Arial Narrow" w:hAnsi="Arial Narrow"/>
          </w:rPr>
          <w:t>Figure 7</w:t>
        </w:r>
        <w:r w:rsidR="00337D61" w:rsidRPr="00337D61">
          <w:rPr>
            <w:rStyle w:val="Hyperlink"/>
            <w:rFonts w:ascii="Arial Narrow" w:hAnsi="Arial Narrow"/>
          </w:rPr>
          <w:noBreakHyphen/>
          <w:t>4:</w:t>
        </w:r>
        <w:r w:rsidR="00337D61" w:rsidRPr="00337D61">
          <w:rPr>
            <w:rStyle w:val="Hyperlink"/>
            <w:rFonts w:ascii="Arial Narrow" w:hAnsi="Arial Narrow"/>
          </w:rPr>
          <w:tab/>
          <w:t>Time-Tier Rates – Average $/service for Treatment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_Toc351129633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89</w:t>
        </w:r>
        <w:r w:rsidR="00337D61" w:rsidRPr="00337D61">
          <w:rPr>
            <w:rStyle w:val="Hyperlink"/>
            <w:rFonts w:ascii="Arial Narrow" w:hAnsi="Arial Narrow"/>
            <w:webHidden/>
          </w:rPr>
          <w:fldChar w:fldCharType="end"/>
        </w:r>
      </w:hyperlink>
    </w:p>
    <w:p w14:paraId="1C5BED36" w14:textId="69EF90A0" w:rsidR="00337D61" w:rsidRPr="00337D61" w:rsidRDefault="008E6665">
      <w:pPr>
        <w:pStyle w:val="TableofFigures"/>
        <w:tabs>
          <w:tab w:val="left" w:pos="1320"/>
        </w:tabs>
        <w:rPr>
          <w:rStyle w:val="Hyperlink"/>
          <w:rFonts w:ascii="Arial Narrow" w:hAnsi="Arial Narrow"/>
        </w:rPr>
      </w:pPr>
      <w:hyperlink w:anchor="_Toc351129634" w:history="1">
        <w:r w:rsidR="00337D61" w:rsidRPr="00337D61">
          <w:rPr>
            <w:rStyle w:val="Hyperlink"/>
            <w:rFonts w:ascii="Arial Narrow" w:hAnsi="Arial Narrow"/>
          </w:rPr>
          <w:t>Figure 7</w:t>
        </w:r>
        <w:r w:rsidR="00337D61" w:rsidRPr="00337D61">
          <w:rPr>
            <w:rStyle w:val="Hyperlink"/>
            <w:rFonts w:ascii="Arial Narrow" w:hAnsi="Arial Narrow"/>
          </w:rPr>
          <w:noBreakHyphen/>
          <w:t>5:</w:t>
        </w:r>
        <w:r w:rsidR="00337D61" w:rsidRPr="00337D61">
          <w:rPr>
            <w:rStyle w:val="Hyperlink"/>
            <w:rFonts w:ascii="Arial Narrow" w:hAnsi="Arial Narrow"/>
          </w:rPr>
          <w:tab/>
          <w:t>Complex Treatment– Average $/service for Assessment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_Toc351129634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90</w:t>
        </w:r>
        <w:r w:rsidR="00337D61" w:rsidRPr="00337D61">
          <w:rPr>
            <w:rStyle w:val="Hyperlink"/>
            <w:rFonts w:ascii="Arial Narrow" w:hAnsi="Arial Narrow"/>
            <w:webHidden/>
          </w:rPr>
          <w:fldChar w:fldCharType="end"/>
        </w:r>
      </w:hyperlink>
    </w:p>
    <w:p w14:paraId="0DA7F22F" w14:textId="268C3CFE" w:rsidR="00337D61" w:rsidRPr="00337D61" w:rsidRDefault="008E6665">
      <w:pPr>
        <w:pStyle w:val="TableofFigures"/>
        <w:tabs>
          <w:tab w:val="left" w:pos="1320"/>
        </w:tabs>
        <w:rPr>
          <w:rStyle w:val="Hyperlink"/>
          <w:rFonts w:ascii="Arial Narrow" w:hAnsi="Arial Narrow"/>
        </w:rPr>
      </w:pPr>
      <w:hyperlink w:anchor="_Toc351129635" w:history="1">
        <w:r w:rsidR="00337D61" w:rsidRPr="00337D61">
          <w:rPr>
            <w:rStyle w:val="Hyperlink"/>
            <w:rFonts w:ascii="Arial Narrow" w:hAnsi="Arial Narrow"/>
          </w:rPr>
          <w:t>Figure 7</w:t>
        </w:r>
        <w:r w:rsidR="00337D61" w:rsidRPr="00337D61">
          <w:rPr>
            <w:rStyle w:val="Hyperlink"/>
            <w:rFonts w:ascii="Arial Narrow" w:hAnsi="Arial Narrow"/>
          </w:rPr>
          <w:noBreakHyphen/>
          <w:t>6:</w:t>
        </w:r>
        <w:r w:rsidR="00337D61" w:rsidRPr="00337D61">
          <w:rPr>
            <w:rStyle w:val="Hyperlink"/>
            <w:rFonts w:ascii="Arial Narrow" w:hAnsi="Arial Narrow"/>
          </w:rPr>
          <w:tab/>
          <w:t>Complex Treatment– Average $/service for Treatment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_Toc351129635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90</w:t>
        </w:r>
        <w:r w:rsidR="00337D61" w:rsidRPr="00337D61">
          <w:rPr>
            <w:rStyle w:val="Hyperlink"/>
            <w:rFonts w:ascii="Arial Narrow" w:hAnsi="Arial Narrow"/>
            <w:webHidden/>
          </w:rPr>
          <w:fldChar w:fldCharType="end"/>
        </w:r>
      </w:hyperlink>
    </w:p>
    <w:p w14:paraId="7F02A613" w14:textId="6D0CA134" w:rsidR="00337D61" w:rsidRPr="00337D61" w:rsidRDefault="008E6665">
      <w:pPr>
        <w:pStyle w:val="TableofFigures"/>
        <w:tabs>
          <w:tab w:val="left" w:pos="1320"/>
        </w:tabs>
        <w:rPr>
          <w:rStyle w:val="Hyperlink"/>
          <w:rFonts w:ascii="Arial Narrow" w:hAnsi="Arial Narrow"/>
        </w:rPr>
      </w:pPr>
      <w:hyperlink w:anchor="_Toc351129636" w:history="1">
        <w:r w:rsidR="00337D61" w:rsidRPr="00337D61">
          <w:rPr>
            <w:rStyle w:val="Hyperlink"/>
            <w:rFonts w:ascii="Arial Narrow" w:hAnsi="Arial Narrow"/>
          </w:rPr>
          <w:t>Figure 7</w:t>
        </w:r>
        <w:r w:rsidR="00337D61" w:rsidRPr="00337D61">
          <w:rPr>
            <w:rStyle w:val="Hyperlink"/>
            <w:rFonts w:ascii="Arial Narrow" w:hAnsi="Arial Narrow"/>
          </w:rPr>
          <w:noBreakHyphen/>
          <w:t>7:</w:t>
        </w:r>
        <w:r w:rsidR="00337D61" w:rsidRPr="00337D61">
          <w:rPr>
            <w:rStyle w:val="Hyperlink"/>
            <w:rFonts w:ascii="Arial Narrow" w:hAnsi="Arial Narrow"/>
          </w:rPr>
          <w:tab/>
          <w:t>Case Conferencing – Average $/service for Assessment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_Toc351129636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91</w:t>
        </w:r>
        <w:r w:rsidR="00337D61" w:rsidRPr="00337D61">
          <w:rPr>
            <w:rStyle w:val="Hyperlink"/>
            <w:rFonts w:ascii="Arial Narrow" w:hAnsi="Arial Narrow"/>
            <w:webHidden/>
          </w:rPr>
          <w:fldChar w:fldCharType="end"/>
        </w:r>
      </w:hyperlink>
    </w:p>
    <w:p w14:paraId="23AA1F2A" w14:textId="18914C4B" w:rsidR="00337D61" w:rsidRPr="00337D61" w:rsidRDefault="008E6665">
      <w:pPr>
        <w:pStyle w:val="TableofFigures"/>
        <w:tabs>
          <w:tab w:val="left" w:pos="1320"/>
        </w:tabs>
        <w:rPr>
          <w:rStyle w:val="Hyperlink"/>
          <w:rFonts w:ascii="Arial Narrow" w:hAnsi="Arial Narrow"/>
        </w:rPr>
      </w:pPr>
      <w:hyperlink w:anchor="_Toc351129637" w:history="1">
        <w:r w:rsidR="00337D61" w:rsidRPr="00337D61">
          <w:rPr>
            <w:rStyle w:val="Hyperlink"/>
            <w:rFonts w:ascii="Arial Narrow" w:hAnsi="Arial Narrow"/>
          </w:rPr>
          <w:t>Figure 7</w:t>
        </w:r>
        <w:r w:rsidR="00337D61" w:rsidRPr="00337D61">
          <w:rPr>
            <w:rStyle w:val="Hyperlink"/>
            <w:rFonts w:ascii="Arial Narrow" w:hAnsi="Arial Narrow"/>
          </w:rPr>
          <w:noBreakHyphen/>
          <w:t>8:</w:t>
        </w:r>
        <w:r w:rsidR="00337D61" w:rsidRPr="00337D61">
          <w:rPr>
            <w:rStyle w:val="Hyperlink"/>
            <w:rFonts w:ascii="Arial Narrow" w:hAnsi="Arial Narrow"/>
          </w:rPr>
          <w:tab/>
          <w:t>Case Conferencing – Average $/service for Treatment</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_Toc351129637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91</w:t>
        </w:r>
        <w:r w:rsidR="00337D61" w:rsidRPr="00337D61">
          <w:rPr>
            <w:rStyle w:val="Hyperlink"/>
            <w:rFonts w:ascii="Arial Narrow" w:hAnsi="Arial Narrow"/>
            <w:webHidden/>
          </w:rPr>
          <w:fldChar w:fldCharType="end"/>
        </w:r>
      </w:hyperlink>
    </w:p>
    <w:p w14:paraId="507A5643" w14:textId="19288B3A" w:rsidR="00337D61" w:rsidRPr="00337D61" w:rsidRDefault="008E6665">
      <w:pPr>
        <w:pStyle w:val="TableofFigures"/>
        <w:tabs>
          <w:tab w:val="left" w:pos="1320"/>
        </w:tabs>
        <w:rPr>
          <w:rStyle w:val="Hyperlink"/>
          <w:rFonts w:ascii="Arial Narrow" w:hAnsi="Arial Narrow"/>
        </w:rPr>
      </w:pPr>
      <w:hyperlink w:anchor="_Toc351129638" w:history="1">
        <w:r w:rsidR="00337D61" w:rsidRPr="00337D61">
          <w:rPr>
            <w:rStyle w:val="Hyperlink"/>
            <w:rFonts w:ascii="Arial Narrow" w:hAnsi="Arial Narrow"/>
          </w:rPr>
          <w:t>Figure 7</w:t>
        </w:r>
        <w:r w:rsidR="00337D61" w:rsidRPr="00337D61">
          <w:rPr>
            <w:rStyle w:val="Hyperlink"/>
            <w:rFonts w:ascii="Arial Narrow" w:hAnsi="Arial Narrow"/>
          </w:rPr>
          <w:noBreakHyphen/>
          <w:t>9:</w:t>
        </w:r>
        <w:r w:rsidR="00337D61" w:rsidRPr="00337D61">
          <w:rPr>
            <w:rStyle w:val="Hyperlink"/>
            <w:rFonts w:ascii="Arial Narrow" w:hAnsi="Arial Narrow"/>
          </w:rPr>
          <w:tab/>
          <w:t>Number of services by provider in 2012</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_Toc351129638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93</w:t>
        </w:r>
        <w:r w:rsidR="00337D61" w:rsidRPr="00337D61">
          <w:rPr>
            <w:rStyle w:val="Hyperlink"/>
            <w:rFonts w:ascii="Arial Narrow" w:hAnsi="Arial Narrow"/>
            <w:webHidden/>
          </w:rPr>
          <w:fldChar w:fldCharType="end"/>
        </w:r>
      </w:hyperlink>
    </w:p>
    <w:p w14:paraId="004C378A" w14:textId="4371E977" w:rsidR="00337D61" w:rsidRPr="00337D61" w:rsidRDefault="008E6665" w:rsidP="00337D61">
      <w:pPr>
        <w:pStyle w:val="TableofFigures"/>
        <w:tabs>
          <w:tab w:val="left" w:pos="1320"/>
        </w:tabs>
        <w:rPr>
          <w:rStyle w:val="Hyperlink"/>
          <w:rFonts w:ascii="Arial Narrow" w:hAnsi="Arial Narrow"/>
        </w:rPr>
      </w:pPr>
      <w:hyperlink w:anchor="_Toc351129639" w:history="1">
        <w:r w:rsidR="00337D61" w:rsidRPr="00337D61">
          <w:rPr>
            <w:rStyle w:val="Hyperlink"/>
            <w:rFonts w:ascii="Arial Narrow" w:hAnsi="Arial Narrow"/>
          </w:rPr>
          <w:t>Figure 7</w:t>
        </w:r>
        <w:r w:rsidR="00337D61" w:rsidRPr="00337D61">
          <w:rPr>
            <w:rStyle w:val="Hyperlink"/>
            <w:rFonts w:ascii="Arial Narrow" w:hAnsi="Arial Narrow"/>
          </w:rPr>
          <w:noBreakHyphen/>
          <w:t>10:</w:t>
        </w:r>
        <w:r w:rsidR="00337D61" w:rsidRPr="00337D61">
          <w:rPr>
            <w:rStyle w:val="Hyperlink"/>
            <w:rFonts w:ascii="Arial Narrow" w:hAnsi="Arial Narrow"/>
          </w:rPr>
          <w:tab/>
          <w:t>Occasions of Service – Workforce &amp; billing changes included</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_Toc351129639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93</w:t>
        </w:r>
        <w:r w:rsidR="00337D61" w:rsidRPr="00337D61">
          <w:rPr>
            <w:rStyle w:val="Hyperlink"/>
            <w:rFonts w:ascii="Arial Narrow" w:hAnsi="Arial Narrow"/>
            <w:webHidden/>
          </w:rPr>
          <w:fldChar w:fldCharType="end"/>
        </w:r>
      </w:hyperlink>
    </w:p>
    <w:p w14:paraId="06FB4B87" w14:textId="04165952" w:rsidR="00337D61" w:rsidRPr="00337D61" w:rsidRDefault="008E6665" w:rsidP="00337D61">
      <w:pPr>
        <w:pStyle w:val="TableofFigures"/>
        <w:tabs>
          <w:tab w:val="left" w:pos="1320"/>
        </w:tabs>
        <w:rPr>
          <w:rStyle w:val="Hyperlink"/>
          <w:rFonts w:ascii="Arial Narrow" w:hAnsi="Arial Narrow"/>
        </w:rPr>
      </w:pPr>
      <w:hyperlink w:anchor="_Toc351129640" w:history="1">
        <w:r w:rsidR="00337D61" w:rsidRPr="00337D61">
          <w:rPr>
            <w:rStyle w:val="Hyperlink"/>
            <w:rFonts w:ascii="Arial Narrow" w:hAnsi="Arial Narrow"/>
          </w:rPr>
          <w:t>Figure 7</w:t>
        </w:r>
        <w:r w:rsidR="00337D61" w:rsidRPr="00337D61">
          <w:rPr>
            <w:rStyle w:val="Hyperlink"/>
            <w:rFonts w:ascii="Arial Narrow" w:hAnsi="Arial Narrow"/>
          </w:rPr>
          <w:noBreakHyphen/>
          <w:t>11:</w:t>
        </w:r>
        <w:r w:rsidR="00337D61" w:rsidRPr="00337D61">
          <w:rPr>
            <w:rStyle w:val="Hyperlink"/>
            <w:rFonts w:ascii="Arial Narrow" w:hAnsi="Arial Narrow"/>
          </w:rPr>
          <w:tab/>
          <w:t>Summary of options – Charges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_Toc351129640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94</w:t>
        </w:r>
        <w:r w:rsidR="00337D61" w:rsidRPr="00337D61">
          <w:rPr>
            <w:rStyle w:val="Hyperlink"/>
            <w:rFonts w:ascii="Arial Narrow" w:hAnsi="Arial Narrow"/>
            <w:webHidden/>
          </w:rPr>
          <w:fldChar w:fldCharType="end"/>
        </w:r>
      </w:hyperlink>
    </w:p>
    <w:p w14:paraId="718D3BD4" w14:textId="686D3F28" w:rsidR="00337D61" w:rsidRPr="00337D61" w:rsidRDefault="008E6665" w:rsidP="00337D61">
      <w:pPr>
        <w:pStyle w:val="TableofFigures"/>
        <w:tabs>
          <w:tab w:val="left" w:pos="1320"/>
        </w:tabs>
        <w:rPr>
          <w:rStyle w:val="Hyperlink"/>
          <w:rFonts w:ascii="Arial Narrow" w:hAnsi="Arial Narrow"/>
        </w:rPr>
      </w:pPr>
      <w:hyperlink w:anchor="_Toc351129641" w:history="1">
        <w:r w:rsidR="00337D61" w:rsidRPr="00337D61">
          <w:rPr>
            <w:rStyle w:val="Hyperlink"/>
            <w:rFonts w:ascii="Arial Narrow" w:hAnsi="Arial Narrow"/>
          </w:rPr>
          <w:t>Figure 7</w:t>
        </w:r>
        <w:r w:rsidR="00337D61" w:rsidRPr="00337D61">
          <w:rPr>
            <w:rStyle w:val="Hyperlink"/>
            <w:rFonts w:ascii="Arial Narrow" w:hAnsi="Arial Narrow"/>
          </w:rPr>
          <w:noBreakHyphen/>
          <w:t>12:</w:t>
        </w:r>
        <w:r w:rsidR="00337D61" w:rsidRPr="00337D61">
          <w:rPr>
            <w:rStyle w:val="Hyperlink"/>
            <w:rFonts w:ascii="Arial Narrow" w:hAnsi="Arial Narrow"/>
          </w:rPr>
          <w:tab/>
          <w:t>Summary of options – Benefits paid</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_Toc351129641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95</w:t>
        </w:r>
        <w:r w:rsidR="00337D61" w:rsidRPr="00337D61">
          <w:rPr>
            <w:rStyle w:val="Hyperlink"/>
            <w:rFonts w:ascii="Arial Narrow" w:hAnsi="Arial Narrow"/>
            <w:webHidden/>
          </w:rPr>
          <w:fldChar w:fldCharType="end"/>
        </w:r>
      </w:hyperlink>
    </w:p>
    <w:p w14:paraId="523D2EAA" w14:textId="421CCD5A" w:rsidR="00337D61" w:rsidRDefault="008E6665" w:rsidP="00337D61">
      <w:pPr>
        <w:pStyle w:val="TableofFigures"/>
        <w:tabs>
          <w:tab w:val="left" w:pos="1320"/>
        </w:tabs>
        <w:rPr>
          <w:rFonts w:asciiTheme="minorHAnsi" w:eastAsiaTheme="minorEastAsia" w:hAnsiTheme="minorHAnsi" w:cstheme="minorBidi"/>
          <w:color w:val="auto"/>
          <w:szCs w:val="22"/>
          <w:lang w:eastAsia="en-AU"/>
        </w:rPr>
      </w:pPr>
      <w:hyperlink w:anchor="_Toc351129642" w:history="1">
        <w:r w:rsidR="00337D61" w:rsidRPr="00337D61">
          <w:rPr>
            <w:rStyle w:val="Hyperlink"/>
            <w:rFonts w:ascii="Arial Narrow" w:hAnsi="Arial Narrow"/>
          </w:rPr>
          <w:t>Figure 7</w:t>
        </w:r>
        <w:r w:rsidR="00337D61" w:rsidRPr="00337D61">
          <w:rPr>
            <w:rStyle w:val="Hyperlink"/>
            <w:rFonts w:ascii="Arial Narrow" w:hAnsi="Arial Narrow"/>
          </w:rPr>
          <w:noBreakHyphen/>
          <w:t>13:</w:t>
        </w:r>
        <w:r w:rsidR="00337D61" w:rsidRPr="00337D61">
          <w:rPr>
            <w:rStyle w:val="Hyperlink"/>
            <w:rFonts w:ascii="Arial Narrow" w:hAnsi="Arial Narrow"/>
          </w:rPr>
          <w:tab/>
          <w:t>Summary of options – Out-of-pockets</w:t>
        </w:r>
        <w:r w:rsidR="00337D61" w:rsidRPr="00337D61">
          <w:rPr>
            <w:rStyle w:val="Hyperlink"/>
            <w:rFonts w:ascii="Arial Narrow" w:hAnsi="Arial Narrow"/>
            <w:webHidden/>
          </w:rPr>
          <w:tab/>
        </w:r>
        <w:r w:rsidR="00337D61" w:rsidRPr="00337D61">
          <w:rPr>
            <w:rStyle w:val="Hyperlink"/>
            <w:rFonts w:ascii="Arial Narrow" w:hAnsi="Arial Narrow"/>
            <w:webHidden/>
          </w:rPr>
          <w:fldChar w:fldCharType="begin"/>
        </w:r>
        <w:r w:rsidR="00337D61" w:rsidRPr="00337D61">
          <w:rPr>
            <w:rStyle w:val="Hyperlink"/>
            <w:rFonts w:ascii="Arial Narrow" w:hAnsi="Arial Narrow"/>
            <w:webHidden/>
          </w:rPr>
          <w:instrText xml:space="preserve"> PAGEREF _Toc351129642 \h </w:instrText>
        </w:r>
        <w:r w:rsidR="00337D61" w:rsidRPr="00337D61">
          <w:rPr>
            <w:rStyle w:val="Hyperlink"/>
            <w:rFonts w:ascii="Arial Narrow" w:hAnsi="Arial Narrow"/>
            <w:webHidden/>
          </w:rPr>
        </w:r>
        <w:r w:rsidR="00337D61" w:rsidRPr="00337D61">
          <w:rPr>
            <w:rStyle w:val="Hyperlink"/>
            <w:rFonts w:ascii="Arial Narrow" w:hAnsi="Arial Narrow"/>
            <w:webHidden/>
          </w:rPr>
          <w:fldChar w:fldCharType="separate"/>
        </w:r>
        <w:r>
          <w:rPr>
            <w:rStyle w:val="Hyperlink"/>
            <w:rFonts w:ascii="Arial Narrow" w:hAnsi="Arial Narrow"/>
            <w:webHidden/>
          </w:rPr>
          <w:t>95</w:t>
        </w:r>
        <w:r w:rsidR="00337D61" w:rsidRPr="00337D61">
          <w:rPr>
            <w:rStyle w:val="Hyperlink"/>
            <w:rFonts w:ascii="Arial Narrow" w:hAnsi="Arial Narrow"/>
            <w:webHidden/>
          </w:rPr>
          <w:fldChar w:fldCharType="end"/>
        </w:r>
      </w:hyperlink>
    </w:p>
    <w:p w14:paraId="74873019" w14:textId="77777777" w:rsidR="00C8473C" w:rsidRPr="00B82FE2" w:rsidRDefault="00FF19B1" w:rsidP="00052019">
      <w:pPr>
        <w:pStyle w:val="TableofFigures"/>
        <w:rPr>
          <w:rFonts w:ascii="Arial Narrow" w:hAnsi="Arial Narrow"/>
        </w:rPr>
      </w:pPr>
      <w:r w:rsidRPr="00B82FE2">
        <w:rPr>
          <w:rFonts w:ascii="Arial Narrow" w:hAnsi="Arial Narrow"/>
        </w:rPr>
        <w:fldChar w:fldCharType="end"/>
      </w:r>
    </w:p>
    <w:p w14:paraId="014D1344" w14:textId="77777777" w:rsidR="00465860" w:rsidRDefault="00465860" w:rsidP="00465860">
      <w:pPr>
        <w:pStyle w:val="AspexBodyStandard"/>
      </w:pPr>
    </w:p>
    <w:p w14:paraId="04E8C5A3" w14:textId="77777777" w:rsidR="00465860" w:rsidRPr="00465860" w:rsidRDefault="00465860" w:rsidP="00465860">
      <w:pPr>
        <w:pStyle w:val="AspexBodyStandard"/>
      </w:pPr>
    </w:p>
    <w:p w14:paraId="0D415ECD" w14:textId="77777777" w:rsidR="008C3FA8" w:rsidRPr="008C3FA8" w:rsidRDefault="00F44503" w:rsidP="0001146B">
      <w:pPr>
        <w:pStyle w:val="TableofFigures"/>
        <w:tabs>
          <w:tab w:val="left" w:pos="1276"/>
        </w:tabs>
        <w:ind w:left="1276" w:hanging="1276"/>
        <w:rPr>
          <w:rStyle w:val="Hyperlink"/>
          <w:rFonts w:ascii="Arial Narrow" w:hAnsi="Arial Narrow"/>
        </w:rPr>
      </w:pPr>
      <w:r>
        <w:br w:type="column"/>
      </w:r>
      <w:r w:rsidR="00F86829" w:rsidRPr="00B82FE2">
        <w:rPr>
          <w:b/>
        </w:rPr>
        <w:lastRenderedPageBreak/>
        <w:t>Index of Tables</w:t>
      </w:r>
      <w:r w:rsidR="00FF19B1" w:rsidRPr="0001146B">
        <w:rPr>
          <w:rStyle w:val="Hyperlink"/>
          <w:rFonts w:ascii="Arial Narrow" w:hAnsi="Arial Narrow"/>
        </w:rPr>
        <w:fldChar w:fldCharType="begin"/>
      </w:r>
      <w:r w:rsidR="00F86829" w:rsidRPr="0001146B">
        <w:rPr>
          <w:rStyle w:val="Hyperlink"/>
          <w:rFonts w:ascii="Arial Narrow" w:hAnsi="Arial Narrow"/>
        </w:rPr>
        <w:instrText xml:space="preserve"> TOC \h \z \c "Table" </w:instrText>
      </w:r>
      <w:r w:rsidR="00FF19B1" w:rsidRPr="0001146B">
        <w:rPr>
          <w:rStyle w:val="Hyperlink"/>
          <w:rFonts w:ascii="Arial Narrow" w:hAnsi="Arial Narrow"/>
        </w:rPr>
        <w:fldChar w:fldCharType="separate"/>
      </w:r>
    </w:p>
    <w:p w14:paraId="1FDE8FDA" w14:textId="1EF55CD3" w:rsidR="008C3FA8" w:rsidRPr="008C3FA8" w:rsidRDefault="008E6665" w:rsidP="008C3FA8">
      <w:pPr>
        <w:pStyle w:val="TableofFigures"/>
        <w:tabs>
          <w:tab w:val="left" w:pos="1276"/>
        </w:tabs>
        <w:ind w:left="1276" w:hanging="1276"/>
        <w:rPr>
          <w:rStyle w:val="Hyperlink"/>
          <w:rFonts w:ascii="Arial Narrow" w:hAnsi="Arial Narrow"/>
        </w:rPr>
      </w:pPr>
      <w:hyperlink w:anchor="_Toc351129875" w:history="1">
        <w:r w:rsidR="008C3FA8" w:rsidRPr="008C3FA8">
          <w:rPr>
            <w:rStyle w:val="Hyperlink"/>
            <w:rFonts w:ascii="Arial Narrow" w:hAnsi="Arial Narrow"/>
          </w:rPr>
          <w:t>Table 2</w:t>
        </w:r>
        <w:r w:rsidR="008C3FA8" w:rsidRPr="008C3FA8">
          <w:rPr>
            <w:rStyle w:val="Hyperlink"/>
            <w:rFonts w:ascii="Arial Narrow" w:hAnsi="Arial Narrow"/>
          </w:rPr>
          <w:noBreakHyphen/>
          <w:t>1:</w:t>
        </w:r>
        <w:r w:rsidR="008C3FA8" w:rsidRPr="008C3FA8">
          <w:rPr>
            <w:rStyle w:val="Hyperlink"/>
            <w:rFonts w:ascii="Arial Narrow" w:hAnsi="Arial Narrow"/>
          </w:rPr>
          <w:tab/>
          <w:t>Classification of GP encounters for sexual health</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_Toc351129875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34</w:t>
        </w:r>
        <w:r w:rsidR="008C3FA8" w:rsidRPr="008C3FA8">
          <w:rPr>
            <w:rStyle w:val="Hyperlink"/>
            <w:rFonts w:ascii="Arial Narrow" w:hAnsi="Arial Narrow"/>
            <w:webHidden/>
          </w:rPr>
          <w:fldChar w:fldCharType="end"/>
        </w:r>
      </w:hyperlink>
    </w:p>
    <w:p w14:paraId="38416C92" w14:textId="210208C6" w:rsidR="008C3FA8" w:rsidRPr="008C3FA8" w:rsidRDefault="008E6665" w:rsidP="008C3FA8">
      <w:pPr>
        <w:pStyle w:val="TableofFigures"/>
        <w:tabs>
          <w:tab w:val="left" w:pos="1276"/>
        </w:tabs>
        <w:ind w:left="1276" w:hanging="1276"/>
        <w:rPr>
          <w:rStyle w:val="Hyperlink"/>
          <w:rFonts w:ascii="Arial Narrow" w:hAnsi="Arial Narrow"/>
        </w:rPr>
      </w:pPr>
      <w:hyperlink w:anchor="_Toc351129876" w:history="1">
        <w:r w:rsidR="008C3FA8" w:rsidRPr="008C3FA8">
          <w:rPr>
            <w:rStyle w:val="Hyperlink"/>
            <w:rFonts w:ascii="Arial Narrow" w:hAnsi="Arial Narrow"/>
          </w:rPr>
          <w:t>Table 2</w:t>
        </w:r>
        <w:r w:rsidR="008C3FA8" w:rsidRPr="008C3FA8">
          <w:rPr>
            <w:rStyle w:val="Hyperlink"/>
            <w:rFonts w:ascii="Arial Narrow" w:hAnsi="Arial Narrow"/>
          </w:rPr>
          <w:noBreakHyphen/>
          <w:t>2:</w:t>
        </w:r>
        <w:r w:rsidR="008C3FA8" w:rsidRPr="008C3FA8">
          <w:rPr>
            <w:rStyle w:val="Hyperlink"/>
            <w:rFonts w:ascii="Arial Narrow" w:hAnsi="Arial Narrow"/>
          </w:rPr>
          <w:tab/>
          <w:t>National estimated number of patients and occasions of service for sexual health problems in the public sector</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_Toc351129876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35</w:t>
        </w:r>
        <w:r w:rsidR="008C3FA8" w:rsidRPr="008C3FA8">
          <w:rPr>
            <w:rStyle w:val="Hyperlink"/>
            <w:rFonts w:ascii="Arial Narrow" w:hAnsi="Arial Narrow"/>
            <w:webHidden/>
          </w:rPr>
          <w:fldChar w:fldCharType="end"/>
        </w:r>
      </w:hyperlink>
    </w:p>
    <w:p w14:paraId="40EEF6BA"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77" w:history="1">
        <w:r w:rsidR="008C3FA8" w:rsidRPr="008C3FA8">
          <w:rPr>
            <w:rStyle w:val="Hyperlink"/>
            <w:rFonts w:ascii="Arial Narrow" w:hAnsi="Arial Narrow"/>
          </w:rPr>
          <w:t>Table 2</w:t>
        </w:r>
        <w:r w:rsidR="008C3FA8" w:rsidRPr="008C3FA8">
          <w:rPr>
            <w:rStyle w:val="Hyperlink"/>
            <w:rFonts w:ascii="Arial Narrow" w:hAnsi="Arial Narrow"/>
          </w:rPr>
          <w:noBreakHyphen/>
          <w:t xml:space="preserve">3: </w:t>
        </w:r>
        <w:r w:rsidR="008C3FA8" w:rsidRPr="008C3FA8">
          <w:rPr>
            <w:rStyle w:val="Hyperlink"/>
            <w:rFonts w:ascii="Arial Narrow" w:hAnsi="Arial Narrow"/>
          </w:rPr>
          <w:tab/>
          <w:t>Estimated number of sexual health patients per annum</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_Toc351129877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36</w:t>
        </w:r>
        <w:r w:rsidR="008C3FA8" w:rsidRPr="008C3FA8">
          <w:rPr>
            <w:rStyle w:val="Hyperlink"/>
            <w:rFonts w:ascii="Arial Narrow" w:hAnsi="Arial Narrow"/>
            <w:webHidden/>
          </w:rPr>
          <w:fldChar w:fldCharType="end"/>
        </w:r>
      </w:hyperlink>
    </w:p>
    <w:p w14:paraId="2A7C27AC"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78" w:history="1">
        <w:r w:rsidR="008C3FA8" w:rsidRPr="008C3FA8">
          <w:rPr>
            <w:rStyle w:val="Hyperlink"/>
            <w:rFonts w:ascii="Arial Narrow" w:hAnsi="Arial Narrow"/>
          </w:rPr>
          <w:t>Table 2</w:t>
        </w:r>
        <w:r w:rsidR="008C3FA8" w:rsidRPr="008C3FA8">
          <w:rPr>
            <w:rStyle w:val="Hyperlink"/>
            <w:rFonts w:ascii="Arial Narrow" w:hAnsi="Arial Narrow"/>
          </w:rPr>
          <w:noBreakHyphen/>
          <w:t xml:space="preserve">4: </w:t>
        </w:r>
        <w:r w:rsidR="008C3FA8" w:rsidRPr="008C3FA8">
          <w:rPr>
            <w:rStyle w:val="Hyperlink"/>
            <w:rFonts w:ascii="Arial Narrow" w:hAnsi="Arial Narrow"/>
          </w:rPr>
          <w:tab/>
          <w:t>Estimated number of sexual health patients per annum</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_Toc351129878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37</w:t>
        </w:r>
        <w:r w:rsidR="008C3FA8" w:rsidRPr="008C3FA8">
          <w:rPr>
            <w:rStyle w:val="Hyperlink"/>
            <w:rFonts w:ascii="Arial Narrow" w:hAnsi="Arial Narrow"/>
            <w:webHidden/>
          </w:rPr>
          <w:fldChar w:fldCharType="end"/>
        </w:r>
      </w:hyperlink>
    </w:p>
    <w:p w14:paraId="780AACC0" w14:textId="65FEDE25" w:rsidR="008C3FA8" w:rsidRPr="008C3FA8" w:rsidRDefault="008E6665" w:rsidP="008C3FA8">
      <w:pPr>
        <w:pStyle w:val="TableofFigures"/>
        <w:tabs>
          <w:tab w:val="left" w:pos="1276"/>
        </w:tabs>
        <w:ind w:left="1276" w:hanging="1276"/>
        <w:rPr>
          <w:rStyle w:val="Hyperlink"/>
          <w:rFonts w:ascii="Arial Narrow" w:hAnsi="Arial Narrow"/>
        </w:rPr>
      </w:pPr>
      <w:hyperlink w:anchor="_Toc351129879" w:history="1">
        <w:r w:rsidR="008C3FA8" w:rsidRPr="008C3FA8">
          <w:rPr>
            <w:rStyle w:val="Hyperlink"/>
            <w:rFonts w:ascii="Arial Narrow" w:hAnsi="Arial Narrow"/>
          </w:rPr>
          <w:t>Table 2</w:t>
        </w:r>
        <w:r w:rsidR="008C3FA8" w:rsidRPr="008C3FA8">
          <w:rPr>
            <w:rStyle w:val="Hyperlink"/>
            <w:rFonts w:ascii="Arial Narrow" w:hAnsi="Arial Narrow"/>
          </w:rPr>
          <w:noBreakHyphen/>
          <w:t>5:</w:t>
        </w:r>
        <w:r w:rsidR="008C3FA8" w:rsidRPr="008C3FA8">
          <w:rPr>
            <w:rStyle w:val="Hyperlink"/>
            <w:rFonts w:ascii="Arial Narrow" w:hAnsi="Arial Narrow"/>
          </w:rPr>
          <w:tab/>
          <w:t>Estimated Lifetime Cost Per Case, Number of New Cases, and Total Medical Costs (2010 dollars) of Five Major STIs in Australia</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_Toc351129879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42</w:t>
        </w:r>
        <w:r w:rsidR="008C3FA8" w:rsidRPr="008C3FA8">
          <w:rPr>
            <w:rStyle w:val="Hyperlink"/>
            <w:rFonts w:ascii="Arial Narrow" w:hAnsi="Arial Narrow"/>
            <w:webHidden/>
          </w:rPr>
          <w:fldChar w:fldCharType="end"/>
        </w:r>
      </w:hyperlink>
    </w:p>
    <w:p w14:paraId="4C923597"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0" w:history="1">
        <w:r w:rsidR="008C3FA8" w:rsidRPr="008C3FA8">
          <w:rPr>
            <w:rStyle w:val="Hyperlink"/>
            <w:rFonts w:ascii="Arial Narrow" w:hAnsi="Arial Narrow"/>
          </w:rPr>
          <w:t>Table 3</w:t>
        </w:r>
        <w:r w:rsidR="008C3FA8" w:rsidRPr="008C3FA8">
          <w:rPr>
            <w:rStyle w:val="Hyperlink"/>
            <w:rFonts w:ascii="Arial Narrow" w:hAnsi="Arial Narrow"/>
          </w:rPr>
          <w:noBreakHyphen/>
          <w:t>1:</w:t>
        </w:r>
        <w:r w:rsidR="008C3FA8" w:rsidRPr="008C3FA8">
          <w:rPr>
            <w:rStyle w:val="Hyperlink"/>
            <w:rFonts w:ascii="Arial Narrow" w:hAnsi="Arial Narrow"/>
          </w:rPr>
          <w:tab/>
          <w:t>Sexual Health Medicine Interventions proved to beneficial/effective or  likely to be beneficial/effective</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_Toc351129880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46</w:t>
        </w:r>
        <w:r w:rsidR="008C3FA8" w:rsidRPr="008C3FA8">
          <w:rPr>
            <w:rStyle w:val="Hyperlink"/>
            <w:rFonts w:ascii="Arial Narrow" w:hAnsi="Arial Narrow"/>
            <w:webHidden/>
          </w:rPr>
          <w:fldChar w:fldCharType="end"/>
        </w:r>
      </w:hyperlink>
    </w:p>
    <w:p w14:paraId="201EB4A7"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1" w:history="1">
        <w:r w:rsidR="008C3FA8" w:rsidRPr="008C3FA8">
          <w:rPr>
            <w:rStyle w:val="Hyperlink"/>
            <w:rFonts w:ascii="Arial Narrow" w:hAnsi="Arial Narrow"/>
          </w:rPr>
          <w:t>Table 4</w:t>
        </w:r>
        <w:r w:rsidR="008C3FA8" w:rsidRPr="008C3FA8">
          <w:rPr>
            <w:rStyle w:val="Hyperlink"/>
            <w:rFonts w:ascii="Arial Narrow" w:hAnsi="Arial Narrow"/>
          </w:rPr>
          <w:noBreakHyphen/>
          <w:t>1:</w:t>
        </w:r>
        <w:r w:rsidR="008C3FA8" w:rsidRPr="008C3FA8">
          <w:rPr>
            <w:rStyle w:val="Hyperlink"/>
            <w:rFonts w:ascii="Arial Narrow" w:hAnsi="Arial Narrow"/>
          </w:rPr>
          <w:tab/>
          <w:t>Accredited S100 HIV Community Prescribers by State/Territory 2010-12</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_Toc351129881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53</w:t>
        </w:r>
        <w:r w:rsidR="008C3FA8" w:rsidRPr="008C3FA8">
          <w:rPr>
            <w:rStyle w:val="Hyperlink"/>
            <w:rFonts w:ascii="Arial Narrow" w:hAnsi="Arial Narrow"/>
            <w:webHidden/>
          </w:rPr>
          <w:fldChar w:fldCharType="end"/>
        </w:r>
      </w:hyperlink>
    </w:p>
    <w:p w14:paraId="5505397E"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2" w:history="1">
        <w:r w:rsidR="008C3FA8" w:rsidRPr="008C3FA8">
          <w:rPr>
            <w:rStyle w:val="Hyperlink"/>
            <w:rFonts w:ascii="Arial Narrow" w:hAnsi="Arial Narrow"/>
          </w:rPr>
          <w:t>Table 4</w:t>
        </w:r>
        <w:r w:rsidR="008C3FA8" w:rsidRPr="008C3FA8">
          <w:rPr>
            <w:rStyle w:val="Hyperlink"/>
            <w:rFonts w:ascii="Arial Narrow" w:hAnsi="Arial Narrow"/>
          </w:rPr>
          <w:noBreakHyphen/>
          <w:t>2:</w:t>
        </w:r>
        <w:r w:rsidR="008C3FA8" w:rsidRPr="008C3FA8">
          <w:rPr>
            <w:rStyle w:val="Hyperlink"/>
            <w:rFonts w:ascii="Arial Narrow" w:hAnsi="Arial Narrow"/>
          </w:rPr>
          <w:tab/>
          <w:t>Sexual Health Medicine Specialists Working in Australia 2013</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_Toc351129882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59</w:t>
        </w:r>
        <w:r w:rsidR="008C3FA8" w:rsidRPr="008C3FA8">
          <w:rPr>
            <w:rStyle w:val="Hyperlink"/>
            <w:rFonts w:ascii="Arial Narrow" w:hAnsi="Arial Narrow"/>
            <w:webHidden/>
          </w:rPr>
          <w:fldChar w:fldCharType="end"/>
        </w:r>
      </w:hyperlink>
    </w:p>
    <w:p w14:paraId="447B73E9"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3" w:history="1">
        <w:r w:rsidR="008C3FA8" w:rsidRPr="008C3FA8">
          <w:rPr>
            <w:rStyle w:val="Hyperlink"/>
            <w:rFonts w:ascii="Arial Narrow" w:hAnsi="Arial Narrow"/>
          </w:rPr>
          <w:t>Table 4</w:t>
        </w:r>
        <w:r w:rsidR="008C3FA8" w:rsidRPr="008C3FA8">
          <w:rPr>
            <w:rStyle w:val="Hyperlink"/>
            <w:rFonts w:ascii="Arial Narrow" w:hAnsi="Arial Narrow"/>
          </w:rPr>
          <w:noBreakHyphen/>
          <w:t>3:</w:t>
        </w:r>
        <w:r w:rsidR="008C3FA8" w:rsidRPr="008C3FA8">
          <w:rPr>
            <w:rStyle w:val="Hyperlink"/>
            <w:rFonts w:ascii="Arial Narrow" w:hAnsi="Arial Narrow"/>
          </w:rPr>
          <w:tab/>
          <w:t>Sexual Health Medicine Trainees Working in Australia 2013</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_Toc351129883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60</w:t>
        </w:r>
        <w:r w:rsidR="008C3FA8" w:rsidRPr="008C3FA8">
          <w:rPr>
            <w:rStyle w:val="Hyperlink"/>
            <w:rFonts w:ascii="Arial Narrow" w:hAnsi="Arial Narrow"/>
            <w:webHidden/>
          </w:rPr>
          <w:fldChar w:fldCharType="end"/>
        </w:r>
      </w:hyperlink>
    </w:p>
    <w:p w14:paraId="4F1A8304"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4" w:history="1">
        <w:r w:rsidR="008C3FA8" w:rsidRPr="008C3FA8">
          <w:rPr>
            <w:rStyle w:val="Hyperlink"/>
            <w:rFonts w:ascii="Arial Narrow" w:hAnsi="Arial Narrow"/>
          </w:rPr>
          <w:t>Table 5</w:t>
        </w:r>
        <w:r w:rsidR="008C3FA8" w:rsidRPr="008C3FA8">
          <w:rPr>
            <w:rStyle w:val="Hyperlink"/>
            <w:rFonts w:ascii="Arial Narrow" w:hAnsi="Arial Narrow"/>
          </w:rPr>
          <w:noBreakHyphen/>
          <w:t>1:</w:t>
        </w:r>
        <w:r w:rsidR="008C3FA8" w:rsidRPr="008C3FA8">
          <w:rPr>
            <w:rStyle w:val="Hyperlink"/>
            <w:rFonts w:ascii="Arial Narrow" w:hAnsi="Arial Narrow"/>
          </w:rPr>
          <w:tab/>
          <w:t>Fellowships held by specialists and rates of MBS reimbursement</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_Toc351129884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66</w:t>
        </w:r>
        <w:r w:rsidR="008C3FA8" w:rsidRPr="008C3FA8">
          <w:rPr>
            <w:rStyle w:val="Hyperlink"/>
            <w:rFonts w:ascii="Arial Narrow" w:hAnsi="Arial Narrow"/>
            <w:webHidden/>
          </w:rPr>
          <w:fldChar w:fldCharType="end"/>
        </w:r>
      </w:hyperlink>
    </w:p>
    <w:p w14:paraId="47211455"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5" w:history="1">
        <w:r w:rsidR="008C3FA8" w:rsidRPr="008C3FA8">
          <w:rPr>
            <w:rStyle w:val="Hyperlink"/>
            <w:rFonts w:ascii="Arial Narrow" w:hAnsi="Arial Narrow"/>
          </w:rPr>
          <w:t>Table 5</w:t>
        </w:r>
        <w:r w:rsidR="008C3FA8" w:rsidRPr="008C3FA8">
          <w:rPr>
            <w:rStyle w:val="Hyperlink"/>
            <w:rFonts w:ascii="Arial Narrow" w:hAnsi="Arial Narrow"/>
          </w:rPr>
          <w:noBreakHyphen/>
          <w:t>2:</w:t>
        </w:r>
        <w:r w:rsidR="008C3FA8" w:rsidRPr="008C3FA8">
          <w:rPr>
            <w:rStyle w:val="Hyperlink"/>
            <w:rFonts w:ascii="Arial Narrow" w:hAnsi="Arial Narrow"/>
          </w:rPr>
          <w:tab/>
          <w:t>MBS items available to support professional scopes of practice</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_Toc351129885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68</w:t>
        </w:r>
        <w:r w:rsidR="008C3FA8" w:rsidRPr="008C3FA8">
          <w:rPr>
            <w:rStyle w:val="Hyperlink"/>
            <w:rFonts w:ascii="Arial Narrow" w:hAnsi="Arial Narrow"/>
            <w:webHidden/>
          </w:rPr>
          <w:fldChar w:fldCharType="end"/>
        </w:r>
      </w:hyperlink>
    </w:p>
    <w:p w14:paraId="5B15DF96" w14:textId="7D9D1338" w:rsidR="008C3FA8" w:rsidRPr="008C3FA8" w:rsidRDefault="008E6665" w:rsidP="008C3FA8">
      <w:pPr>
        <w:pStyle w:val="TableofFigures"/>
        <w:tabs>
          <w:tab w:val="left" w:pos="1276"/>
        </w:tabs>
        <w:ind w:left="1276" w:hanging="1276"/>
        <w:rPr>
          <w:rStyle w:val="Hyperlink"/>
          <w:rFonts w:ascii="Arial Narrow" w:hAnsi="Arial Narrow"/>
        </w:rPr>
      </w:pPr>
      <w:hyperlink w:anchor="_Toc351129886" w:history="1">
        <w:r w:rsidR="008C3FA8" w:rsidRPr="008C3FA8">
          <w:rPr>
            <w:rStyle w:val="Hyperlink"/>
            <w:rFonts w:ascii="Arial Narrow" w:hAnsi="Arial Narrow"/>
          </w:rPr>
          <w:t>Table 5</w:t>
        </w:r>
        <w:r w:rsidR="008C3FA8" w:rsidRPr="008C3FA8">
          <w:rPr>
            <w:rStyle w:val="Hyperlink"/>
            <w:rFonts w:ascii="Arial Narrow" w:hAnsi="Arial Narrow"/>
          </w:rPr>
          <w:noBreakHyphen/>
          <w:t>3:</w:t>
        </w:r>
        <w:r w:rsidR="008C3FA8" w:rsidRPr="008C3FA8">
          <w:rPr>
            <w:rStyle w:val="Hyperlink"/>
            <w:rFonts w:ascii="Arial Narrow" w:hAnsi="Arial Narrow"/>
          </w:rPr>
          <w:tab/>
          <w:t>Summary of sample MBS billing data – Sexual Health Medicine</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_Toc351129886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72</w:t>
        </w:r>
        <w:r w:rsidR="008C3FA8" w:rsidRPr="008C3FA8">
          <w:rPr>
            <w:rStyle w:val="Hyperlink"/>
            <w:rFonts w:ascii="Arial Narrow" w:hAnsi="Arial Narrow"/>
            <w:webHidden/>
          </w:rPr>
          <w:fldChar w:fldCharType="end"/>
        </w:r>
      </w:hyperlink>
    </w:p>
    <w:p w14:paraId="712F6E1B" w14:textId="77777777" w:rsidR="008C3FA8" w:rsidRPr="008C3FA8" w:rsidRDefault="008E6665" w:rsidP="008C3FA8">
      <w:pPr>
        <w:pStyle w:val="TableofFigures"/>
        <w:tabs>
          <w:tab w:val="left" w:pos="1276"/>
        </w:tabs>
        <w:ind w:left="1276" w:hanging="1276"/>
        <w:rPr>
          <w:rStyle w:val="Hyperlink"/>
          <w:rFonts w:ascii="Arial Narrow" w:hAnsi="Arial Narrow"/>
        </w:rPr>
      </w:pPr>
      <w:hyperlink w:anchor="_Toc351129887" w:history="1">
        <w:r w:rsidR="008C3FA8" w:rsidRPr="008C3FA8">
          <w:rPr>
            <w:rStyle w:val="Hyperlink"/>
            <w:rFonts w:ascii="Arial Narrow" w:hAnsi="Arial Narrow"/>
          </w:rPr>
          <w:t>Table 5</w:t>
        </w:r>
        <w:r w:rsidR="008C3FA8" w:rsidRPr="008C3FA8">
          <w:rPr>
            <w:rStyle w:val="Hyperlink"/>
            <w:rFonts w:ascii="Arial Narrow" w:hAnsi="Arial Narrow"/>
          </w:rPr>
          <w:noBreakHyphen/>
          <w:t>4:</w:t>
        </w:r>
        <w:r w:rsidR="008C3FA8" w:rsidRPr="008C3FA8">
          <w:rPr>
            <w:rStyle w:val="Hyperlink"/>
            <w:rFonts w:ascii="Arial Narrow" w:hAnsi="Arial Narrow"/>
          </w:rPr>
          <w:tab/>
          <w:t>Estimated MBS billing data for total demand – Sexual Health Medicine</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_Toc351129887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72</w:t>
        </w:r>
        <w:r w:rsidR="008C3FA8" w:rsidRPr="008C3FA8">
          <w:rPr>
            <w:rStyle w:val="Hyperlink"/>
            <w:rFonts w:ascii="Arial Narrow" w:hAnsi="Arial Narrow"/>
            <w:webHidden/>
          </w:rPr>
          <w:fldChar w:fldCharType="end"/>
        </w:r>
      </w:hyperlink>
    </w:p>
    <w:p w14:paraId="43A0023C" w14:textId="0DF74D1F" w:rsidR="008C3FA8" w:rsidRDefault="008E6665" w:rsidP="008C3FA8">
      <w:pPr>
        <w:pStyle w:val="TableofFigures"/>
        <w:tabs>
          <w:tab w:val="left" w:pos="1276"/>
        </w:tabs>
        <w:ind w:left="1276" w:hanging="1276"/>
        <w:rPr>
          <w:rFonts w:asciiTheme="minorHAnsi" w:eastAsiaTheme="minorEastAsia" w:hAnsiTheme="minorHAnsi" w:cstheme="minorBidi"/>
          <w:color w:val="auto"/>
          <w:szCs w:val="22"/>
          <w:lang w:eastAsia="en-AU"/>
        </w:rPr>
      </w:pPr>
      <w:hyperlink w:anchor="_Toc351129888" w:history="1">
        <w:r w:rsidR="008C3FA8" w:rsidRPr="008C3FA8">
          <w:rPr>
            <w:rStyle w:val="Hyperlink"/>
            <w:rFonts w:ascii="Arial Narrow" w:hAnsi="Arial Narrow"/>
          </w:rPr>
          <w:t>Table 7</w:t>
        </w:r>
        <w:r w:rsidR="008C3FA8" w:rsidRPr="008C3FA8">
          <w:rPr>
            <w:rStyle w:val="Hyperlink"/>
            <w:rFonts w:ascii="Arial Narrow" w:hAnsi="Arial Narrow"/>
          </w:rPr>
          <w:noBreakHyphen/>
          <w:t>1:</w:t>
        </w:r>
        <w:r w:rsidR="008C3FA8" w:rsidRPr="008C3FA8">
          <w:rPr>
            <w:rStyle w:val="Hyperlink"/>
            <w:rFonts w:ascii="Arial Narrow" w:hAnsi="Arial Narrow"/>
          </w:rPr>
          <w:tab/>
          <w:t>Estimated workforce and billing changes – Sexual Health Medicine</w:t>
        </w:r>
        <w:r w:rsidR="008C3FA8" w:rsidRPr="008C3FA8">
          <w:rPr>
            <w:rStyle w:val="Hyperlink"/>
            <w:rFonts w:ascii="Arial Narrow" w:hAnsi="Arial Narrow"/>
            <w:webHidden/>
          </w:rPr>
          <w:tab/>
        </w:r>
        <w:r w:rsidR="008C3FA8" w:rsidRPr="008C3FA8">
          <w:rPr>
            <w:rStyle w:val="Hyperlink"/>
            <w:rFonts w:ascii="Arial Narrow" w:hAnsi="Arial Narrow"/>
            <w:webHidden/>
          </w:rPr>
          <w:fldChar w:fldCharType="begin"/>
        </w:r>
        <w:r w:rsidR="008C3FA8" w:rsidRPr="008C3FA8">
          <w:rPr>
            <w:rStyle w:val="Hyperlink"/>
            <w:rFonts w:ascii="Arial Narrow" w:hAnsi="Arial Narrow"/>
            <w:webHidden/>
          </w:rPr>
          <w:instrText xml:space="preserve"> PAGEREF _Toc351129888 \h </w:instrText>
        </w:r>
        <w:r w:rsidR="008C3FA8" w:rsidRPr="008C3FA8">
          <w:rPr>
            <w:rStyle w:val="Hyperlink"/>
            <w:rFonts w:ascii="Arial Narrow" w:hAnsi="Arial Narrow"/>
            <w:webHidden/>
          </w:rPr>
        </w:r>
        <w:r w:rsidR="008C3FA8" w:rsidRPr="008C3FA8">
          <w:rPr>
            <w:rStyle w:val="Hyperlink"/>
            <w:rFonts w:ascii="Arial Narrow" w:hAnsi="Arial Narrow"/>
            <w:webHidden/>
          </w:rPr>
          <w:fldChar w:fldCharType="separate"/>
        </w:r>
        <w:r>
          <w:rPr>
            <w:rStyle w:val="Hyperlink"/>
            <w:rFonts w:ascii="Arial Narrow" w:hAnsi="Arial Narrow"/>
            <w:webHidden/>
          </w:rPr>
          <w:t>92</w:t>
        </w:r>
        <w:r w:rsidR="008C3FA8" w:rsidRPr="008C3FA8">
          <w:rPr>
            <w:rStyle w:val="Hyperlink"/>
            <w:rFonts w:ascii="Arial Narrow" w:hAnsi="Arial Narrow"/>
            <w:webHidden/>
          </w:rPr>
          <w:fldChar w:fldCharType="end"/>
        </w:r>
      </w:hyperlink>
    </w:p>
    <w:p w14:paraId="3665F4FD" w14:textId="77777777" w:rsidR="00550623" w:rsidRPr="0001146B" w:rsidRDefault="00FF19B1" w:rsidP="0001146B">
      <w:pPr>
        <w:pStyle w:val="TableofFigures"/>
        <w:tabs>
          <w:tab w:val="left" w:pos="1320"/>
        </w:tabs>
        <w:rPr>
          <w:rStyle w:val="Hyperlink"/>
          <w:rFonts w:ascii="Arial Narrow" w:hAnsi="Arial Narrow"/>
        </w:rPr>
      </w:pPr>
      <w:r w:rsidRPr="0001146B">
        <w:rPr>
          <w:rStyle w:val="Hyperlink"/>
          <w:rFonts w:ascii="Arial Narrow" w:hAnsi="Arial Narrow"/>
        </w:rPr>
        <w:fldChar w:fldCharType="end"/>
      </w:r>
    </w:p>
    <w:p w14:paraId="00746AC0" w14:textId="77777777" w:rsidR="004C32BC" w:rsidRDefault="004C32BC" w:rsidP="004C32BC">
      <w:pPr>
        <w:pStyle w:val="AspexBodyStandard"/>
      </w:pPr>
    </w:p>
    <w:p w14:paraId="0D2FFD41" w14:textId="77777777" w:rsidR="004C32BC" w:rsidRPr="004C32BC" w:rsidRDefault="004C32BC" w:rsidP="004C32BC">
      <w:pPr>
        <w:pStyle w:val="AspexBodyStandard"/>
      </w:pPr>
    </w:p>
    <w:p w14:paraId="05134E41" w14:textId="77777777" w:rsidR="00AE3430" w:rsidRDefault="00F44503" w:rsidP="004C32BC">
      <w:pPr>
        <w:pStyle w:val="TOCHeading"/>
      </w:pPr>
      <w:bookmarkStart w:id="1" w:name="_Toc164935829"/>
      <w:r>
        <w:br w:type="column"/>
      </w:r>
      <w:r w:rsidR="00F86829">
        <w:lastRenderedPageBreak/>
        <w:t xml:space="preserve">List of Abbreviations </w:t>
      </w:r>
      <w:bookmarkEnd w:id="1"/>
    </w:p>
    <w:p w14:paraId="25EECB7E" w14:textId="77777777" w:rsidR="005A7965" w:rsidRDefault="005A7965" w:rsidP="002F6E55">
      <w:pPr>
        <w:pStyle w:val="AspexAbbreviations"/>
        <w:spacing w:after="120"/>
      </w:pPr>
      <w:r>
        <w:t>AIDs</w:t>
      </w:r>
      <w:r>
        <w:tab/>
        <w:t>A</w:t>
      </w:r>
      <w:r>
        <w:rPr>
          <w:rStyle w:val="st"/>
          <w:rFonts w:cs="Arial"/>
          <w:color w:val="222222"/>
        </w:rPr>
        <w:t>cquired Immunodeficiency Syndrome</w:t>
      </w:r>
    </w:p>
    <w:p w14:paraId="550162C9" w14:textId="77777777" w:rsidR="005A7965" w:rsidRDefault="005A7965" w:rsidP="002F6E55">
      <w:pPr>
        <w:pStyle w:val="AspexAbbreviations"/>
        <w:spacing w:after="120"/>
      </w:pPr>
      <w:r>
        <w:t>AIHW</w:t>
      </w:r>
      <w:r>
        <w:tab/>
        <w:t>Australian Institute of Health and Welfare</w:t>
      </w:r>
    </w:p>
    <w:p w14:paraId="50ADD5F6" w14:textId="77777777" w:rsidR="006C2599" w:rsidRDefault="006C2599" w:rsidP="002F6E55">
      <w:pPr>
        <w:pStyle w:val="AspexAbbreviations"/>
        <w:spacing w:after="120"/>
      </w:pPr>
      <w:r>
        <w:t>AMC</w:t>
      </w:r>
      <w:r w:rsidRPr="00A66B66">
        <w:tab/>
      </w:r>
      <w:r>
        <w:t>Australian Medical Council</w:t>
      </w:r>
    </w:p>
    <w:p w14:paraId="37F6255B" w14:textId="77777777" w:rsidR="00BB4810" w:rsidRDefault="00BB4810" w:rsidP="002F6E55">
      <w:pPr>
        <w:pStyle w:val="AspexAbbreviations"/>
        <w:spacing w:after="120"/>
      </w:pPr>
      <w:r>
        <w:t>AChSHM</w:t>
      </w:r>
      <w:r>
        <w:tab/>
        <w:t>Australasian Chapter of Sexual Health Medicine</w:t>
      </w:r>
    </w:p>
    <w:p w14:paraId="7FF220F8" w14:textId="76BECAC8" w:rsidR="00685A58" w:rsidRDefault="00685A58" w:rsidP="002F6E55">
      <w:pPr>
        <w:pStyle w:val="AspexAbbreviations"/>
        <w:spacing w:after="120"/>
      </w:pPr>
      <w:r>
        <w:t>ASHM</w:t>
      </w:r>
      <w:r>
        <w:tab/>
      </w:r>
      <w:r w:rsidRPr="00487B56">
        <w:t>Australasian Society for HIV Medicine</w:t>
      </w:r>
    </w:p>
    <w:p w14:paraId="7903F443" w14:textId="77777777" w:rsidR="006C2599" w:rsidRDefault="006C2599" w:rsidP="002F6E55">
      <w:pPr>
        <w:pStyle w:val="AspexAbbreviations"/>
        <w:spacing w:after="120"/>
      </w:pPr>
      <w:r>
        <w:t>BEACH</w:t>
      </w:r>
      <w:r>
        <w:tab/>
        <w:t>Bettering Evaluation and Care of Health Study</w:t>
      </w:r>
    </w:p>
    <w:p w14:paraId="799AA82F" w14:textId="77777777" w:rsidR="005A7965" w:rsidRDefault="005A7965" w:rsidP="002F6E55">
      <w:pPr>
        <w:pStyle w:val="AspexAbbreviations"/>
        <w:spacing w:after="120"/>
      </w:pPr>
      <w:r>
        <w:t>BBV</w:t>
      </w:r>
      <w:r>
        <w:tab/>
        <w:t>Blood Borne Virus</w:t>
      </w:r>
    </w:p>
    <w:p w14:paraId="27BEB73C" w14:textId="77777777" w:rsidR="006C2599" w:rsidRDefault="006C2599" w:rsidP="002F6E55">
      <w:pPr>
        <w:pStyle w:val="AspexAbbreviations"/>
        <w:spacing w:after="120"/>
      </w:pPr>
      <w:r>
        <w:t>CBT</w:t>
      </w:r>
      <w:r>
        <w:tab/>
      </w:r>
      <w:r w:rsidRPr="00D025D6">
        <w:t>Cognitive-Behavioural Therapy</w:t>
      </w:r>
    </w:p>
    <w:p w14:paraId="5A884D3D" w14:textId="77777777" w:rsidR="006C2599" w:rsidRDefault="006C2599" w:rsidP="002F6E55">
      <w:pPr>
        <w:pStyle w:val="AspexAbbreviations"/>
        <w:spacing w:after="120"/>
      </w:pPr>
      <w:r>
        <w:t>CEA</w:t>
      </w:r>
      <w:r>
        <w:tab/>
        <w:t>Cost Effectiveness Analysis</w:t>
      </w:r>
    </w:p>
    <w:p w14:paraId="3A081233" w14:textId="77777777" w:rsidR="006C2599" w:rsidRDefault="006C2599" w:rsidP="002F6E55">
      <w:pPr>
        <w:pStyle w:val="AspexAbbreviations"/>
        <w:spacing w:after="120"/>
      </w:pPr>
      <w:r>
        <w:t>CI</w:t>
      </w:r>
      <w:r>
        <w:tab/>
        <w:t>Confidence Interval</w:t>
      </w:r>
    </w:p>
    <w:p w14:paraId="62AEFDBA" w14:textId="77777777" w:rsidR="006C2599" w:rsidRDefault="006C2599" w:rsidP="002F6E55">
      <w:pPr>
        <w:pStyle w:val="AspexAbbreviations"/>
        <w:spacing w:after="120"/>
      </w:pPr>
      <w:r>
        <w:t>CRA</w:t>
      </w:r>
      <w:r>
        <w:tab/>
      </w:r>
      <w:r w:rsidRPr="00D025D6">
        <w:t>Community Reinforcement Approach</w:t>
      </w:r>
    </w:p>
    <w:p w14:paraId="23C2B411" w14:textId="77777777" w:rsidR="005A7965" w:rsidRDefault="005A7965" w:rsidP="002F6E55">
      <w:pPr>
        <w:pStyle w:val="AspexAbbreviations"/>
        <w:spacing w:after="120"/>
      </w:pPr>
      <w:r>
        <w:t>DALY</w:t>
      </w:r>
      <w:r>
        <w:tab/>
        <w:t>Disability-A</w:t>
      </w:r>
      <w:r w:rsidRPr="00307A07">
        <w:t xml:space="preserve">djusted </w:t>
      </w:r>
      <w:r>
        <w:t>L</w:t>
      </w:r>
      <w:r w:rsidRPr="00307A07">
        <w:t xml:space="preserve">ife </w:t>
      </w:r>
      <w:r>
        <w:t>Y</w:t>
      </w:r>
      <w:r w:rsidRPr="00307A07">
        <w:t>ears</w:t>
      </w:r>
    </w:p>
    <w:p w14:paraId="6E48A22F" w14:textId="77777777" w:rsidR="006C2599" w:rsidRDefault="006C2599" w:rsidP="002F6E55">
      <w:pPr>
        <w:pStyle w:val="AspexAbbreviations"/>
        <w:spacing w:after="120"/>
      </w:pPr>
      <w:r>
        <w:t>DAP</w:t>
      </w:r>
      <w:r>
        <w:tab/>
        <w:t>Decision Analytic Protocol</w:t>
      </w:r>
    </w:p>
    <w:p w14:paraId="7D552022" w14:textId="1DFE19C0" w:rsidR="005A7965" w:rsidRDefault="005A7965" w:rsidP="005A7965">
      <w:pPr>
        <w:pStyle w:val="AspexAbbreviations"/>
        <w:spacing w:after="120"/>
      </w:pPr>
      <w:r>
        <w:t>DoHA</w:t>
      </w:r>
      <w:r>
        <w:tab/>
        <w:t>Department of Health and Ageing</w:t>
      </w:r>
    </w:p>
    <w:p w14:paraId="08087918" w14:textId="77777777" w:rsidR="005A7965" w:rsidRDefault="005A7965" w:rsidP="005A7965">
      <w:pPr>
        <w:pStyle w:val="AspexAbbreviations"/>
        <w:spacing w:after="120"/>
      </w:pPr>
      <w:r>
        <w:t>EMSN</w:t>
      </w:r>
      <w:r>
        <w:tab/>
        <w:t>Extended Medicare Safety Net</w:t>
      </w:r>
    </w:p>
    <w:p w14:paraId="7382C834" w14:textId="77777777" w:rsidR="006C2599" w:rsidRDefault="00BB4810" w:rsidP="00A42CFB">
      <w:pPr>
        <w:pStyle w:val="AspexAbbreviations"/>
        <w:spacing w:after="120"/>
      </w:pPr>
      <w:r>
        <w:t>FAChSHM</w:t>
      </w:r>
      <w:r w:rsidR="006C2599" w:rsidRPr="00A66B66">
        <w:tab/>
      </w:r>
      <w:r w:rsidR="006C2599">
        <w:t xml:space="preserve">Fellow of the Australasian Chapter of </w:t>
      </w:r>
      <w:r w:rsidR="008C29C6">
        <w:t>Sexual Health Medicine</w:t>
      </w:r>
    </w:p>
    <w:p w14:paraId="7B4758B7" w14:textId="77777777" w:rsidR="006C2599" w:rsidRDefault="006C2599" w:rsidP="00A42CFB">
      <w:pPr>
        <w:pStyle w:val="AspexAbbreviations"/>
        <w:spacing w:after="120"/>
      </w:pPr>
      <w:r>
        <w:t>GP</w:t>
      </w:r>
      <w:r>
        <w:tab/>
        <w:t>General Practitioner</w:t>
      </w:r>
    </w:p>
    <w:p w14:paraId="0533518A" w14:textId="77777777" w:rsidR="005A7965" w:rsidRDefault="005A7965" w:rsidP="005A7965">
      <w:pPr>
        <w:pStyle w:val="AspexAbbreviations"/>
        <w:spacing w:after="120"/>
      </w:pPr>
      <w:r>
        <w:t>HAART</w:t>
      </w:r>
      <w:r>
        <w:tab/>
        <w:t>Highly Active Antiretroviral Therapy</w:t>
      </w:r>
    </w:p>
    <w:p w14:paraId="7B235EFC" w14:textId="77777777" w:rsidR="006C2599" w:rsidRDefault="006C2599" w:rsidP="00A42CFB">
      <w:pPr>
        <w:pStyle w:val="AspexAbbreviations"/>
        <w:spacing w:after="120"/>
      </w:pPr>
      <w:r>
        <w:t>HIV</w:t>
      </w:r>
      <w:r>
        <w:tab/>
        <w:t>Human Immunodeficiency Virus</w:t>
      </w:r>
    </w:p>
    <w:p w14:paraId="7DADB06B" w14:textId="15EF30D5" w:rsidR="005A7965" w:rsidRDefault="005A7965" w:rsidP="005A7965">
      <w:pPr>
        <w:pStyle w:val="AspexAbbreviations"/>
        <w:spacing w:after="120"/>
      </w:pPr>
      <w:r>
        <w:t>HSV</w:t>
      </w:r>
      <w:r>
        <w:tab/>
        <w:t>Herpes Simplex Virus</w:t>
      </w:r>
    </w:p>
    <w:p w14:paraId="16FFE927" w14:textId="77777777" w:rsidR="006C2599" w:rsidRDefault="006C2599" w:rsidP="00A42CFB">
      <w:pPr>
        <w:pStyle w:val="AspexAbbreviations"/>
        <w:spacing w:after="120"/>
      </w:pPr>
      <w:r>
        <w:t>MBS</w:t>
      </w:r>
      <w:r w:rsidRPr="00A66B66">
        <w:tab/>
      </w:r>
      <w:r>
        <w:t>Medical Benefits Schedule</w:t>
      </w:r>
    </w:p>
    <w:p w14:paraId="72A03D87" w14:textId="77777777" w:rsidR="006C2599" w:rsidRDefault="006C2599" w:rsidP="00A42CFB">
      <w:pPr>
        <w:pStyle w:val="AspexAbbreviations"/>
        <w:spacing w:after="120"/>
      </w:pPr>
      <w:r>
        <w:t>MSAC</w:t>
      </w:r>
      <w:r w:rsidRPr="00A66B66">
        <w:tab/>
      </w:r>
      <w:r>
        <w:t>Medical Services Advisory Committee</w:t>
      </w:r>
    </w:p>
    <w:p w14:paraId="69453E52" w14:textId="77777777" w:rsidR="005A7965" w:rsidRDefault="005A7965" w:rsidP="005A7965">
      <w:pPr>
        <w:pStyle w:val="AspexAbbreviations"/>
        <w:spacing w:after="120"/>
      </w:pPr>
      <w:r>
        <w:t>MSM</w:t>
      </w:r>
      <w:r>
        <w:tab/>
        <w:t>Men who have sex with men</w:t>
      </w:r>
    </w:p>
    <w:p w14:paraId="34EEB4C5" w14:textId="77777777" w:rsidR="006C2599" w:rsidRDefault="006C2599" w:rsidP="00A42CFB">
      <w:pPr>
        <w:pStyle w:val="AspexAbbreviations"/>
        <w:spacing w:after="120"/>
      </w:pPr>
      <w:r>
        <w:t>NHMRC</w:t>
      </w:r>
      <w:r>
        <w:tab/>
        <w:t>National Health &amp; Medical Research Council</w:t>
      </w:r>
    </w:p>
    <w:p w14:paraId="3FD5BE12" w14:textId="77777777" w:rsidR="006C2599" w:rsidRDefault="006C2599" w:rsidP="00A42CFB">
      <w:pPr>
        <w:pStyle w:val="AspexAbbreviations"/>
        <w:spacing w:after="120"/>
      </w:pPr>
      <w:r>
        <w:t>PBS</w:t>
      </w:r>
      <w:r>
        <w:tab/>
        <w:t>Pharmaceutical Benefits Scheme</w:t>
      </w:r>
    </w:p>
    <w:p w14:paraId="6D4267A4" w14:textId="4AD0FD0C" w:rsidR="005A7965" w:rsidRDefault="005A7965" w:rsidP="005A7965">
      <w:pPr>
        <w:pStyle w:val="AspexAbbreviations"/>
        <w:spacing w:after="120"/>
      </w:pPr>
      <w:r>
        <w:t>PID</w:t>
      </w:r>
      <w:r>
        <w:tab/>
        <w:t>Pelvic Inflammatory Disease</w:t>
      </w:r>
    </w:p>
    <w:p w14:paraId="05E9A1AB" w14:textId="77777777" w:rsidR="006C2599" w:rsidRDefault="006C2599" w:rsidP="00A42CFB">
      <w:pPr>
        <w:pStyle w:val="AspexAbbreviations"/>
        <w:spacing w:after="120"/>
      </w:pPr>
      <w:r>
        <w:t>RACP</w:t>
      </w:r>
      <w:r>
        <w:tab/>
        <w:t>Royal Australasian College of Physicians</w:t>
      </w:r>
    </w:p>
    <w:p w14:paraId="2FF5B75E" w14:textId="51D2959F" w:rsidR="00A42CFB" w:rsidRDefault="007F4AD8" w:rsidP="005A7965">
      <w:pPr>
        <w:pStyle w:val="AspexAbbreviations"/>
        <w:spacing w:after="120"/>
        <w:rPr>
          <w:rFonts w:cs="Arial"/>
          <w:color w:val="000000"/>
          <w:lang w:val="en" w:eastAsia="en-AU"/>
        </w:rPr>
      </w:pPr>
      <w:r>
        <w:rPr>
          <w:rFonts w:cs="Arial"/>
          <w:color w:val="000000"/>
          <w:lang w:val="en" w:eastAsia="en-AU"/>
        </w:rPr>
        <w:t>STI</w:t>
      </w:r>
      <w:r>
        <w:rPr>
          <w:rFonts w:cs="Arial"/>
          <w:color w:val="000000"/>
          <w:lang w:val="en" w:eastAsia="en-AU"/>
        </w:rPr>
        <w:tab/>
        <w:t>Sexually Transmiss</w:t>
      </w:r>
      <w:r w:rsidR="005A7965">
        <w:rPr>
          <w:rFonts w:cs="Arial"/>
          <w:color w:val="000000"/>
          <w:lang w:val="en" w:eastAsia="en-AU"/>
        </w:rPr>
        <w:t>i</w:t>
      </w:r>
      <w:r>
        <w:rPr>
          <w:rFonts w:cs="Arial"/>
          <w:color w:val="000000"/>
          <w:lang w:val="en" w:eastAsia="en-AU"/>
        </w:rPr>
        <w:t>ble I</w:t>
      </w:r>
      <w:r w:rsidR="00A42CFB">
        <w:rPr>
          <w:rFonts w:cs="Arial"/>
          <w:color w:val="000000"/>
          <w:lang w:val="en" w:eastAsia="en-AU"/>
        </w:rPr>
        <w:t>nfection</w:t>
      </w:r>
    </w:p>
    <w:p w14:paraId="1870DD57" w14:textId="77777777" w:rsidR="005A7965" w:rsidRDefault="005A7965" w:rsidP="005A7965">
      <w:pPr>
        <w:pStyle w:val="AspexAbbreviations"/>
        <w:spacing w:after="120"/>
        <w:rPr>
          <w:rFonts w:cs="Arial"/>
          <w:color w:val="000000"/>
          <w:lang w:val="en" w:eastAsia="en-AU"/>
        </w:rPr>
      </w:pPr>
      <w:r>
        <w:t>TGA</w:t>
      </w:r>
      <w:r>
        <w:tab/>
      </w:r>
      <w:r w:rsidRPr="003366E0">
        <w:rPr>
          <w:rFonts w:cs="Arial"/>
          <w:color w:val="000000"/>
          <w:lang w:val="en" w:eastAsia="en-AU"/>
        </w:rPr>
        <w:t>Therapeutic Goods Administration</w:t>
      </w:r>
    </w:p>
    <w:p w14:paraId="66C579BA" w14:textId="77777777" w:rsidR="00AE3430" w:rsidRPr="0078206C" w:rsidRDefault="00F86829" w:rsidP="002F6E55">
      <w:pPr>
        <w:pStyle w:val="AspexPrelimHeading"/>
        <w:spacing w:before="240"/>
      </w:pPr>
      <w:r>
        <w:t xml:space="preserve">Disclaimer </w:t>
      </w:r>
    </w:p>
    <w:p w14:paraId="40DBC8EF" w14:textId="77777777" w:rsidR="00AE3430" w:rsidRDefault="00F86829" w:rsidP="00052019">
      <w:pPr>
        <w:pStyle w:val="AspexPrelimtext"/>
      </w:pPr>
      <w:r w:rsidRPr="00FC36ED">
        <w:t xml:space="preserve">Please note that, in accordance with our Company’s policy, we are obliged to advise that neither the Company nor any employee nor sub-contractor undertakes responsibility in any way whatsoever to any person or organisation (other than </w:t>
      </w:r>
      <w:r w:rsidR="00FF19B1">
        <w:fldChar w:fldCharType="begin"/>
      </w:r>
      <w:r w:rsidR="002C2D03">
        <w:instrText xml:space="preserve"> DOCPROPERTY  xDisc  \* MERGEFORMAT </w:instrText>
      </w:r>
      <w:r w:rsidR="00FF19B1">
        <w:fldChar w:fldCharType="separate"/>
      </w:r>
      <w:r w:rsidR="008C3FA8">
        <w:t>The Department of Health and Ageing</w:t>
      </w:r>
      <w:r w:rsidR="00FF19B1">
        <w:fldChar w:fldCharType="end"/>
      </w:r>
      <w:r w:rsidRPr="00FC36ED">
        <w:t xml:space="preserve">) in respect of information set out in this report, including any errors or omissions therein, </w:t>
      </w:r>
      <w:r w:rsidRPr="00DB73FE">
        <w:t>arising</w:t>
      </w:r>
      <w:r w:rsidRPr="00FC36ED">
        <w:t xml:space="preserve"> through negligence or otherwise however caused.</w:t>
      </w:r>
    </w:p>
    <w:p w14:paraId="1CC96F9D" w14:textId="77777777" w:rsidR="00DB58A1" w:rsidRDefault="00F86829" w:rsidP="007333CE">
      <w:pPr>
        <w:pStyle w:val="Heading1"/>
      </w:pPr>
      <w:bookmarkStart w:id="2" w:name="_Toc351480492"/>
      <w:r w:rsidRPr="007333CE">
        <w:lastRenderedPageBreak/>
        <w:t>Executive</w:t>
      </w:r>
      <w:r>
        <w:t xml:space="preserve"> Summary</w:t>
      </w:r>
      <w:bookmarkEnd w:id="2"/>
      <w:r>
        <w:t xml:space="preserve"> </w:t>
      </w:r>
    </w:p>
    <w:p w14:paraId="76CB936D" w14:textId="77777777" w:rsidR="00A13F84" w:rsidRDefault="00A071B4" w:rsidP="007333CE">
      <w:pPr>
        <w:pStyle w:val="Heading2"/>
      </w:pPr>
      <w:bookmarkStart w:id="3" w:name="_Toc351480493"/>
      <w:r>
        <w:t>Abstract</w:t>
      </w:r>
      <w:bookmarkEnd w:id="3"/>
    </w:p>
    <w:p w14:paraId="7AE3C20B" w14:textId="5355F3AA" w:rsidR="004F667F" w:rsidRPr="007527A3" w:rsidRDefault="00B93BA3" w:rsidP="00B93BA3">
      <w:pPr>
        <w:pStyle w:val="IntenseQuote"/>
        <w:rPr>
          <w:i w:val="0"/>
        </w:rPr>
      </w:pPr>
      <w:r w:rsidRPr="007527A3">
        <w:rPr>
          <w:b w:val="0"/>
          <w:i w:val="0"/>
        </w:rPr>
        <w:t xml:space="preserve">A </w:t>
      </w:r>
      <w:r w:rsidR="00BD5F9A">
        <w:rPr>
          <w:b w:val="0"/>
          <w:i w:val="0"/>
        </w:rPr>
        <w:t>large</w:t>
      </w:r>
      <w:r w:rsidRPr="007527A3">
        <w:rPr>
          <w:b w:val="0"/>
          <w:i w:val="0"/>
        </w:rPr>
        <w:t xml:space="preserve"> number of Australians </w:t>
      </w:r>
      <w:r w:rsidR="00BD5F9A">
        <w:rPr>
          <w:b w:val="0"/>
          <w:i w:val="0"/>
        </w:rPr>
        <w:t xml:space="preserve">contract sexually </w:t>
      </w:r>
      <w:r w:rsidR="0067099E">
        <w:rPr>
          <w:b w:val="0"/>
          <w:i w:val="0"/>
        </w:rPr>
        <w:t xml:space="preserve">transmissible </w:t>
      </w:r>
      <w:r w:rsidR="00BD5F9A">
        <w:rPr>
          <w:b w:val="0"/>
          <w:i w:val="0"/>
        </w:rPr>
        <w:t xml:space="preserve">infections each year, and/or present for medical treatment with a wide range of sexual health related problems. </w:t>
      </w:r>
      <w:r w:rsidRPr="007527A3">
        <w:rPr>
          <w:b w:val="0"/>
          <w:i w:val="0"/>
        </w:rPr>
        <w:t xml:space="preserve">These symptoms are the primary focus of the field of </w:t>
      </w:r>
      <w:r w:rsidR="00BB4810">
        <w:rPr>
          <w:b w:val="0"/>
          <w:i w:val="0"/>
        </w:rPr>
        <w:t>sexual health medicine</w:t>
      </w:r>
      <w:r w:rsidRPr="007527A3">
        <w:rPr>
          <w:b w:val="0"/>
          <w:i w:val="0"/>
        </w:rPr>
        <w:t xml:space="preserve">. </w:t>
      </w:r>
      <w:r w:rsidR="00671DB8" w:rsidRPr="007527A3">
        <w:rPr>
          <w:b w:val="0"/>
          <w:i w:val="0"/>
        </w:rPr>
        <w:t xml:space="preserve">The field of </w:t>
      </w:r>
      <w:r w:rsidR="0067099E">
        <w:rPr>
          <w:b w:val="0"/>
          <w:i w:val="0"/>
        </w:rPr>
        <w:t xml:space="preserve">sexual health medicine </w:t>
      </w:r>
      <w:r w:rsidR="00A071B4" w:rsidRPr="007527A3">
        <w:rPr>
          <w:b w:val="0"/>
          <w:i w:val="0"/>
        </w:rPr>
        <w:t xml:space="preserve">has now been recognised to be sufficiently complex to require specialist training. Specialists are able to advise and support </w:t>
      </w:r>
      <w:r w:rsidR="00851E9B">
        <w:rPr>
          <w:b w:val="0"/>
          <w:i w:val="0"/>
        </w:rPr>
        <w:t>general p</w:t>
      </w:r>
      <w:r w:rsidR="00A071B4" w:rsidRPr="007527A3">
        <w:rPr>
          <w:b w:val="0"/>
          <w:i w:val="0"/>
        </w:rPr>
        <w:t xml:space="preserve">ractitioners, in addition to undertaking more comprehensive assessments and offering a range of combination therapies </w:t>
      </w:r>
      <w:r w:rsidRPr="007527A3">
        <w:rPr>
          <w:b w:val="0"/>
          <w:i w:val="0"/>
        </w:rPr>
        <w:t>for complex</w:t>
      </w:r>
      <w:r w:rsidR="00BD5F9A">
        <w:rPr>
          <w:b w:val="0"/>
          <w:i w:val="0"/>
        </w:rPr>
        <w:t xml:space="preserve"> and/or</w:t>
      </w:r>
      <w:r w:rsidR="000C2451" w:rsidRPr="007527A3">
        <w:rPr>
          <w:b w:val="0"/>
          <w:i w:val="0"/>
        </w:rPr>
        <w:t xml:space="preserve"> </w:t>
      </w:r>
      <w:r w:rsidR="00BD5F9A">
        <w:rPr>
          <w:b w:val="0"/>
          <w:i w:val="0"/>
        </w:rPr>
        <w:t>difficult to diagnose sexual health conditions</w:t>
      </w:r>
      <w:r w:rsidR="00A071B4" w:rsidRPr="007527A3">
        <w:rPr>
          <w:b w:val="0"/>
          <w:i w:val="0"/>
        </w:rPr>
        <w:t>.</w:t>
      </w:r>
      <w:r w:rsidR="00A071B4" w:rsidRPr="007527A3">
        <w:rPr>
          <w:i w:val="0"/>
        </w:rPr>
        <w:t xml:space="preserve"> </w:t>
      </w:r>
    </w:p>
    <w:p w14:paraId="0E980D2C" w14:textId="70C0C6CB" w:rsidR="004F667F" w:rsidRPr="007527A3" w:rsidRDefault="00671DB8" w:rsidP="00B93BA3">
      <w:pPr>
        <w:pStyle w:val="IntenseQuote"/>
        <w:rPr>
          <w:i w:val="0"/>
        </w:rPr>
      </w:pPr>
      <w:r w:rsidRPr="00691683">
        <w:rPr>
          <w:i w:val="0"/>
        </w:rPr>
        <w:t xml:space="preserve">The primary </w:t>
      </w:r>
      <w:r w:rsidR="00B438F8" w:rsidRPr="00691683">
        <w:rPr>
          <w:i w:val="0"/>
        </w:rPr>
        <w:t>contribution</w:t>
      </w:r>
      <w:r w:rsidRPr="00691683">
        <w:rPr>
          <w:i w:val="0"/>
        </w:rPr>
        <w:t xml:space="preserve"> of </w:t>
      </w:r>
      <w:r w:rsidR="00BB4810" w:rsidRPr="00691683">
        <w:rPr>
          <w:i w:val="0"/>
        </w:rPr>
        <w:t>sexual health medicine</w:t>
      </w:r>
      <w:r w:rsidRPr="00691683">
        <w:rPr>
          <w:i w:val="0"/>
        </w:rPr>
        <w:t xml:space="preserve"> specialists is their capacity to identify the complex range of needs for people experiencing </w:t>
      </w:r>
      <w:r w:rsidR="00BD5F9A" w:rsidRPr="00691683">
        <w:rPr>
          <w:i w:val="0"/>
        </w:rPr>
        <w:t>sexual health</w:t>
      </w:r>
      <w:r w:rsidRPr="00691683">
        <w:rPr>
          <w:i w:val="0"/>
        </w:rPr>
        <w:t xml:space="preserve"> related problems, and implement or otherwise coordinate an appropriate combination of evidence based interventions to </w:t>
      </w:r>
      <w:r w:rsidR="00275CFD">
        <w:rPr>
          <w:i w:val="0"/>
        </w:rPr>
        <w:t xml:space="preserve">successfully manage these problems (e.g. sexually </w:t>
      </w:r>
      <w:r w:rsidR="0067099E">
        <w:rPr>
          <w:i w:val="0"/>
        </w:rPr>
        <w:t xml:space="preserve">transmissible </w:t>
      </w:r>
      <w:r w:rsidR="00275CFD">
        <w:rPr>
          <w:i w:val="0"/>
        </w:rPr>
        <w:t>infections</w:t>
      </w:r>
      <w:r w:rsidR="00186EF4">
        <w:rPr>
          <w:i w:val="0"/>
        </w:rPr>
        <w:t>, blood borne viruses</w:t>
      </w:r>
      <w:r w:rsidR="00275CFD">
        <w:rPr>
          <w:i w:val="0"/>
        </w:rPr>
        <w:t xml:space="preserve"> or sexual dysfunction) and minimise their impact on the individual. </w:t>
      </w:r>
      <w:r w:rsidR="004F667F" w:rsidRPr="00691683">
        <w:rPr>
          <w:i w:val="0"/>
        </w:rPr>
        <w:t xml:space="preserve">The clinical safety and effectiveness of these interventions has already been determined.  The </w:t>
      </w:r>
      <w:r w:rsidR="000C2451" w:rsidRPr="00691683">
        <w:rPr>
          <w:i w:val="0"/>
        </w:rPr>
        <w:t xml:space="preserve">beneficial claim of </w:t>
      </w:r>
      <w:r w:rsidR="00BB4810" w:rsidRPr="00691683">
        <w:rPr>
          <w:i w:val="0"/>
        </w:rPr>
        <w:t>sexual health medicine</w:t>
      </w:r>
      <w:r w:rsidR="000C2451" w:rsidRPr="00691683">
        <w:rPr>
          <w:i w:val="0"/>
        </w:rPr>
        <w:t xml:space="preserve"> specialists is their capacity to deliver the most appropriate combination </w:t>
      </w:r>
      <w:r w:rsidR="00B438F8" w:rsidRPr="00691683">
        <w:rPr>
          <w:i w:val="0"/>
        </w:rPr>
        <w:t xml:space="preserve">of targeted, </w:t>
      </w:r>
      <w:r w:rsidR="000C2451" w:rsidRPr="00691683">
        <w:rPr>
          <w:i w:val="0"/>
        </w:rPr>
        <w:t>evidence-based interventions in an efficient and effective manner. This has been</w:t>
      </w:r>
      <w:r w:rsidR="004F667F" w:rsidRPr="00691683">
        <w:rPr>
          <w:i w:val="0"/>
        </w:rPr>
        <w:t xml:space="preserve"> the focus of enquiry for the current application.</w:t>
      </w:r>
    </w:p>
    <w:p w14:paraId="7A3DF71F" w14:textId="7C6970E0" w:rsidR="00A071B4" w:rsidRDefault="00A071B4" w:rsidP="00B93BA3">
      <w:pPr>
        <w:pStyle w:val="IntenseQuote"/>
        <w:rPr>
          <w:b w:val="0"/>
          <w:i w:val="0"/>
        </w:rPr>
      </w:pPr>
      <w:r w:rsidRPr="007527A3">
        <w:rPr>
          <w:b w:val="0"/>
          <w:i w:val="0"/>
        </w:rPr>
        <w:t>Without</w:t>
      </w:r>
      <w:r w:rsidR="00B93BA3" w:rsidRPr="007527A3">
        <w:rPr>
          <w:b w:val="0"/>
          <w:i w:val="0"/>
        </w:rPr>
        <w:t xml:space="preserve"> </w:t>
      </w:r>
      <w:r w:rsidR="00BB4810">
        <w:rPr>
          <w:b w:val="0"/>
          <w:i w:val="0"/>
        </w:rPr>
        <w:t>sexual health medicine</w:t>
      </w:r>
      <w:r w:rsidR="00B93BA3" w:rsidRPr="007527A3">
        <w:rPr>
          <w:b w:val="0"/>
          <w:i w:val="0"/>
        </w:rPr>
        <w:t xml:space="preserve"> specialists,</w:t>
      </w:r>
      <w:r w:rsidRPr="007527A3">
        <w:rPr>
          <w:b w:val="0"/>
          <w:i w:val="0"/>
        </w:rPr>
        <w:t xml:space="preserve"> services would be required from a range of different </w:t>
      </w:r>
      <w:r w:rsidR="00B93BA3" w:rsidRPr="007527A3">
        <w:rPr>
          <w:b w:val="0"/>
          <w:i w:val="0"/>
        </w:rPr>
        <w:t>medical practitioners</w:t>
      </w:r>
      <w:r w:rsidRPr="007527A3">
        <w:rPr>
          <w:b w:val="0"/>
          <w:i w:val="0"/>
        </w:rPr>
        <w:t xml:space="preserve">, placing patients at greater risk of </w:t>
      </w:r>
      <w:r w:rsidR="00C32FEF">
        <w:rPr>
          <w:b w:val="0"/>
          <w:i w:val="0"/>
        </w:rPr>
        <w:t>under</w:t>
      </w:r>
      <w:r w:rsidR="00BD5F9A">
        <w:rPr>
          <w:b w:val="0"/>
          <w:i w:val="0"/>
        </w:rPr>
        <w:t>-diagnosis</w:t>
      </w:r>
      <w:r w:rsidRPr="007527A3">
        <w:rPr>
          <w:b w:val="0"/>
          <w:i w:val="0"/>
        </w:rPr>
        <w:t xml:space="preserve"> or complications due to </w:t>
      </w:r>
      <w:r w:rsidR="00B93BA3" w:rsidRPr="007527A3">
        <w:rPr>
          <w:b w:val="0"/>
          <w:i w:val="0"/>
        </w:rPr>
        <w:t xml:space="preserve">delays in </w:t>
      </w:r>
      <w:r w:rsidRPr="007527A3">
        <w:rPr>
          <w:b w:val="0"/>
          <w:i w:val="0"/>
        </w:rPr>
        <w:t xml:space="preserve">the time to access treatment, </w:t>
      </w:r>
      <w:r w:rsidR="003B7CD2">
        <w:rPr>
          <w:b w:val="0"/>
          <w:i w:val="0"/>
        </w:rPr>
        <w:t>out-of-pocket</w:t>
      </w:r>
      <w:r w:rsidRPr="007527A3">
        <w:rPr>
          <w:b w:val="0"/>
          <w:i w:val="0"/>
        </w:rPr>
        <w:t xml:space="preserve"> costs, and potential fragmentation of service delivery</w:t>
      </w:r>
      <w:r w:rsidR="00B93BA3" w:rsidRPr="007527A3">
        <w:rPr>
          <w:b w:val="0"/>
          <w:i w:val="0"/>
        </w:rPr>
        <w:t xml:space="preserve"> due to the multitude of service providers required for safe and effective care</w:t>
      </w:r>
      <w:r w:rsidRPr="007527A3">
        <w:rPr>
          <w:b w:val="0"/>
          <w:i w:val="0"/>
        </w:rPr>
        <w:t xml:space="preserve">.  Services provided by different specialists may also result in greater costs of service delivery to the MBS. </w:t>
      </w:r>
      <w:r w:rsidR="00BB4810">
        <w:rPr>
          <w:b w:val="0"/>
          <w:i w:val="0"/>
        </w:rPr>
        <w:t>Sexual health medicine</w:t>
      </w:r>
      <w:r w:rsidR="00B93BA3" w:rsidRPr="007527A3">
        <w:rPr>
          <w:b w:val="0"/>
          <w:i w:val="0"/>
        </w:rPr>
        <w:t xml:space="preserve"> specialists are current remunerated by the MBS at levels that are equivalent</w:t>
      </w:r>
      <w:r w:rsidR="00653B0F">
        <w:rPr>
          <w:b w:val="0"/>
          <w:i w:val="0"/>
        </w:rPr>
        <w:t xml:space="preserve"> to</w:t>
      </w:r>
      <w:r w:rsidR="00163D98">
        <w:rPr>
          <w:b w:val="0"/>
          <w:i w:val="0"/>
        </w:rPr>
        <w:t>,</w:t>
      </w:r>
      <w:r w:rsidR="00F55B72">
        <w:rPr>
          <w:b w:val="0"/>
          <w:i w:val="0"/>
        </w:rPr>
        <w:t xml:space="preserve"> </w:t>
      </w:r>
      <w:r w:rsidR="00B93BA3" w:rsidRPr="007527A3">
        <w:rPr>
          <w:b w:val="0"/>
          <w:i w:val="0"/>
        </w:rPr>
        <w:t>or below</w:t>
      </w:r>
      <w:r w:rsidR="00F55B72">
        <w:rPr>
          <w:b w:val="0"/>
          <w:i w:val="0"/>
        </w:rPr>
        <w:t>,</w:t>
      </w:r>
      <w:r w:rsidR="00B93BA3" w:rsidRPr="007527A3">
        <w:rPr>
          <w:b w:val="0"/>
          <w:i w:val="0"/>
        </w:rPr>
        <w:t xml:space="preserve"> medical practitioners who have undergone no specialty training.  The </w:t>
      </w:r>
      <w:r w:rsidR="008C29C6">
        <w:rPr>
          <w:b w:val="0"/>
          <w:i w:val="0"/>
        </w:rPr>
        <w:t>Sexual Health Medicine</w:t>
      </w:r>
      <w:r w:rsidR="003B7CD2">
        <w:rPr>
          <w:b w:val="0"/>
          <w:i w:val="0"/>
        </w:rPr>
        <w:t xml:space="preserve"> </w:t>
      </w:r>
      <w:r w:rsidR="00B93BA3" w:rsidRPr="007527A3">
        <w:rPr>
          <w:b w:val="0"/>
          <w:i w:val="0"/>
        </w:rPr>
        <w:t xml:space="preserve">specialty workforce is in decline and is experiencing difficulty attracting new trainees. MBS reimbursement is sought </w:t>
      </w:r>
      <w:r w:rsidR="00671DB8" w:rsidRPr="007527A3">
        <w:rPr>
          <w:b w:val="0"/>
          <w:i w:val="0"/>
        </w:rPr>
        <w:t xml:space="preserve">to recognise the level of </w:t>
      </w:r>
      <w:r w:rsidR="00B93BA3" w:rsidRPr="007527A3">
        <w:rPr>
          <w:b w:val="0"/>
          <w:i w:val="0"/>
        </w:rPr>
        <w:t xml:space="preserve">professional training </w:t>
      </w:r>
      <w:r w:rsidR="00671DB8" w:rsidRPr="007527A3">
        <w:rPr>
          <w:b w:val="0"/>
          <w:i w:val="0"/>
        </w:rPr>
        <w:t>and clinical contribution provided by</w:t>
      </w:r>
      <w:r w:rsidR="00B93BA3" w:rsidRPr="007527A3">
        <w:rPr>
          <w:b w:val="0"/>
          <w:i w:val="0"/>
        </w:rPr>
        <w:t xml:space="preserve"> </w:t>
      </w:r>
      <w:r w:rsidR="008C29C6">
        <w:rPr>
          <w:b w:val="0"/>
          <w:i w:val="0"/>
        </w:rPr>
        <w:t>Sexual Health Medicine</w:t>
      </w:r>
      <w:r w:rsidR="00671DB8" w:rsidRPr="007527A3">
        <w:rPr>
          <w:b w:val="0"/>
          <w:i w:val="0"/>
        </w:rPr>
        <w:t xml:space="preserve"> specialists</w:t>
      </w:r>
      <w:r w:rsidR="00B93BA3" w:rsidRPr="007527A3">
        <w:rPr>
          <w:b w:val="0"/>
          <w:i w:val="0"/>
        </w:rPr>
        <w:t>.  Appropriate reimbursement through a recommended suite of MBS items will enable an equivalent standard of service delivery to that currently provided in the public sector, and provide incentives for future growth of the specialist workforce, enabling greater access to specialty services for consumers.</w:t>
      </w:r>
    </w:p>
    <w:p w14:paraId="0EE58AFD" w14:textId="77777777" w:rsidR="008B7575" w:rsidRDefault="008B7575" w:rsidP="008B7575">
      <w:pPr>
        <w:pStyle w:val="IntenseQuote"/>
        <w:spacing w:after="120"/>
        <w:rPr>
          <w:b w:val="0"/>
          <w:i w:val="0"/>
        </w:rPr>
      </w:pPr>
      <w:r>
        <w:rPr>
          <w:b w:val="0"/>
          <w:i w:val="0"/>
        </w:rPr>
        <w:lastRenderedPageBreak/>
        <w:t xml:space="preserve">It is proposed that a structure for new MBS items reflects the service model for </w:t>
      </w:r>
      <w:r w:rsidR="008C29C6">
        <w:rPr>
          <w:b w:val="0"/>
          <w:i w:val="0"/>
        </w:rPr>
        <w:t>Sexual Health Medicine</w:t>
      </w:r>
      <w:r>
        <w:rPr>
          <w:b w:val="0"/>
          <w:i w:val="0"/>
        </w:rPr>
        <w:t xml:space="preserve"> including two items for consultations (assessment and patient review) that </w:t>
      </w:r>
      <w:r w:rsidR="00BD5F9A">
        <w:rPr>
          <w:b w:val="0"/>
          <w:i w:val="0"/>
        </w:rPr>
        <w:t>are equivalent to</w:t>
      </w:r>
      <w:r>
        <w:rPr>
          <w:b w:val="0"/>
          <w:i w:val="0"/>
        </w:rPr>
        <w:t xml:space="preserve"> consultant physician consultations, two items for complex care and management planning, </w:t>
      </w:r>
      <w:r w:rsidR="00BD5F9A">
        <w:rPr>
          <w:b w:val="0"/>
          <w:i w:val="0"/>
        </w:rPr>
        <w:t>eight</w:t>
      </w:r>
      <w:r>
        <w:rPr>
          <w:b w:val="0"/>
          <w:i w:val="0"/>
        </w:rPr>
        <w:t xml:space="preserve"> items for case conferencing, two items for telemedicine, and one item for </w:t>
      </w:r>
      <w:r w:rsidR="00BD5F9A">
        <w:rPr>
          <w:b w:val="0"/>
          <w:i w:val="0"/>
        </w:rPr>
        <w:t>home and/or residential care consultation</w:t>
      </w:r>
      <w:r>
        <w:rPr>
          <w:b w:val="0"/>
          <w:i w:val="0"/>
        </w:rPr>
        <w:t>.</w:t>
      </w:r>
    </w:p>
    <w:p w14:paraId="4E8A2783" w14:textId="343F6747" w:rsidR="00D9087C" w:rsidRPr="00A42CFB" w:rsidRDefault="00D9087C" w:rsidP="00D9087C">
      <w:pPr>
        <w:pStyle w:val="IntenseQuote"/>
      </w:pPr>
      <w:r>
        <w:t xml:space="preserve">The expected annual outlays for sexual health medicine </w:t>
      </w:r>
      <w:r w:rsidRPr="00A42CFB">
        <w:t xml:space="preserve">based on </w:t>
      </w:r>
      <w:r>
        <w:t>a continuation of the current item mix and 11.5% growth in activity, would increase the 2012 outlays from $5.144m to $6.057m, an increase of $0.913m</w:t>
      </w:r>
      <w:r w:rsidRPr="00A42CFB">
        <w:t>.</w:t>
      </w:r>
    </w:p>
    <w:p w14:paraId="1CA9334D" w14:textId="529829D7" w:rsidR="00727CCA" w:rsidRDefault="008B7575" w:rsidP="008B7575">
      <w:pPr>
        <w:pStyle w:val="IntenseQuote"/>
      </w:pPr>
      <w:r w:rsidRPr="00A42CFB">
        <w:t xml:space="preserve">The impact of the proposed new structure suggests annual outlays for </w:t>
      </w:r>
      <w:r w:rsidR="0067099E" w:rsidRPr="00A42CFB">
        <w:t>s</w:t>
      </w:r>
      <w:r w:rsidR="008C29C6" w:rsidRPr="00A42CFB">
        <w:t xml:space="preserve">exual </w:t>
      </w:r>
      <w:r w:rsidR="0067099E" w:rsidRPr="00A42CFB">
        <w:t>h</w:t>
      </w:r>
      <w:r w:rsidR="008C29C6" w:rsidRPr="00A42CFB">
        <w:t xml:space="preserve">ealth </w:t>
      </w:r>
      <w:r w:rsidR="0067099E" w:rsidRPr="00A42CFB">
        <w:t>m</w:t>
      </w:r>
      <w:r w:rsidR="008C29C6" w:rsidRPr="00A42CFB">
        <w:t>edicine</w:t>
      </w:r>
      <w:r w:rsidRPr="00A42CFB">
        <w:t xml:space="preserve"> of $</w:t>
      </w:r>
      <w:r w:rsidR="005762F0" w:rsidRPr="00A42CFB">
        <w:t>8.245</w:t>
      </w:r>
      <w:r w:rsidRPr="00A42CFB">
        <w:t>m in 2015, an increase of $</w:t>
      </w:r>
      <w:r w:rsidR="00132242" w:rsidRPr="00A42CFB">
        <w:t>3.</w:t>
      </w:r>
      <w:r w:rsidR="005762F0" w:rsidRPr="00A42CFB">
        <w:t>100</w:t>
      </w:r>
      <w:r w:rsidRPr="00A42CFB">
        <w:t>m</w:t>
      </w:r>
      <w:r w:rsidR="00132242" w:rsidRPr="00A42CFB">
        <w:t xml:space="preserve"> </w:t>
      </w:r>
      <w:r w:rsidR="00653B0F">
        <w:t>on</w:t>
      </w:r>
      <w:r w:rsidR="00132242" w:rsidRPr="00A42CFB">
        <w:t xml:space="preserve"> the </w:t>
      </w:r>
      <w:r w:rsidR="00727CCA">
        <w:t>actual</w:t>
      </w:r>
      <w:r w:rsidR="00132242" w:rsidRPr="00A42CFB">
        <w:t xml:space="preserve"> outlays in 2012</w:t>
      </w:r>
      <w:r w:rsidR="00727CCA">
        <w:t xml:space="preserve">. </w:t>
      </w:r>
      <w:r w:rsidRPr="00A42CFB">
        <w:t xml:space="preserve"> </w:t>
      </w:r>
    </w:p>
    <w:p w14:paraId="1EABAD5B" w14:textId="3C4363C7" w:rsidR="008B7575" w:rsidRPr="00A42CFB" w:rsidRDefault="008B7575" w:rsidP="008B7575">
      <w:pPr>
        <w:pStyle w:val="IntenseQuote"/>
      </w:pPr>
      <w:r w:rsidRPr="00A42CFB">
        <w:t xml:space="preserve">The increase in outlays under the new MBS items remains the most cost effective option compared with the provision of services by the next most appropriate service provider </w:t>
      </w:r>
      <w:r w:rsidR="00132242" w:rsidRPr="00A42CFB">
        <w:t>–</w:t>
      </w:r>
      <w:r w:rsidRPr="00A42CFB">
        <w:t xml:space="preserve"> </w:t>
      </w:r>
      <w:r w:rsidR="0067099E" w:rsidRPr="00A42CFB">
        <w:t>i</w:t>
      </w:r>
      <w:r w:rsidR="00132242" w:rsidRPr="00A42CFB">
        <w:t xml:space="preserve">nfectious </w:t>
      </w:r>
      <w:r w:rsidR="0067099E" w:rsidRPr="00A42CFB">
        <w:t>d</w:t>
      </w:r>
      <w:r w:rsidR="00132242" w:rsidRPr="00A42CFB">
        <w:t>isease</w:t>
      </w:r>
      <w:r w:rsidR="005762F0" w:rsidRPr="00A42CFB">
        <w:t xml:space="preserve"> </w:t>
      </w:r>
      <w:r w:rsidR="0067099E" w:rsidRPr="00A42CFB">
        <w:t>p</w:t>
      </w:r>
      <w:r w:rsidR="00132242" w:rsidRPr="00A42CFB">
        <w:t>hysicians</w:t>
      </w:r>
      <w:r w:rsidRPr="00A42CFB">
        <w:t xml:space="preserve">.  Forecast MBS outlays using </w:t>
      </w:r>
      <w:r w:rsidR="0067099E" w:rsidRPr="00A42CFB">
        <w:t>i</w:t>
      </w:r>
      <w:r w:rsidR="008C29C6" w:rsidRPr="00A42CFB">
        <w:t xml:space="preserve">nfectious </w:t>
      </w:r>
      <w:r w:rsidR="0067099E" w:rsidRPr="00A42CFB">
        <w:t>d</w:t>
      </w:r>
      <w:r w:rsidR="008C29C6" w:rsidRPr="00A42CFB">
        <w:t xml:space="preserve">isease </w:t>
      </w:r>
      <w:r w:rsidR="0067099E" w:rsidRPr="00A42CFB">
        <w:t>p</w:t>
      </w:r>
      <w:r w:rsidR="008C29C6" w:rsidRPr="00A42CFB">
        <w:t>hysician</w:t>
      </w:r>
      <w:r w:rsidRPr="00A42CFB">
        <w:t xml:space="preserve"> consultation rates </w:t>
      </w:r>
      <w:r w:rsidR="00132242" w:rsidRPr="00A42CFB">
        <w:t>are</w:t>
      </w:r>
      <w:r w:rsidRPr="00A42CFB">
        <w:t xml:space="preserve"> $</w:t>
      </w:r>
      <w:r w:rsidR="005762F0" w:rsidRPr="00A42CFB">
        <w:t>8.489</w:t>
      </w:r>
      <w:r w:rsidRPr="00A42CFB">
        <w:t>m by 2015.  This indicates a $</w:t>
      </w:r>
      <w:r w:rsidR="00132242" w:rsidRPr="00A42CFB">
        <w:t>0</w:t>
      </w:r>
      <w:r w:rsidR="005762F0" w:rsidRPr="00A42CFB">
        <w:t>.244</w:t>
      </w:r>
      <w:r w:rsidRPr="00A42CFB">
        <w:t>m (</w:t>
      </w:r>
      <w:r w:rsidR="005762F0" w:rsidRPr="00A42CFB">
        <w:t>3.0</w:t>
      </w:r>
      <w:r w:rsidRPr="00A42CFB">
        <w:t>%) cost advantage.</w:t>
      </w:r>
    </w:p>
    <w:p w14:paraId="3B2638E7" w14:textId="7E6E62E8" w:rsidR="008B7575" w:rsidRDefault="008B7575" w:rsidP="008B7575">
      <w:pPr>
        <w:pStyle w:val="IntenseQuote"/>
      </w:pPr>
      <w:r w:rsidRPr="00A42CFB">
        <w:t>The estimated out-of-pocket costs to patients by 2015, suggests ~$2.</w:t>
      </w:r>
      <w:r w:rsidR="005A7CC4" w:rsidRPr="00A42CFB">
        <w:t>020</w:t>
      </w:r>
      <w:r w:rsidRPr="00A42CFB">
        <w:t xml:space="preserve">m for </w:t>
      </w:r>
      <w:r w:rsidR="0067099E" w:rsidRPr="00A42CFB">
        <w:t>s</w:t>
      </w:r>
      <w:r w:rsidR="008C29C6" w:rsidRPr="00A42CFB">
        <w:t xml:space="preserve">exual </w:t>
      </w:r>
      <w:r w:rsidR="0067099E" w:rsidRPr="00A42CFB">
        <w:t>h</w:t>
      </w:r>
      <w:r w:rsidR="008C29C6" w:rsidRPr="00A42CFB">
        <w:t xml:space="preserve">ealth </w:t>
      </w:r>
      <w:r w:rsidR="0067099E" w:rsidRPr="00A42CFB">
        <w:t>m</w:t>
      </w:r>
      <w:r w:rsidR="008C29C6" w:rsidRPr="00A42CFB">
        <w:t>edicine</w:t>
      </w:r>
      <w:r w:rsidRPr="00A42CFB">
        <w:t xml:space="preserve">, compared to out-of-pocket costs for </w:t>
      </w:r>
      <w:r w:rsidR="0067099E" w:rsidRPr="00A42CFB">
        <w:t>i</w:t>
      </w:r>
      <w:r w:rsidR="008C29C6" w:rsidRPr="00A42CFB">
        <w:t xml:space="preserve">nfectious </w:t>
      </w:r>
      <w:r w:rsidR="0067099E" w:rsidRPr="00A42CFB">
        <w:t>d</w:t>
      </w:r>
      <w:r w:rsidR="008C29C6" w:rsidRPr="00A42CFB">
        <w:t xml:space="preserve">isease </w:t>
      </w:r>
      <w:r w:rsidR="0067099E" w:rsidRPr="00A42CFB">
        <w:t>p</w:t>
      </w:r>
      <w:r w:rsidR="008C29C6" w:rsidRPr="00A42CFB">
        <w:t>hysician</w:t>
      </w:r>
      <w:r w:rsidR="00A42CFB">
        <w:t>s</w:t>
      </w:r>
      <w:r w:rsidRPr="00A42CFB">
        <w:t xml:space="preserve"> of $</w:t>
      </w:r>
      <w:r w:rsidR="005A7CC4" w:rsidRPr="00A42CFB">
        <w:t>1.934</w:t>
      </w:r>
      <w:r w:rsidRPr="00A42CFB">
        <w:t xml:space="preserve">m.  This is </w:t>
      </w:r>
      <w:r w:rsidR="00681AD5">
        <w:t xml:space="preserve">virtually identical out-of-pocket costs between </w:t>
      </w:r>
      <w:r w:rsidR="0067099E" w:rsidRPr="00A42CFB">
        <w:t>s</w:t>
      </w:r>
      <w:r w:rsidR="005A7CC4" w:rsidRPr="00A42CFB">
        <w:t xml:space="preserve">exual </w:t>
      </w:r>
      <w:r w:rsidR="0067099E" w:rsidRPr="00A42CFB">
        <w:t>h</w:t>
      </w:r>
      <w:r w:rsidR="005A7CC4" w:rsidRPr="00A42CFB">
        <w:t xml:space="preserve">ealth </w:t>
      </w:r>
      <w:r w:rsidR="0067099E" w:rsidRPr="00A42CFB">
        <w:t>m</w:t>
      </w:r>
      <w:r w:rsidR="005A7CC4" w:rsidRPr="00A42CFB">
        <w:t xml:space="preserve">edicine specialists </w:t>
      </w:r>
      <w:r w:rsidR="00681AD5">
        <w:t>and</w:t>
      </w:r>
      <w:r w:rsidR="005A7CC4" w:rsidRPr="00A42CFB">
        <w:t xml:space="preserve"> </w:t>
      </w:r>
      <w:r w:rsidR="0067099E" w:rsidRPr="00A42CFB">
        <w:t>i</w:t>
      </w:r>
      <w:r w:rsidR="008C29C6" w:rsidRPr="00A42CFB">
        <w:t xml:space="preserve">nfectious </w:t>
      </w:r>
      <w:r w:rsidR="0067099E" w:rsidRPr="00A42CFB">
        <w:t>d</w:t>
      </w:r>
      <w:r w:rsidR="008C29C6" w:rsidRPr="00A42CFB">
        <w:t xml:space="preserve">isease </w:t>
      </w:r>
      <w:r w:rsidR="0067099E" w:rsidRPr="00A42CFB">
        <w:t>p</w:t>
      </w:r>
      <w:r w:rsidR="008C29C6" w:rsidRPr="00A42CFB">
        <w:t>hysician</w:t>
      </w:r>
      <w:r w:rsidR="005A7CC4" w:rsidRPr="00A42CFB">
        <w:t>s</w:t>
      </w:r>
      <w:r w:rsidR="0067099E" w:rsidRPr="00A42CFB">
        <w:t>.</w:t>
      </w:r>
    </w:p>
    <w:p w14:paraId="4461BC47" w14:textId="77777777" w:rsidR="005313B1" w:rsidRDefault="005313B1" w:rsidP="007333CE">
      <w:pPr>
        <w:pStyle w:val="Heading2"/>
      </w:pPr>
      <w:bookmarkStart w:id="4" w:name="_Toc351480494"/>
      <w:r w:rsidRPr="005F303B">
        <w:t>Purpose</w:t>
      </w:r>
      <w:r>
        <w:t xml:space="preserve"> of application</w:t>
      </w:r>
      <w:bookmarkEnd w:id="4"/>
    </w:p>
    <w:p w14:paraId="7480B8C5" w14:textId="77777777" w:rsidR="009F5356" w:rsidRDefault="009F5356" w:rsidP="009F5356">
      <w:pPr>
        <w:pStyle w:val="AspexBodyStandard"/>
      </w:pPr>
      <w:r>
        <w:t xml:space="preserve">In October 2010, an application was received from the </w:t>
      </w:r>
      <w:r w:rsidR="0051572F">
        <w:t xml:space="preserve">Australasian Chapter of </w:t>
      </w:r>
      <w:r w:rsidR="008C29C6">
        <w:t>Sexual Health Medicine</w:t>
      </w:r>
      <w:r>
        <w:t>, requesting Medicare Benefits Schedule (MBS) listing of items for this group of specialists.</w:t>
      </w:r>
    </w:p>
    <w:p w14:paraId="093D5AA0" w14:textId="18E1B4A6" w:rsidR="007D155B" w:rsidRDefault="008C29C6" w:rsidP="009F5356">
      <w:pPr>
        <w:pStyle w:val="AspexBodyStandard"/>
      </w:pPr>
      <w:r>
        <w:t>Sexual Health Medicine</w:t>
      </w:r>
      <w:r w:rsidR="007D155B">
        <w:t xml:space="preserve"> specialists propose to implement </w:t>
      </w:r>
      <w:r w:rsidR="006E5A57">
        <w:t>an</w:t>
      </w:r>
      <w:r w:rsidR="007D155B">
        <w:t xml:space="preserve"> established range of evidence based interventions for people who have (or are at risk of developing) </w:t>
      </w:r>
      <w:r w:rsidR="00964276">
        <w:t xml:space="preserve">sexually </w:t>
      </w:r>
      <w:r w:rsidR="0067099E">
        <w:t xml:space="preserve">transmissible </w:t>
      </w:r>
      <w:r w:rsidR="00964276">
        <w:t>diseases and other disorders of sexual function</w:t>
      </w:r>
      <w:r w:rsidR="007D155B">
        <w:t>.</w:t>
      </w:r>
    </w:p>
    <w:p w14:paraId="11CA65BF" w14:textId="77777777" w:rsidR="006E5A57" w:rsidRDefault="006E5A57" w:rsidP="009F5356">
      <w:pPr>
        <w:pStyle w:val="AspexBodyStandard"/>
      </w:pPr>
      <w:r>
        <w:t>This</w:t>
      </w:r>
      <w:r w:rsidR="007D155B">
        <w:t xml:space="preserve"> application represents an extension of use for current interventions</w:t>
      </w:r>
      <w:r w:rsidR="006C2599">
        <w:t xml:space="preserve"> provided to patients with </w:t>
      </w:r>
      <w:r w:rsidR="00964276">
        <w:t>sexual health</w:t>
      </w:r>
      <w:r w:rsidR="006C2599">
        <w:t xml:space="preserve"> problems</w:t>
      </w:r>
      <w:r w:rsidR="007D155B">
        <w:t xml:space="preserve">. Historically, the needs of patients with </w:t>
      </w:r>
      <w:r w:rsidR="00964276">
        <w:t>sexual health problems</w:t>
      </w:r>
      <w:r w:rsidR="007D155B">
        <w:t xml:space="preserve"> were addressed by general practitioners in consultation with a variety of different medical specialties.  </w:t>
      </w:r>
      <w:r w:rsidR="00BB4810">
        <w:t>Sexual health medicine</w:t>
      </w:r>
      <w:r w:rsidR="007D155B">
        <w:t xml:space="preserve"> was formally recognised by the Australian Government in 2009 as a new specialty with the capacity to address the comprehensive </w:t>
      </w:r>
      <w:r w:rsidR="004C05EC">
        <w:t xml:space="preserve">bio-psycho-social </w:t>
      </w:r>
      <w:r w:rsidR="007D155B">
        <w:t>needs of patien</w:t>
      </w:r>
      <w:r>
        <w:t xml:space="preserve">ts with </w:t>
      </w:r>
      <w:r w:rsidR="00964276">
        <w:t xml:space="preserve">sexual </w:t>
      </w:r>
      <w:r w:rsidR="00087752">
        <w:t>health problems</w:t>
      </w:r>
      <w:r>
        <w:t xml:space="preserve"> across the continuum of care. Thus, </w:t>
      </w:r>
      <w:r w:rsidR="00D270B7">
        <w:t>s</w:t>
      </w:r>
      <w:r w:rsidR="008C29C6">
        <w:t xml:space="preserve">exual </w:t>
      </w:r>
      <w:r w:rsidR="00D270B7">
        <w:t>h</w:t>
      </w:r>
      <w:r w:rsidR="008C29C6">
        <w:t xml:space="preserve">ealth </w:t>
      </w:r>
      <w:r w:rsidR="00D270B7">
        <w:t>m</w:t>
      </w:r>
      <w:r w:rsidR="008C29C6">
        <w:t>edicine</w:t>
      </w:r>
      <w:r>
        <w:t xml:space="preserve"> specialists are now available to offer advice and support, specialist patient consultation, intensive treatment of acute conditions, and ongoing management of complex and ‘challenging’ patients with </w:t>
      </w:r>
      <w:r w:rsidR="00087752">
        <w:t>a variety of sexual problems</w:t>
      </w:r>
      <w:r>
        <w:t>.</w:t>
      </w:r>
    </w:p>
    <w:p w14:paraId="1CAE1E04" w14:textId="77777777" w:rsidR="007D155B" w:rsidRDefault="006E5A57" w:rsidP="009F5356">
      <w:pPr>
        <w:pStyle w:val="AspexBodyStandard"/>
      </w:pPr>
      <w:r>
        <w:lastRenderedPageBreak/>
        <w:t>General practitioners will continue to provide the majority of patient interventions. Specialists in other areas will continue to be required for patients with highly complex and/or specific needs.</w:t>
      </w:r>
    </w:p>
    <w:p w14:paraId="5EC239D2" w14:textId="519FF3D2" w:rsidR="004C05EC" w:rsidRDefault="004C05EC" w:rsidP="009F5356">
      <w:pPr>
        <w:pStyle w:val="AspexBodyStandard"/>
      </w:pPr>
      <w:r>
        <w:t xml:space="preserve">The medical conditions being addressed by this new specialty area include (but are not necessarily limited to) patients with </w:t>
      </w:r>
      <w:r w:rsidR="00087752">
        <w:t xml:space="preserve">sexually </w:t>
      </w:r>
      <w:r w:rsidR="0067099E">
        <w:t xml:space="preserve">transmissible </w:t>
      </w:r>
      <w:r w:rsidR="00087752">
        <w:t>diseases and specifically HIV, genital pain, sexual dysfunction, fertility regulation, and sexual assault</w:t>
      </w:r>
      <w:r>
        <w:t>.</w:t>
      </w:r>
    </w:p>
    <w:p w14:paraId="5C311A3C" w14:textId="77777777" w:rsidR="005313B1" w:rsidRDefault="005313B1" w:rsidP="007333CE">
      <w:pPr>
        <w:pStyle w:val="Heading2"/>
      </w:pPr>
      <w:bookmarkStart w:id="5" w:name="_Toc351480495"/>
      <w:r>
        <w:t>Background</w:t>
      </w:r>
      <w:bookmarkEnd w:id="5"/>
    </w:p>
    <w:p w14:paraId="62C84DAE" w14:textId="77777777" w:rsidR="00D01BBA" w:rsidRDefault="009F5356" w:rsidP="009F5356">
      <w:pPr>
        <w:pStyle w:val="AspexBodyStandard"/>
      </w:pPr>
      <w:r>
        <w:t xml:space="preserve">MSAC has </w:t>
      </w:r>
      <w:r w:rsidR="00087752">
        <w:t>had few applications to assess</w:t>
      </w:r>
      <w:r>
        <w:t xml:space="preserve"> the introduction of MBS items for a new medical specialty.</w:t>
      </w:r>
      <w:r w:rsidR="004C05EC">
        <w:t xml:space="preserve"> </w:t>
      </w:r>
    </w:p>
    <w:p w14:paraId="3958FCE7" w14:textId="77777777" w:rsidR="00756259" w:rsidRDefault="004C05EC" w:rsidP="009F5356">
      <w:pPr>
        <w:pStyle w:val="AspexBodyStandard"/>
      </w:pPr>
      <w:r>
        <w:t xml:space="preserve">The professional </w:t>
      </w:r>
      <w:r w:rsidR="00643C75">
        <w:t xml:space="preserve">value and </w:t>
      </w:r>
      <w:r>
        <w:t xml:space="preserve">contribution of this specialty has been formally recognised by the Australian Medical Council </w:t>
      </w:r>
      <w:r w:rsidR="00643C75">
        <w:t xml:space="preserve">(2007) </w:t>
      </w:r>
      <w:r>
        <w:t>and the Australian Government</w:t>
      </w:r>
      <w:r w:rsidR="00643C75">
        <w:t xml:space="preserve"> (2009). </w:t>
      </w:r>
      <w:r w:rsidR="004543A9">
        <w:t xml:space="preserve">Accordingly, the evidence underlying </w:t>
      </w:r>
      <w:r w:rsidR="00402065">
        <w:t xml:space="preserve">the many </w:t>
      </w:r>
      <w:r w:rsidR="00756259">
        <w:t xml:space="preserve">interventions </w:t>
      </w:r>
      <w:r w:rsidR="004543A9">
        <w:t xml:space="preserve">provided by </w:t>
      </w:r>
      <w:r w:rsidR="00402065">
        <w:t xml:space="preserve">these </w:t>
      </w:r>
      <w:r w:rsidR="004543A9">
        <w:t>specialists has been acknowledged and was not</w:t>
      </w:r>
      <w:r w:rsidR="00756259">
        <w:t xml:space="preserve"> considered to be the primary focus of the current application.</w:t>
      </w:r>
      <w:r w:rsidR="00EF4CA3">
        <w:t xml:space="preserve">  </w:t>
      </w:r>
      <w:r w:rsidR="006C2599">
        <w:t>This report</w:t>
      </w:r>
      <w:r w:rsidR="00EF4CA3">
        <w:t xml:space="preserve"> has focused </w:t>
      </w:r>
      <w:r w:rsidR="004543A9">
        <w:t xml:space="preserve">instead </w:t>
      </w:r>
      <w:r w:rsidR="00EF4CA3">
        <w:t>upon</w:t>
      </w:r>
      <w:r w:rsidR="004543A9">
        <w:t xml:space="preserve"> the evidence that specialists in </w:t>
      </w:r>
      <w:r w:rsidR="00D270B7">
        <w:t>sexual health medicine</w:t>
      </w:r>
      <w:r w:rsidR="004543A9">
        <w:t>:</w:t>
      </w:r>
    </w:p>
    <w:p w14:paraId="25EB0AF4" w14:textId="77777777" w:rsidR="004543A9" w:rsidRPr="00A66FCA" w:rsidRDefault="004543A9" w:rsidP="004543A9">
      <w:pPr>
        <w:pStyle w:val="AspexBullet1"/>
      </w:pPr>
      <w:r w:rsidRPr="00A66FCA">
        <w:rPr>
          <w:b/>
        </w:rPr>
        <w:t>Are trained to meet a need</w:t>
      </w:r>
      <w:r>
        <w:t xml:space="preserve"> for specialist services;</w:t>
      </w:r>
    </w:p>
    <w:p w14:paraId="450FEEBC" w14:textId="77777777" w:rsidR="004543A9" w:rsidRPr="00E40488" w:rsidRDefault="004543A9" w:rsidP="004543A9">
      <w:pPr>
        <w:pStyle w:val="AspexBullet1"/>
      </w:pPr>
      <w:r w:rsidRPr="00E40488">
        <w:rPr>
          <w:b/>
        </w:rPr>
        <w:t>Are trained at a more advanced level</w:t>
      </w:r>
      <w:r w:rsidRPr="00E40488">
        <w:t xml:space="preserve"> that other practitioners</w:t>
      </w:r>
      <w:r>
        <w:t>;</w:t>
      </w:r>
      <w:r w:rsidRPr="00E40488">
        <w:t xml:space="preserve"> </w:t>
      </w:r>
    </w:p>
    <w:p w14:paraId="0F466FB3" w14:textId="77777777" w:rsidR="004543A9" w:rsidRDefault="004543A9" w:rsidP="004543A9">
      <w:pPr>
        <w:pStyle w:val="AspexBullet1"/>
      </w:pPr>
      <w:r w:rsidRPr="00E40488">
        <w:rPr>
          <w:b/>
        </w:rPr>
        <w:t>Add value</w:t>
      </w:r>
      <w:r>
        <w:t xml:space="preserve"> </w:t>
      </w:r>
      <w:r w:rsidRPr="00E40488">
        <w:rPr>
          <w:b/>
        </w:rPr>
        <w:t>to the practice of other clinicians</w:t>
      </w:r>
      <w:r>
        <w:t xml:space="preserve"> treating patients; </w:t>
      </w:r>
    </w:p>
    <w:p w14:paraId="1C37F1DB" w14:textId="77777777" w:rsidR="004543A9" w:rsidRDefault="004543A9" w:rsidP="004543A9">
      <w:pPr>
        <w:pStyle w:val="AspexBullet1"/>
      </w:pPr>
      <w:r w:rsidRPr="00E40488">
        <w:rPr>
          <w:b/>
        </w:rPr>
        <w:t xml:space="preserve">Demonstrate </w:t>
      </w:r>
      <w:r>
        <w:rPr>
          <w:b/>
        </w:rPr>
        <w:t xml:space="preserve">equal or better </w:t>
      </w:r>
      <w:r w:rsidRPr="00E40488">
        <w:rPr>
          <w:b/>
        </w:rPr>
        <w:t xml:space="preserve">outcomes </w:t>
      </w:r>
      <w:r>
        <w:t>for management of complex patients;</w:t>
      </w:r>
    </w:p>
    <w:p w14:paraId="29463182" w14:textId="0070469C" w:rsidR="004543A9" w:rsidRDefault="004543A9" w:rsidP="004543A9">
      <w:pPr>
        <w:pStyle w:val="AspexBullet1"/>
      </w:pPr>
      <w:r>
        <w:rPr>
          <w:b/>
        </w:rPr>
        <w:t xml:space="preserve">Require MBS items to achieve </w:t>
      </w:r>
      <w:r>
        <w:t>an equivalent standard of care in the private sector</w:t>
      </w:r>
      <w:r w:rsidR="00653B0F">
        <w:t>; and</w:t>
      </w:r>
    </w:p>
    <w:p w14:paraId="04E5FEA1" w14:textId="6E51896A" w:rsidR="004543A9" w:rsidRDefault="004543A9" w:rsidP="004543A9">
      <w:pPr>
        <w:pStyle w:val="AspexBullet1"/>
      </w:pPr>
      <w:r w:rsidRPr="00E40488">
        <w:rPr>
          <w:b/>
        </w:rPr>
        <w:t>Are more cost effective</w:t>
      </w:r>
      <w:r>
        <w:t xml:space="preserve"> than services provided by </w:t>
      </w:r>
      <w:r w:rsidR="006C2599">
        <w:t xml:space="preserve">alternative medical </w:t>
      </w:r>
      <w:r>
        <w:t>specialists.</w:t>
      </w:r>
    </w:p>
    <w:p w14:paraId="06661506" w14:textId="77777777" w:rsidR="00312330" w:rsidRDefault="00312330" w:rsidP="007333CE">
      <w:pPr>
        <w:pStyle w:val="Heading2"/>
      </w:pPr>
      <w:bookmarkStart w:id="6" w:name="_Toc351480496"/>
      <w:r>
        <w:t>Prerequisites to implementation of any funding advice</w:t>
      </w:r>
      <w:bookmarkEnd w:id="6"/>
    </w:p>
    <w:p w14:paraId="154132F1" w14:textId="77777777" w:rsidR="0051572F" w:rsidRPr="0051572F" w:rsidRDefault="0051572F" w:rsidP="0051572F">
      <w:pPr>
        <w:pStyle w:val="AspexBodyStandard"/>
      </w:pPr>
      <w:r>
        <w:t xml:space="preserve">When the Decision Analytic Protocol (DAP) was finalised in June 2012, MSAC noted that any new MBS items would require a referral in accordance with the MBS G6.1 </w:t>
      </w:r>
      <w:r w:rsidRPr="0051572F">
        <w:rPr>
          <w:i/>
        </w:rPr>
        <w:t>Referral of Patients to Specialist or Consultant Physician</w:t>
      </w:r>
      <w:r>
        <w:t xml:space="preserve">.  It was also noted that any new MBS items would apply only to medical practitioners who were eligible for registration as </w:t>
      </w:r>
      <w:r w:rsidR="00D270B7">
        <w:t>sexual health medicine</w:t>
      </w:r>
      <w:r>
        <w:t xml:space="preserve"> specialists. Eligible registrants will have completed an approved course of training and been awarded a Fellowship of the Australasian Chapter of </w:t>
      </w:r>
      <w:r w:rsidR="008C29C6">
        <w:t>Sexual Health Medicine</w:t>
      </w:r>
      <w:r>
        <w:t xml:space="preserve"> (</w:t>
      </w:r>
      <w:r w:rsidR="00BB4810">
        <w:t>FAChSHM</w:t>
      </w:r>
      <w:r>
        <w:t xml:space="preserve">). </w:t>
      </w:r>
    </w:p>
    <w:p w14:paraId="014BFE07" w14:textId="77777777" w:rsidR="005313B1" w:rsidRDefault="005313B1" w:rsidP="007333CE">
      <w:pPr>
        <w:pStyle w:val="Heading2"/>
      </w:pPr>
      <w:bookmarkStart w:id="7" w:name="_Toc351480497"/>
      <w:r>
        <w:t>Proposal for public funding</w:t>
      </w:r>
      <w:bookmarkEnd w:id="7"/>
    </w:p>
    <w:p w14:paraId="5B5D080A" w14:textId="41F1F591" w:rsidR="006C2599" w:rsidRDefault="006C2599" w:rsidP="006C2599">
      <w:pPr>
        <w:pStyle w:val="AspexBodyStandard"/>
      </w:pPr>
      <w:r>
        <w:t xml:space="preserve">It is proposed that there would be five groups of MBS items included for </w:t>
      </w:r>
      <w:r w:rsidR="00D270B7">
        <w:t>sexual health m</w:t>
      </w:r>
      <w:r w:rsidR="008C29C6">
        <w:t>edicine</w:t>
      </w:r>
      <w:r>
        <w:t xml:space="preserve"> (</w:t>
      </w:r>
      <w:r w:rsidR="00653B0F">
        <w:t>s</w:t>
      </w:r>
      <w:r>
        <w:t>ee Chapter 6)</w:t>
      </w:r>
      <w:r w:rsidR="00653B0F">
        <w:t>.</w:t>
      </w:r>
      <w:r>
        <w:t xml:space="preserve">  These items have been developed in consultation with the applicant.  The proposed items are </w:t>
      </w:r>
      <w:r w:rsidRPr="00D025D6">
        <w:rPr>
          <w:b/>
          <w:i/>
        </w:rPr>
        <w:t>equivalent to</w:t>
      </w:r>
      <w:r>
        <w:t xml:space="preserve"> MBS items for:</w:t>
      </w:r>
    </w:p>
    <w:p w14:paraId="1B0A5C00" w14:textId="77777777" w:rsidR="006C2599" w:rsidRDefault="006C2599" w:rsidP="006C2599">
      <w:pPr>
        <w:pStyle w:val="AspexBullet1"/>
      </w:pPr>
      <w:r>
        <w:t xml:space="preserve">Consultant physician referred consultation (110) </w:t>
      </w:r>
      <w:r w:rsidR="00087752">
        <w:t>and subsequent attendance (116)</w:t>
      </w:r>
      <w:r>
        <w:t>;</w:t>
      </w:r>
    </w:p>
    <w:p w14:paraId="77782E4F" w14:textId="77777777" w:rsidR="006C2599" w:rsidRDefault="006C2599" w:rsidP="006C2599">
      <w:pPr>
        <w:pStyle w:val="AspexBullet1"/>
      </w:pPr>
      <w:r>
        <w:t xml:space="preserve">Referred patient treatment and management planning (132) and review (133); </w:t>
      </w:r>
    </w:p>
    <w:p w14:paraId="58958362" w14:textId="73A34252" w:rsidR="006C2599" w:rsidRDefault="006C2599" w:rsidP="006C2599">
      <w:pPr>
        <w:pStyle w:val="AspexBullet1"/>
      </w:pPr>
      <w:r>
        <w:lastRenderedPageBreak/>
        <w:t>Time-tiered multi-disciplinary case conference co-ordination and participation (</w:t>
      </w:r>
      <w:r w:rsidR="004370EB">
        <w:t>similar to consultant physician case conference items 820 to 828)</w:t>
      </w:r>
      <w:r>
        <w:t>;</w:t>
      </w:r>
      <w:r w:rsidRPr="006C2599">
        <w:t xml:space="preserve"> </w:t>
      </w:r>
    </w:p>
    <w:p w14:paraId="7ADE3C03" w14:textId="3B54D909" w:rsidR="006C2599" w:rsidRDefault="006C2599" w:rsidP="006C2599">
      <w:pPr>
        <w:pStyle w:val="AspexBullet1"/>
      </w:pPr>
      <w:r>
        <w:t>Time</w:t>
      </w:r>
      <w:r w:rsidR="00CA5901">
        <w:t>-</w:t>
      </w:r>
      <w:r>
        <w:t>based items for tele</w:t>
      </w:r>
      <w:r w:rsidR="00CA5901">
        <w:t xml:space="preserve">health </w:t>
      </w:r>
      <w:r w:rsidR="00852EA3">
        <w:t>(equivalent to MBS items 11</w:t>
      </w:r>
      <w:r w:rsidR="004370EB">
        <w:t>2</w:t>
      </w:r>
      <w:r w:rsidR="00852EA3">
        <w:t xml:space="preserve"> and 11</w:t>
      </w:r>
      <w:r w:rsidR="004370EB">
        <w:t>4</w:t>
      </w:r>
      <w:r w:rsidR="00852EA3">
        <w:t xml:space="preserve"> for </w:t>
      </w:r>
      <w:r w:rsidR="004370EB">
        <w:t>p</w:t>
      </w:r>
      <w:r w:rsidR="00852EA3">
        <w:t>hysicians</w:t>
      </w:r>
      <w:r w:rsidR="004370EB">
        <w:t xml:space="preserve"> (Option 1</w:t>
      </w:r>
      <w:r w:rsidR="00852EA3">
        <w:t>)</w:t>
      </w:r>
      <w:r w:rsidR="004370EB">
        <w:t>, or similar to MBS telehealth item 288 for psychiatrists (Option 2))</w:t>
      </w:r>
      <w:r>
        <w:t>;</w:t>
      </w:r>
      <w:r w:rsidRPr="006C2599">
        <w:t xml:space="preserve"> </w:t>
      </w:r>
      <w:r>
        <w:t>and</w:t>
      </w:r>
    </w:p>
    <w:p w14:paraId="3AB13122" w14:textId="77777777" w:rsidR="006C2599" w:rsidRDefault="006C2599" w:rsidP="006C2599">
      <w:pPr>
        <w:pStyle w:val="AspexBullet1"/>
      </w:pPr>
      <w:r>
        <w:t xml:space="preserve">Items for </w:t>
      </w:r>
      <w:r w:rsidR="00087752">
        <w:t>home and/or residential care consultations</w:t>
      </w:r>
      <w:r w:rsidR="00852EA3">
        <w:t xml:space="preserve"> (similar in structure to MBS item</w:t>
      </w:r>
      <w:r w:rsidR="00087752">
        <w:t>s for other medical practitioners</w:t>
      </w:r>
      <w:r w:rsidR="00852EA3">
        <w:t>)</w:t>
      </w:r>
      <w:r>
        <w:t>.</w:t>
      </w:r>
    </w:p>
    <w:p w14:paraId="3AB6AA83" w14:textId="77777777" w:rsidR="005313B1" w:rsidRDefault="005313B1" w:rsidP="007333CE">
      <w:pPr>
        <w:pStyle w:val="Heading2"/>
      </w:pPr>
      <w:bookmarkStart w:id="8" w:name="_Toc351480498"/>
      <w:r>
        <w:t>Consumer Impact Statement</w:t>
      </w:r>
      <w:bookmarkEnd w:id="8"/>
    </w:p>
    <w:p w14:paraId="0CB8302C" w14:textId="2E2EED35" w:rsidR="00752B7F" w:rsidRDefault="00752B7F" w:rsidP="00752B7F">
      <w:pPr>
        <w:pStyle w:val="AspexBodyStandard"/>
      </w:pPr>
      <w:r>
        <w:t>Th</w:t>
      </w:r>
      <w:r w:rsidR="00B848B2">
        <w:t>is contracted a</w:t>
      </w:r>
      <w:r>
        <w:t xml:space="preserve">ssessment </w:t>
      </w:r>
      <w:r w:rsidR="00B848B2">
        <w:t xml:space="preserve">concludes </w:t>
      </w:r>
      <w:r>
        <w:t xml:space="preserve">that patients will benefit from the new MBS items for </w:t>
      </w:r>
      <w:r w:rsidR="00D270B7">
        <w:t>sexual health medicine</w:t>
      </w:r>
      <w:r>
        <w:t xml:space="preserve"> because:</w:t>
      </w:r>
    </w:p>
    <w:p w14:paraId="111CAD87" w14:textId="77777777" w:rsidR="00752B7F" w:rsidRDefault="00752B7F" w:rsidP="00752B7F">
      <w:pPr>
        <w:pStyle w:val="AspexBullet1"/>
      </w:pPr>
      <w:r>
        <w:t xml:space="preserve">They will </w:t>
      </w:r>
      <w:r w:rsidR="00852C8D">
        <w:t>allow</w:t>
      </w:r>
      <w:r>
        <w:t xml:space="preserve"> delivery of the same standard of care available in the public sector; </w:t>
      </w:r>
    </w:p>
    <w:p w14:paraId="1439C799" w14:textId="77777777" w:rsidR="003B422E" w:rsidRDefault="003B422E" w:rsidP="003B422E">
      <w:pPr>
        <w:pStyle w:val="AspexBullet1"/>
      </w:pPr>
      <w:r>
        <w:t>They will meet the needs of patients who are unwilling to attend public clinics;</w:t>
      </w:r>
    </w:p>
    <w:p w14:paraId="07AAEADD" w14:textId="77777777" w:rsidR="00752B7F" w:rsidRDefault="00752B7F" w:rsidP="00752B7F">
      <w:pPr>
        <w:pStyle w:val="AspexBullet1"/>
      </w:pPr>
      <w:r>
        <w:t>They will promote workforce development and increase access to services for patients;</w:t>
      </w:r>
    </w:p>
    <w:p w14:paraId="4300CF31" w14:textId="34B1049C" w:rsidR="003B422E" w:rsidRDefault="003B422E" w:rsidP="00752B7F">
      <w:pPr>
        <w:pStyle w:val="AspexBullet1"/>
      </w:pPr>
      <w:r>
        <w:t>They will support the capacity of general practitioners to deliver effective care;</w:t>
      </w:r>
      <w:r w:rsidR="0065337B">
        <w:t xml:space="preserve"> and</w:t>
      </w:r>
    </w:p>
    <w:p w14:paraId="11195967" w14:textId="77777777" w:rsidR="00752B7F" w:rsidRPr="00752B7F" w:rsidRDefault="003B422E" w:rsidP="003B422E">
      <w:pPr>
        <w:pStyle w:val="AspexBullet1"/>
      </w:pPr>
      <w:r>
        <w:t xml:space="preserve">There will be less </w:t>
      </w:r>
      <w:r w:rsidR="003B7CD2">
        <w:t>out-of-pocket</w:t>
      </w:r>
      <w:r>
        <w:t xml:space="preserve"> costs, and lower overall costs compared with </w:t>
      </w:r>
      <w:r w:rsidR="00087752">
        <w:t xml:space="preserve">alternative treatment involving a number of </w:t>
      </w:r>
      <w:r>
        <w:t xml:space="preserve">other specialists in the private sector. </w:t>
      </w:r>
    </w:p>
    <w:p w14:paraId="14878CA7" w14:textId="77777777" w:rsidR="005313B1" w:rsidRPr="0014785D" w:rsidRDefault="005313B1" w:rsidP="007333CE">
      <w:pPr>
        <w:pStyle w:val="Heading2"/>
      </w:pPr>
      <w:bookmarkStart w:id="9" w:name="_Toc351480499"/>
      <w:r w:rsidRPr="0014785D">
        <w:t>Proposed intervention’s place in clinical management</w:t>
      </w:r>
      <w:bookmarkEnd w:id="9"/>
    </w:p>
    <w:p w14:paraId="2F2B9A0B" w14:textId="736AB8BC" w:rsidR="00756C2A" w:rsidRPr="0014785D" w:rsidRDefault="003B422E" w:rsidP="003B422E">
      <w:pPr>
        <w:pStyle w:val="AspexBodyStandard"/>
      </w:pPr>
      <w:r w:rsidRPr="0014785D">
        <w:t xml:space="preserve">The majority of patients with </w:t>
      </w:r>
      <w:r w:rsidR="00D65EE7" w:rsidRPr="0014785D">
        <w:t xml:space="preserve">sexually </w:t>
      </w:r>
      <w:r w:rsidR="0067099E">
        <w:t xml:space="preserve">transmissible </w:t>
      </w:r>
      <w:r w:rsidR="00D65EE7" w:rsidRPr="0014785D">
        <w:t>infections (STIs)</w:t>
      </w:r>
      <w:r w:rsidR="00186EF4" w:rsidRPr="0014785D">
        <w:t>, blood borne viruses</w:t>
      </w:r>
      <w:r w:rsidR="00D65EE7" w:rsidRPr="0014785D">
        <w:t xml:space="preserve"> </w:t>
      </w:r>
      <w:r w:rsidR="00C1754D" w:rsidRPr="0014785D">
        <w:t xml:space="preserve">or other </w:t>
      </w:r>
      <w:r w:rsidR="00D65EE7" w:rsidRPr="0014785D">
        <w:t>sexual health problems</w:t>
      </w:r>
      <w:r w:rsidR="00C1754D" w:rsidRPr="0014785D">
        <w:t xml:space="preserve"> </w:t>
      </w:r>
      <w:r w:rsidR="00756C2A" w:rsidRPr="0014785D">
        <w:t xml:space="preserve">will </w:t>
      </w:r>
      <w:r w:rsidRPr="0014785D">
        <w:t>present to general practice for assessment and treatment.</w:t>
      </w:r>
      <w:r w:rsidR="001D3CFE" w:rsidRPr="0014785D">
        <w:t xml:space="preserve"> Evidence from available literature indicates that these patients:</w:t>
      </w:r>
    </w:p>
    <w:p w14:paraId="36C15464" w14:textId="70449B8D" w:rsidR="00756C2A" w:rsidRPr="0014785D" w:rsidRDefault="00756C2A" w:rsidP="001D3CFE">
      <w:pPr>
        <w:pStyle w:val="AspexBullet1"/>
      </w:pPr>
      <w:r w:rsidRPr="0014785D">
        <w:t>Can be medically</w:t>
      </w:r>
      <w:r w:rsidR="001D3CFE" w:rsidRPr="0014785D">
        <w:t xml:space="preserve">, </w:t>
      </w:r>
      <w:r w:rsidRPr="0014785D">
        <w:t>psychologically</w:t>
      </w:r>
      <w:r w:rsidR="001D3CFE" w:rsidRPr="0014785D">
        <w:t>, and behaviourally</w:t>
      </w:r>
      <w:r w:rsidRPr="0014785D">
        <w:t xml:space="preserve"> </w:t>
      </w:r>
      <w:r w:rsidR="00186EF4" w:rsidRPr="0014785D">
        <w:t>impaired</w:t>
      </w:r>
      <w:r w:rsidRPr="0014785D">
        <w:t xml:space="preserve"> as a result of recent </w:t>
      </w:r>
      <w:r w:rsidR="00414D6F" w:rsidRPr="0014785D">
        <w:t xml:space="preserve">or ongoing </w:t>
      </w:r>
      <w:r w:rsidR="00871E3E">
        <w:t>STIs</w:t>
      </w:r>
      <w:r w:rsidR="00512EFD" w:rsidRPr="0014785D">
        <w:t>, blood borne viruses</w:t>
      </w:r>
      <w:r w:rsidR="00186EF4" w:rsidRPr="0014785D">
        <w:t xml:space="preserve"> or sexual dysfunction</w:t>
      </w:r>
      <w:r w:rsidR="001D3CFE" w:rsidRPr="0014785D">
        <w:t>;</w:t>
      </w:r>
    </w:p>
    <w:p w14:paraId="31CF433E" w14:textId="6F6851EB" w:rsidR="001D3CFE" w:rsidRPr="0014785D" w:rsidRDefault="001D3CFE" w:rsidP="001D3CFE">
      <w:pPr>
        <w:pStyle w:val="AspexBullet1"/>
      </w:pPr>
      <w:r w:rsidRPr="0014785D">
        <w:t xml:space="preserve">May </w:t>
      </w:r>
      <w:r w:rsidR="00121D35" w:rsidRPr="0014785D">
        <w:t>present with a range</w:t>
      </w:r>
      <w:r w:rsidRPr="0014785D">
        <w:t xml:space="preserve"> of medical and psychiatric comorbidities and complications of </w:t>
      </w:r>
      <w:r w:rsidR="00186EF4" w:rsidRPr="0014785D">
        <w:t xml:space="preserve">sexually </w:t>
      </w:r>
      <w:r w:rsidR="0067099E">
        <w:t xml:space="preserve">transmissible </w:t>
      </w:r>
      <w:r w:rsidR="00186EF4" w:rsidRPr="0014785D">
        <w:t>disease or blood</w:t>
      </w:r>
      <w:r w:rsidR="0065337B">
        <w:t>-</w:t>
      </w:r>
      <w:r w:rsidR="00186EF4" w:rsidRPr="0014785D">
        <w:t>borne viruses</w:t>
      </w:r>
      <w:r w:rsidRPr="0014785D">
        <w:t xml:space="preserve"> (e.g. </w:t>
      </w:r>
      <w:r w:rsidR="00186EF4" w:rsidRPr="0014785D">
        <w:t xml:space="preserve">liver failure in </w:t>
      </w:r>
      <w:r w:rsidR="00512EFD" w:rsidRPr="0014785D">
        <w:t>viral hepatitis, dementia resulting from HIV</w:t>
      </w:r>
      <w:r w:rsidRPr="0014785D">
        <w:t>);</w:t>
      </w:r>
    </w:p>
    <w:p w14:paraId="77535CDD" w14:textId="74425EC0" w:rsidR="00B13CF3" w:rsidRPr="0014785D" w:rsidRDefault="00121D35" w:rsidP="00121D35">
      <w:pPr>
        <w:pStyle w:val="AspexBullet1"/>
      </w:pPr>
      <w:r w:rsidRPr="0014785D">
        <w:t xml:space="preserve">May have a number of complex interpersonal and social issues due to the impact of </w:t>
      </w:r>
      <w:r w:rsidR="00512EFD" w:rsidRPr="0014785D">
        <w:t xml:space="preserve">sexually </w:t>
      </w:r>
      <w:r w:rsidR="0067099E">
        <w:t xml:space="preserve">transmissible </w:t>
      </w:r>
      <w:r w:rsidR="00512EFD" w:rsidRPr="0014785D">
        <w:t xml:space="preserve">disease </w:t>
      </w:r>
      <w:r w:rsidR="00220584">
        <w:t xml:space="preserve">blood-borne viruses </w:t>
      </w:r>
      <w:r w:rsidR="00512EFD" w:rsidRPr="0014785D">
        <w:t>or sexual problems</w:t>
      </w:r>
      <w:r w:rsidRPr="0014785D">
        <w:t xml:space="preserve"> </w:t>
      </w:r>
      <w:r w:rsidR="00756C2A" w:rsidRPr="0014785D">
        <w:t>up</w:t>
      </w:r>
      <w:r w:rsidRPr="0014785D">
        <w:t xml:space="preserve">on family, friends, </w:t>
      </w:r>
      <w:r w:rsidR="00B13CF3" w:rsidRPr="0014785D">
        <w:t>and others</w:t>
      </w:r>
      <w:r w:rsidR="0065337B">
        <w:t>,</w:t>
      </w:r>
      <w:r w:rsidR="00B13CF3" w:rsidRPr="0014785D">
        <w:t xml:space="preserve"> resulting in </w:t>
      </w:r>
      <w:r w:rsidR="00512EFD" w:rsidRPr="0014785D">
        <w:t>disrupted</w:t>
      </w:r>
      <w:r w:rsidR="00B13CF3" w:rsidRPr="0014785D">
        <w:t xml:space="preserve"> living arrangements, </w:t>
      </w:r>
      <w:r w:rsidR="000E76A8" w:rsidRPr="0014785D">
        <w:t xml:space="preserve">inability to achieve or sustain </w:t>
      </w:r>
      <w:r w:rsidR="00B13CF3" w:rsidRPr="0014785D">
        <w:t>productive employment</w:t>
      </w:r>
      <w:r w:rsidR="00512EFD" w:rsidRPr="0014785D">
        <w:t xml:space="preserve"> because of ill-health</w:t>
      </w:r>
      <w:r w:rsidR="000E76A8" w:rsidRPr="0014785D">
        <w:t>,</w:t>
      </w:r>
      <w:r w:rsidR="00B13CF3" w:rsidRPr="0014785D">
        <w:t xml:space="preserve"> and </w:t>
      </w:r>
      <w:r w:rsidR="00512EFD" w:rsidRPr="0014785D">
        <w:t xml:space="preserve">associated </w:t>
      </w:r>
      <w:r w:rsidR="00B13CF3" w:rsidRPr="0014785D">
        <w:t>financial stress;</w:t>
      </w:r>
      <w:r w:rsidR="0065337B">
        <w:t xml:space="preserve"> and</w:t>
      </w:r>
    </w:p>
    <w:p w14:paraId="541E8517" w14:textId="77777777" w:rsidR="000E76A8" w:rsidRPr="0014785D" w:rsidRDefault="00B13CF3" w:rsidP="000E76A8">
      <w:pPr>
        <w:pStyle w:val="AspexBullet1"/>
      </w:pPr>
      <w:r w:rsidRPr="0014785D">
        <w:t xml:space="preserve">Face significant </w:t>
      </w:r>
      <w:r w:rsidR="000E76A8" w:rsidRPr="0014785D">
        <w:t xml:space="preserve">levels of social stigma resulting in a reticence to present for medical treatment, discuss </w:t>
      </w:r>
      <w:r w:rsidR="00512EFD" w:rsidRPr="0014785D">
        <w:t>sexual history</w:t>
      </w:r>
      <w:r w:rsidR="000E76A8" w:rsidRPr="0014785D">
        <w:t xml:space="preserve">, and/or engage in an ongoing treatment plan. </w:t>
      </w:r>
    </w:p>
    <w:p w14:paraId="31E4B878" w14:textId="77777777" w:rsidR="00AD79A8" w:rsidRPr="0014785D" w:rsidRDefault="008C29C6" w:rsidP="003B422E">
      <w:pPr>
        <w:pStyle w:val="AspexBodyStandard"/>
      </w:pPr>
      <w:r w:rsidRPr="0014785D">
        <w:t xml:space="preserve">Sexual </w:t>
      </w:r>
      <w:r w:rsidR="00BB4810" w:rsidRPr="0014785D">
        <w:t>h</w:t>
      </w:r>
      <w:r w:rsidRPr="0014785D">
        <w:t xml:space="preserve">ealth </w:t>
      </w:r>
      <w:r w:rsidR="00BB4810" w:rsidRPr="0014785D">
        <w:t>m</w:t>
      </w:r>
      <w:r w:rsidRPr="0014785D">
        <w:t>edicine</w:t>
      </w:r>
      <w:r w:rsidR="00756C2A" w:rsidRPr="0014785D">
        <w:t xml:space="preserve"> specialists play a role in ‘stepped care’ arrangements with general practice, p</w:t>
      </w:r>
      <w:r w:rsidR="002304F1" w:rsidRPr="0014785D">
        <w:t xml:space="preserve">roviding practitioner advice, specialist </w:t>
      </w:r>
      <w:r w:rsidR="00D9556A" w:rsidRPr="0014785D">
        <w:t>assessment and</w:t>
      </w:r>
      <w:r w:rsidR="002304F1" w:rsidRPr="0014785D">
        <w:t xml:space="preserve"> consultation, intensive treatment of acute conditions, </w:t>
      </w:r>
      <w:r w:rsidR="00D9556A" w:rsidRPr="0014785D">
        <w:t>and/</w:t>
      </w:r>
      <w:r w:rsidR="002304F1" w:rsidRPr="0014785D">
        <w:t xml:space="preserve">or ongoing management of complex patients. </w:t>
      </w:r>
      <w:r w:rsidR="00AD79A8" w:rsidRPr="0014785D">
        <w:t>Specialists are trained to provide a number of services including (but not limited to):</w:t>
      </w:r>
    </w:p>
    <w:p w14:paraId="2E85A9C3" w14:textId="7F91A9CC" w:rsidR="00AD79A8" w:rsidRPr="0014785D" w:rsidRDefault="00AD79A8" w:rsidP="00622CB5">
      <w:pPr>
        <w:pStyle w:val="AspexBullet1"/>
      </w:pPr>
      <w:r w:rsidRPr="0014785D">
        <w:t xml:space="preserve">Complex bio-psycho-social </w:t>
      </w:r>
      <w:r w:rsidR="00622CB5" w:rsidRPr="0014785D">
        <w:t xml:space="preserve">assessment of patients experiencing </w:t>
      </w:r>
      <w:r w:rsidR="00871E3E">
        <w:t>STIs</w:t>
      </w:r>
      <w:r w:rsidR="00DB3323" w:rsidRPr="0014785D">
        <w:t xml:space="preserve">, blood borne viruses or sexual dysfunction, </w:t>
      </w:r>
      <w:r w:rsidR="00622CB5" w:rsidRPr="0014785D">
        <w:t xml:space="preserve">or at risk of </w:t>
      </w:r>
      <w:r w:rsidR="00DB3323" w:rsidRPr="0014785D">
        <w:t>contracting such infections</w:t>
      </w:r>
      <w:r w:rsidRPr="0014785D">
        <w:t>;</w:t>
      </w:r>
    </w:p>
    <w:p w14:paraId="58CE7355" w14:textId="77777777" w:rsidR="00AD79A8" w:rsidRPr="0014785D" w:rsidRDefault="00AD79A8" w:rsidP="00622CB5">
      <w:pPr>
        <w:pStyle w:val="AspexBullet1"/>
      </w:pPr>
      <w:r w:rsidRPr="0014785D">
        <w:lastRenderedPageBreak/>
        <w:t>Inpatient or ambulatory management</w:t>
      </w:r>
      <w:r w:rsidR="00622CB5" w:rsidRPr="0014785D">
        <w:t xml:space="preserve"> for a range of </w:t>
      </w:r>
      <w:r w:rsidR="00DB3323" w:rsidRPr="0014785D">
        <w:t>infections including HIV/AIDS, hepatitis B or C, syphilis or gonorrhoea</w:t>
      </w:r>
      <w:r w:rsidRPr="0014785D">
        <w:t>;</w:t>
      </w:r>
    </w:p>
    <w:p w14:paraId="032B6763" w14:textId="77777777" w:rsidR="00AD79A8" w:rsidRPr="0014785D" w:rsidRDefault="00622CB5" w:rsidP="00622CB5">
      <w:pPr>
        <w:pStyle w:val="AspexBullet1"/>
      </w:pPr>
      <w:r w:rsidRPr="0014785D">
        <w:t xml:space="preserve">Motivational enhancement and psychological interventions such as cognitive behavioural and/or brief therapeutic interventions for </w:t>
      </w:r>
      <w:r w:rsidR="00DB3323" w:rsidRPr="0014785D">
        <w:t>sexual dysfunction where psychological factors are contributing to the problem</w:t>
      </w:r>
      <w:r w:rsidRPr="0014785D">
        <w:t>;</w:t>
      </w:r>
    </w:p>
    <w:p w14:paraId="3329FCD5" w14:textId="2DC503CA" w:rsidR="00622CB5" w:rsidRPr="0014785D" w:rsidRDefault="00DB3323" w:rsidP="00622CB5">
      <w:pPr>
        <w:pStyle w:val="AspexBullet1"/>
      </w:pPr>
      <w:r w:rsidRPr="0014785D">
        <w:t>Management</w:t>
      </w:r>
      <w:r w:rsidR="00622CB5" w:rsidRPr="0014785D">
        <w:t xml:space="preserve"> of a comprehensive range of medical and psychiatric co-morbidities associated with </w:t>
      </w:r>
      <w:r w:rsidR="00871E3E">
        <w:t>STIs</w:t>
      </w:r>
      <w:r w:rsidRPr="0014785D">
        <w:t>, blood borne viruses or sexual dysfunction</w:t>
      </w:r>
      <w:r w:rsidR="00622CB5" w:rsidRPr="0014785D">
        <w:t>;</w:t>
      </w:r>
      <w:r w:rsidR="0065337B">
        <w:t xml:space="preserve"> and</w:t>
      </w:r>
    </w:p>
    <w:p w14:paraId="6CD5563D" w14:textId="77777777" w:rsidR="00622CB5" w:rsidRPr="0014785D" w:rsidRDefault="00622CB5" w:rsidP="00622CB5">
      <w:pPr>
        <w:pStyle w:val="AspexBullet1"/>
      </w:pPr>
      <w:r w:rsidRPr="0014785D">
        <w:t>Multi-disciplinary leadership and co-ordination across a range of medical, psychological, social welfare and legal services.</w:t>
      </w:r>
    </w:p>
    <w:p w14:paraId="4F5A515A" w14:textId="77777777" w:rsidR="002304F1" w:rsidRPr="003B422E" w:rsidRDefault="00D9556A" w:rsidP="003B422E">
      <w:pPr>
        <w:pStyle w:val="AspexBodyStandard"/>
      </w:pPr>
      <w:r w:rsidRPr="0014785D">
        <w:t>Thus</w:t>
      </w:r>
      <w:r w:rsidR="002304F1" w:rsidRPr="0014785D">
        <w:t xml:space="preserve">, </w:t>
      </w:r>
      <w:r w:rsidR="00BB4810" w:rsidRPr="0014785D">
        <w:t>s</w:t>
      </w:r>
      <w:r w:rsidR="008C29C6" w:rsidRPr="0014785D">
        <w:t xml:space="preserve">exual </w:t>
      </w:r>
      <w:r w:rsidR="00BB4810" w:rsidRPr="0014785D">
        <w:t>h</w:t>
      </w:r>
      <w:r w:rsidR="008C29C6" w:rsidRPr="0014785D">
        <w:t xml:space="preserve">ealth </w:t>
      </w:r>
      <w:r w:rsidR="00BB4810" w:rsidRPr="0014785D">
        <w:t>m</w:t>
      </w:r>
      <w:r w:rsidR="008C29C6" w:rsidRPr="0014785D">
        <w:t>edicine</w:t>
      </w:r>
      <w:r w:rsidR="002304F1" w:rsidRPr="0014785D">
        <w:t xml:space="preserve"> is now a recognised specialty area that is available to general practitioners in the same way that other specialties may be called upon for advice and or management of complex medical conditions.</w:t>
      </w:r>
      <w:r w:rsidR="00187CE0" w:rsidRPr="0014785D">
        <w:t xml:space="preserve"> The clinical algorithm is therefore equivalent to other specialty areas whereby the majority of patients are managed in general practice, and acute or complex patients are referred for specialist consultation and</w:t>
      </w:r>
      <w:r w:rsidRPr="0014785D">
        <w:t>/or</w:t>
      </w:r>
      <w:r w:rsidR="00187CE0" w:rsidRPr="0014785D">
        <w:t xml:space="preserve"> ongoing management as appropriate.</w:t>
      </w:r>
      <w:r w:rsidR="00852EA3" w:rsidRPr="0014785D">
        <w:t xml:space="preserve"> These issues are discussed further in Chapter 3.</w:t>
      </w:r>
    </w:p>
    <w:p w14:paraId="56EFD8D0" w14:textId="77777777" w:rsidR="005313B1" w:rsidRDefault="005313B1" w:rsidP="007333CE">
      <w:pPr>
        <w:pStyle w:val="Heading2"/>
      </w:pPr>
      <w:bookmarkStart w:id="10" w:name="_Toc351480500"/>
      <w:r>
        <w:t>Other options for MSAC consideration</w:t>
      </w:r>
      <w:bookmarkEnd w:id="10"/>
    </w:p>
    <w:p w14:paraId="4A5D8BB6" w14:textId="77777777" w:rsidR="00300189" w:rsidRDefault="00300189" w:rsidP="00300189">
      <w:pPr>
        <w:pStyle w:val="AspexBodyStandard"/>
      </w:pPr>
      <w:r>
        <w:t xml:space="preserve">For physician equivalent items relating to initial consultation (equivalent to MBS item 110) and subsequent attendance (equivalent to MBS item 116), two options have been proposed.  </w:t>
      </w:r>
    </w:p>
    <w:p w14:paraId="01C5B165" w14:textId="77777777" w:rsidR="00300189" w:rsidRDefault="00300189" w:rsidP="00300189">
      <w:pPr>
        <w:pStyle w:val="AspexBullet1"/>
      </w:pPr>
      <w:r>
        <w:t xml:space="preserve">The first option for physician equivalent consultation would involve: </w:t>
      </w:r>
    </w:p>
    <w:p w14:paraId="18330EDD" w14:textId="2A460444" w:rsidR="00300189" w:rsidRDefault="00300189" w:rsidP="00300189">
      <w:pPr>
        <w:pStyle w:val="AspexBullet2"/>
      </w:pPr>
      <w:r>
        <w:t xml:space="preserve">An MBS item for </w:t>
      </w:r>
      <w:r w:rsidRPr="00852EA3">
        <w:rPr>
          <w:b/>
          <w:i/>
        </w:rPr>
        <w:t>‘comprehensive assessment’</w:t>
      </w:r>
      <w:r>
        <w:t xml:space="preserve">, rather than ‘initial attendance’, at the equivalent rate of MBS item 110. </w:t>
      </w:r>
      <w:r w:rsidR="00596A72">
        <w:t>This would be claimed on one occasion (but at any time) during a single episode of patient care</w:t>
      </w:r>
      <w:r w:rsidR="0065337B">
        <w:t>; and</w:t>
      </w:r>
    </w:p>
    <w:p w14:paraId="79CDFD57" w14:textId="77777777" w:rsidR="00300189" w:rsidRDefault="00300189" w:rsidP="00300189">
      <w:pPr>
        <w:pStyle w:val="AspexBullet2"/>
      </w:pPr>
      <w:r>
        <w:t xml:space="preserve">An MBS item for </w:t>
      </w:r>
      <w:r w:rsidRPr="00852EA3">
        <w:rPr>
          <w:b/>
          <w:i/>
        </w:rPr>
        <w:t>‘patient review’</w:t>
      </w:r>
      <w:r>
        <w:t>, rather than ‘subsequent attendance</w:t>
      </w:r>
      <w:r w:rsidR="00596A72">
        <w:t>’</w:t>
      </w:r>
      <w:r>
        <w:t xml:space="preserve">, at the equivalent rate of MBS item 116. </w:t>
      </w:r>
      <w:r w:rsidR="00596A72">
        <w:t>This could be claimed on the first or any subsequent occasion of patient contact during a single episode of care.</w:t>
      </w:r>
    </w:p>
    <w:p w14:paraId="6E7CE744" w14:textId="5B1E80A4" w:rsidR="00596A72" w:rsidRDefault="00300189" w:rsidP="00596A72">
      <w:pPr>
        <w:pStyle w:val="AspexBullet1"/>
      </w:pPr>
      <w:r>
        <w:t xml:space="preserve">The second option </w:t>
      </w:r>
      <w:r w:rsidR="00596A72">
        <w:t xml:space="preserve">for physician equivalent consultation </w:t>
      </w:r>
      <w:r>
        <w:t xml:space="preserve">would involve </w:t>
      </w:r>
      <w:r w:rsidR="00596A72">
        <w:t xml:space="preserve">four </w:t>
      </w:r>
      <w:r>
        <w:t>‘</w:t>
      </w:r>
      <w:r w:rsidR="003B7CD2">
        <w:t>time-tiered</w:t>
      </w:r>
      <w:r>
        <w:t>’ item</w:t>
      </w:r>
      <w:r w:rsidR="00596A72">
        <w:t xml:space="preserve">s, allowing specialists to claim for actual time spent with a patient on any </w:t>
      </w:r>
      <w:r w:rsidR="00720CE0">
        <w:t>individual occasion of ser</w:t>
      </w:r>
      <w:r w:rsidR="00A90E17">
        <w:t>vice. This would be similar to the</w:t>
      </w:r>
      <w:r w:rsidR="00720CE0">
        <w:t xml:space="preserve"> range of current</w:t>
      </w:r>
      <w:r w:rsidR="00A90E17">
        <w:t xml:space="preserve"> MBS item numbers available to general practitioners (MBS Group A1) and p</w:t>
      </w:r>
      <w:r w:rsidR="00720CE0">
        <w:t>sychiatrists (</w:t>
      </w:r>
      <w:r w:rsidR="00A90E17">
        <w:t>MBS Group A8</w:t>
      </w:r>
      <w:r w:rsidR="00720CE0">
        <w:t>)</w:t>
      </w:r>
      <w:r w:rsidR="00A90E17">
        <w:t>,</w:t>
      </w:r>
      <w:r w:rsidR="00720CE0">
        <w:t xml:space="preserve"> but the price would be </w:t>
      </w:r>
      <w:r w:rsidR="00C6434A">
        <w:t xml:space="preserve">set </w:t>
      </w:r>
      <w:r w:rsidR="00720CE0">
        <w:t xml:space="preserve">so that it did not exceed </w:t>
      </w:r>
      <w:r w:rsidR="00A90E17">
        <w:t>the maximum available to other p</w:t>
      </w:r>
      <w:r w:rsidR="00720CE0">
        <w:t>hysicians (</w:t>
      </w:r>
      <w:r w:rsidR="00A90E17">
        <w:t xml:space="preserve">MBS Group </w:t>
      </w:r>
      <w:r w:rsidR="00720CE0">
        <w:t>A4), and include</w:t>
      </w:r>
      <w:r w:rsidR="00596A72">
        <w:t xml:space="preserve">: </w:t>
      </w:r>
    </w:p>
    <w:p w14:paraId="48C114DD" w14:textId="77777777" w:rsidR="00300189" w:rsidRDefault="00596A72" w:rsidP="00596A72">
      <w:pPr>
        <w:pStyle w:val="AspexBullet2"/>
      </w:pPr>
      <w:r>
        <w:t>An MBS item for consultations of</w:t>
      </w:r>
      <w:r w:rsidRPr="00D43C54">
        <w:rPr>
          <w:rFonts w:ascii="MS Gothic" w:eastAsia="MS Gothic" w:hAnsi="MS Gothic"/>
          <w:color w:val="000000"/>
        </w:rPr>
        <w:t xml:space="preserve"> </w:t>
      </w:r>
      <w:r w:rsidR="00300189" w:rsidRPr="00D43C54">
        <w:rPr>
          <w:rFonts w:ascii="MS Gothic" w:eastAsia="MS Gothic" w:hAnsi="MS Gothic"/>
          <w:color w:val="000000"/>
        </w:rPr>
        <w:t>≤</w:t>
      </w:r>
      <w:r w:rsidR="00300189">
        <w:t xml:space="preserve"> 15 minutes duration (</w:t>
      </w:r>
      <w:r w:rsidR="00720CE0">
        <w:t>priced at 75% of the value of</w:t>
      </w:r>
      <w:r w:rsidR="00300189">
        <w:t xml:space="preserve"> MBS item 23</w:t>
      </w:r>
      <w:r w:rsidR="00720CE0">
        <w:t xml:space="preserve"> for general practitioner consultations up to 20 minutes duration</w:t>
      </w:r>
      <w:r w:rsidR="00300189">
        <w:t>);</w:t>
      </w:r>
    </w:p>
    <w:p w14:paraId="324A3130" w14:textId="77777777" w:rsidR="00300189" w:rsidRDefault="00720CE0" w:rsidP="00596A72">
      <w:pPr>
        <w:pStyle w:val="AspexBullet2"/>
      </w:pPr>
      <w:r>
        <w:t xml:space="preserve">An MBS item for consultations of &gt; </w:t>
      </w:r>
      <w:r w:rsidR="00300189">
        <w:t xml:space="preserve">15 but </w:t>
      </w:r>
      <w:r w:rsidR="00300189" w:rsidRPr="00A078B9">
        <w:rPr>
          <w:rFonts w:ascii="MS Gothic" w:eastAsia="MS Gothic" w:hAnsi="MS Gothic"/>
          <w:color w:val="000000"/>
        </w:rPr>
        <w:t>≤</w:t>
      </w:r>
      <w:r w:rsidR="00300189">
        <w:t xml:space="preserve"> 30 minutes duration (equivalent to MBS item 116);</w:t>
      </w:r>
    </w:p>
    <w:p w14:paraId="634DBC2D" w14:textId="77777777" w:rsidR="00300189" w:rsidRDefault="00720CE0" w:rsidP="00596A72">
      <w:pPr>
        <w:pStyle w:val="AspexBullet2"/>
      </w:pPr>
      <w:r>
        <w:t xml:space="preserve">An MBS item for consultations of </w:t>
      </w:r>
      <w:r w:rsidR="00300189">
        <w:t xml:space="preserve">&gt; 30 but </w:t>
      </w:r>
      <w:r w:rsidR="00300189" w:rsidRPr="00BD52E3">
        <w:rPr>
          <w:rFonts w:ascii="MS Gothic" w:eastAsia="MS Gothic" w:hAnsi="MS Gothic"/>
          <w:color w:val="000000"/>
        </w:rPr>
        <w:t>≤</w:t>
      </w:r>
      <w:r w:rsidR="00300189">
        <w:t xml:space="preserve"> 45 minutes duration (priced between MBS items 116 and 110); and</w:t>
      </w:r>
    </w:p>
    <w:p w14:paraId="3838FDF6" w14:textId="77777777" w:rsidR="00300189" w:rsidRDefault="00720CE0" w:rsidP="00596A72">
      <w:pPr>
        <w:pStyle w:val="AspexBullet2"/>
      </w:pPr>
      <w:r>
        <w:t xml:space="preserve">An MBS item for consultations of </w:t>
      </w:r>
      <w:r w:rsidR="00300189">
        <w:t>&gt; 45 minutes duration (equivalent to MBS item 110).</w:t>
      </w:r>
    </w:p>
    <w:p w14:paraId="7D73AA9E" w14:textId="149B1BF4" w:rsidR="00300189" w:rsidRDefault="00852EA3" w:rsidP="00300189">
      <w:pPr>
        <w:pStyle w:val="AspexBodyStandard"/>
      </w:pPr>
      <w:r>
        <w:t>A</w:t>
      </w:r>
      <w:r w:rsidR="00300189">
        <w:t xml:space="preserve"> </w:t>
      </w:r>
      <w:r w:rsidR="00720CE0">
        <w:t xml:space="preserve">time-tiered option could also be used as the basis for </w:t>
      </w:r>
      <w:r w:rsidR="00300189">
        <w:t>multi-disciplinary case conferencing items.</w:t>
      </w:r>
      <w:r w:rsidR="00720CE0">
        <w:t xml:space="preserve">  Case conferencing items would be structured so that the full time-tiered rate </w:t>
      </w:r>
      <w:r w:rsidR="0065337B">
        <w:t>i</w:t>
      </w:r>
      <w:r w:rsidR="00720CE0">
        <w:t xml:space="preserve">s available for specialists who co-ordinate and subsequently </w:t>
      </w:r>
      <w:r w:rsidR="00C6434A">
        <w:t xml:space="preserve">lead </w:t>
      </w:r>
      <w:r w:rsidR="001830BA">
        <w:t>(i.e.</w:t>
      </w:r>
      <w:r w:rsidR="00C6434A">
        <w:t xml:space="preserve"> organise and chair</w:t>
      </w:r>
      <w:r w:rsidR="001830BA">
        <w:t xml:space="preserve">) </w:t>
      </w:r>
      <w:r w:rsidR="00720CE0">
        <w:t xml:space="preserve">a </w:t>
      </w:r>
      <w:r w:rsidR="00720CE0">
        <w:lastRenderedPageBreak/>
        <w:t>case conference</w:t>
      </w:r>
      <w:r w:rsidR="007B7082">
        <w:t xml:space="preserve"> (claimable only for the duration of the case conference)</w:t>
      </w:r>
      <w:r w:rsidR="00720CE0">
        <w:t>.  A reduced rate of reimbursement (at 80%) would be made available where specialists participate</w:t>
      </w:r>
      <w:r w:rsidR="007B7082">
        <w:t xml:space="preserve"> in a case conference (claimable only for the duration of the case conference).</w:t>
      </w:r>
      <w:r>
        <w:t xml:space="preserve">  These alternatives are discussed further in Chapter 6.</w:t>
      </w:r>
    </w:p>
    <w:p w14:paraId="596570F3" w14:textId="77777777" w:rsidR="005313B1" w:rsidRDefault="005313B1" w:rsidP="007333CE">
      <w:pPr>
        <w:pStyle w:val="Heading2"/>
      </w:pPr>
      <w:bookmarkStart w:id="11" w:name="_Toc351480501"/>
      <w:r>
        <w:t>Comparator to the proposed intervention</w:t>
      </w:r>
      <w:bookmarkEnd w:id="11"/>
    </w:p>
    <w:p w14:paraId="23AAF65E" w14:textId="77777777" w:rsidR="00227A5A" w:rsidRDefault="009C58C7" w:rsidP="00442DA4">
      <w:pPr>
        <w:pStyle w:val="AspexBodyStandard"/>
      </w:pPr>
      <w:r>
        <w:t xml:space="preserve">In the absence of </w:t>
      </w:r>
      <w:r w:rsidR="00BB4810">
        <w:t>s</w:t>
      </w:r>
      <w:r w:rsidR="008C29C6">
        <w:t xml:space="preserve">exual </w:t>
      </w:r>
      <w:r w:rsidR="00BB4810">
        <w:t>h</w:t>
      </w:r>
      <w:r w:rsidR="008C29C6">
        <w:t xml:space="preserve">ealth </w:t>
      </w:r>
      <w:r w:rsidR="00BB4810">
        <w:t>m</w:t>
      </w:r>
      <w:r w:rsidR="008C29C6">
        <w:t>edicine</w:t>
      </w:r>
      <w:r>
        <w:t xml:space="preserve"> specialists, patients would have access to the same or similar interventions provided across a range of different specialists. </w:t>
      </w:r>
    </w:p>
    <w:p w14:paraId="70BA30B0" w14:textId="77777777" w:rsidR="003B422E" w:rsidRDefault="00D543BE" w:rsidP="00442DA4">
      <w:pPr>
        <w:pStyle w:val="AspexBodyStandard"/>
      </w:pPr>
      <w:r>
        <w:t xml:space="preserve">Some general practitioners have undertaken specific training to prescribe and monitor treatment for </w:t>
      </w:r>
      <w:r w:rsidR="00087752">
        <w:t>patients with HIV</w:t>
      </w:r>
      <w:r>
        <w:t xml:space="preserve">. </w:t>
      </w:r>
      <w:r w:rsidR="00087752">
        <w:t>The number of these general practitioners is declining.</w:t>
      </w:r>
      <w:r>
        <w:t xml:space="preserve"> </w:t>
      </w:r>
      <w:r w:rsidR="00442DA4">
        <w:t xml:space="preserve">Referrals to different specialists </w:t>
      </w:r>
      <w:r>
        <w:t>would therefore</w:t>
      </w:r>
      <w:r w:rsidR="00442DA4">
        <w:t xml:space="preserve"> be dependent upon the knowledge of individual general practitioners and the availability of individual specialists</w:t>
      </w:r>
      <w:r>
        <w:t xml:space="preserve"> and other services</w:t>
      </w:r>
      <w:r w:rsidR="00442DA4">
        <w:t xml:space="preserve"> for referral.  </w:t>
      </w:r>
    </w:p>
    <w:p w14:paraId="31EAC726" w14:textId="562E8111" w:rsidR="00442DA4" w:rsidRDefault="00D543BE" w:rsidP="00442DA4">
      <w:pPr>
        <w:pStyle w:val="AspexBodyStandard"/>
      </w:pPr>
      <w:r>
        <w:t xml:space="preserve">The closest specialist group treating patients with </w:t>
      </w:r>
      <w:r w:rsidR="00087752">
        <w:t>sexual problems</w:t>
      </w:r>
      <w:r>
        <w:t xml:space="preserve"> would be </w:t>
      </w:r>
      <w:r w:rsidR="00087752">
        <w:t>infectious disease physicians.  However, it is also recognised that the majority of work undertaken by this specialty group occurs in the admitted patient setting.</w:t>
      </w:r>
      <w:r>
        <w:t xml:space="preserve">  </w:t>
      </w:r>
      <w:r w:rsidR="00087752">
        <w:t>Notwithstanding,</w:t>
      </w:r>
      <w:r>
        <w:t xml:space="preserve"> </w:t>
      </w:r>
      <w:r w:rsidR="0065337B">
        <w:t>i</w:t>
      </w:r>
      <w:r w:rsidR="008C29C6">
        <w:t xml:space="preserve">nfectious </w:t>
      </w:r>
      <w:r w:rsidR="0065337B">
        <w:t>d</w:t>
      </w:r>
      <w:r w:rsidR="008C29C6">
        <w:t xml:space="preserve">isease </w:t>
      </w:r>
      <w:r w:rsidR="0065337B">
        <w:t>p</w:t>
      </w:r>
      <w:r w:rsidR="008C29C6">
        <w:t>hysician</w:t>
      </w:r>
      <w:r w:rsidR="00087752">
        <w:t xml:space="preserve">s have </w:t>
      </w:r>
      <w:r>
        <w:t xml:space="preserve">been used as the most appropriate comparator for the proposed range of interventions provided by </w:t>
      </w:r>
      <w:r w:rsidR="00D270B7">
        <w:t>sexual health medicine</w:t>
      </w:r>
      <w:r>
        <w:t xml:space="preserve"> specialists</w:t>
      </w:r>
      <w:r w:rsidR="00087752">
        <w:t xml:space="preserve"> (as the only comparable alternative to the scope of practice of sexual health medicine specialists</w:t>
      </w:r>
      <w:r w:rsidR="0065337B">
        <w:t>)</w:t>
      </w:r>
      <w:r>
        <w:t>.</w:t>
      </w:r>
      <w:r w:rsidR="00852EA3">
        <w:t xml:space="preserve"> Comparator specialty options are discussed in further detail in Chapter 4.</w:t>
      </w:r>
    </w:p>
    <w:p w14:paraId="16E6D659" w14:textId="77777777" w:rsidR="005313B1" w:rsidRDefault="005313B1" w:rsidP="007333CE">
      <w:pPr>
        <w:pStyle w:val="Heading2"/>
      </w:pPr>
      <w:bookmarkStart w:id="12" w:name="_Toc351480502"/>
      <w:r>
        <w:t>Comparative safety</w:t>
      </w:r>
      <w:bookmarkEnd w:id="12"/>
    </w:p>
    <w:p w14:paraId="30B9CA22" w14:textId="77777777" w:rsidR="007F0E27" w:rsidRDefault="00FD1C5D" w:rsidP="00C433CB">
      <w:pPr>
        <w:pStyle w:val="AspexBodyStandard"/>
      </w:pPr>
      <w:r>
        <w:t xml:space="preserve">There is strong evidence for the safety of </w:t>
      </w:r>
      <w:r w:rsidR="00852EA3">
        <w:t>pharmacotherapy and other</w:t>
      </w:r>
      <w:r>
        <w:t xml:space="preserve"> interventions for </w:t>
      </w:r>
      <w:r w:rsidR="00D65EE7">
        <w:t>sexual health</w:t>
      </w:r>
      <w:r>
        <w:t xml:space="preserve"> conditions in the scientific literature.</w:t>
      </w:r>
    </w:p>
    <w:p w14:paraId="628C3DDC" w14:textId="77777777" w:rsidR="00FD1C5D" w:rsidRDefault="00FD1C5D" w:rsidP="00C433CB">
      <w:pPr>
        <w:pStyle w:val="AspexBodyStandard"/>
      </w:pPr>
      <w:r>
        <w:t xml:space="preserve">There is a more limited body of evidence examining the safety of clinical interventions provided by different medical specialists.  Qualitative reports from specialists and descriptive reports in the </w:t>
      </w:r>
      <w:r w:rsidR="00227A5A">
        <w:t>peer-reviewed</w:t>
      </w:r>
      <w:r>
        <w:t xml:space="preserve"> literature consistently </w:t>
      </w:r>
      <w:r w:rsidR="00227A5A">
        <w:t xml:space="preserve">emphasise that the relative safety of interventions provided to patients with </w:t>
      </w:r>
      <w:r w:rsidR="00D65EE7">
        <w:t>sexual health</w:t>
      </w:r>
      <w:r w:rsidR="00227A5A">
        <w:t xml:space="preserve"> problems requires:</w:t>
      </w:r>
    </w:p>
    <w:p w14:paraId="392E1403" w14:textId="77777777" w:rsidR="003B0BA8" w:rsidRDefault="003B0BA8" w:rsidP="00227A5A">
      <w:pPr>
        <w:pStyle w:val="AspexBullet1"/>
      </w:pPr>
      <w:r>
        <w:t xml:space="preserve">Knowledge of the wide range of </w:t>
      </w:r>
      <w:r w:rsidR="00D65EE7">
        <w:t>issues</w:t>
      </w:r>
      <w:r>
        <w:t xml:space="preserve"> associated with </w:t>
      </w:r>
      <w:r w:rsidR="00D65EE7">
        <w:t>sexual diseases, prescription medications and sexuality</w:t>
      </w:r>
      <w:r w:rsidR="00227A5A">
        <w:t xml:space="preserve">; in addition to </w:t>
      </w:r>
    </w:p>
    <w:p w14:paraId="37C290EE" w14:textId="77777777" w:rsidR="003B0BA8" w:rsidRDefault="003B0BA8" w:rsidP="00227A5A">
      <w:pPr>
        <w:pStyle w:val="AspexBullet1"/>
      </w:pPr>
      <w:r>
        <w:t xml:space="preserve">Capacity to intervene in a manner that reduces the likelihood of </w:t>
      </w:r>
      <w:r w:rsidR="00D65EE7">
        <w:t>identifiable</w:t>
      </w:r>
      <w:r>
        <w:t xml:space="preserve"> risks developing or impacting upon patients and others in the community</w:t>
      </w:r>
      <w:r w:rsidR="00D65EE7">
        <w:t xml:space="preserve"> (e.g. through transmission of infectious diseases)</w:t>
      </w:r>
      <w:r w:rsidR="00A363CE">
        <w:t>.</w:t>
      </w:r>
    </w:p>
    <w:p w14:paraId="3E3ECC22" w14:textId="77777777" w:rsidR="00D94FF2" w:rsidRDefault="00D94FF2" w:rsidP="00D94FF2">
      <w:pPr>
        <w:pStyle w:val="AspexBullet1"/>
        <w:numPr>
          <w:ilvl w:val="0"/>
          <w:numId w:val="0"/>
        </w:numPr>
      </w:pPr>
      <w:r>
        <w:t xml:space="preserve">Thus from the available evidence, services provided by </w:t>
      </w:r>
      <w:r w:rsidR="00D270B7">
        <w:t>sexual health medicine</w:t>
      </w:r>
      <w:r>
        <w:t xml:space="preserve"> specialists are possibly safer and more effective than the same services provided across a range of different specialists. </w:t>
      </w:r>
    </w:p>
    <w:p w14:paraId="0A2A0DBF" w14:textId="77777777" w:rsidR="005313B1" w:rsidRDefault="005313B1" w:rsidP="007333CE">
      <w:pPr>
        <w:pStyle w:val="Heading2"/>
      </w:pPr>
      <w:bookmarkStart w:id="13" w:name="_Toc351480503"/>
      <w:r>
        <w:t>Comparative effectiveness</w:t>
      </w:r>
      <w:bookmarkEnd w:id="13"/>
    </w:p>
    <w:p w14:paraId="0A5E0041" w14:textId="77777777" w:rsidR="00227A5A" w:rsidRPr="0014785D" w:rsidRDefault="00227A5A" w:rsidP="0043083E">
      <w:pPr>
        <w:pStyle w:val="AspexBodyStandard"/>
      </w:pPr>
      <w:r>
        <w:t xml:space="preserve">The literature demonstrates clear evidence for the effectiveness of </w:t>
      </w:r>
      <w:r w:rsidR="00852EA3">
        <w:t>a range of</w:t>
      </w:r>
      <w:r>
        <w:t xml:space="preserve"> interventions for </w:t>
      </w:r>
      <w:r w:rsidR="00D65EE7">
        <w:t>sexual health</w:t>
      </w:r>
      <w:r>
        <w:t xml:space="preserve"> conditions</w:t>
      </w:r>
      <w:r w:rsidR="00852EA3">
        <w:t>.</w:t>
      </w:r>
      <w:r>
        <w:t xml:space="preserve"> Evidence also indicates that an appropriate mix of interventions is </w:t>
      </w:r>
      <w:r w:rsidRPr="0014785D">
        <w:t xml:space="preserve">required in order to maximise the likelihood of success for patients with </w:t>
      </w:r>
      <w:r w:rsidR="00D65EE7" w:rsidRPr="0014785D">
        <w:t xml:space="preserve">sexual health </w:t>
      </w:r>
      <w:r w:rsidR="00D65EE7" w:rsidRPr="0014785D">
        <w:lastRenderedPageBreak/>
        <w:t>problems</w:t>
      </w:r>
      <w:r w:rsidRPr="0014785D">
        <w:t xml:space="preserve">.  </w:t>
      </w:r>
      <w:r w:rsidR="000C7F68" w:rsidRPr="0014785D">
        <w:t>A number of</w:t>
      </w:r>
      <w:r w:rsidRPr="0014785D">
        <w:t xml:space="preserve"> therapeutic combinations have been demonstrated to result in more successful treatment outcomes</w:t>
      </w:r>
      <w:r w:rsidR="000C7F68" w:rsidRPr="0014785D">
        <w:t>, for example</w:t>
      </w:r>
      <w:r w:rsidRPr="0014785D">
        <w:t>:</w:t>
      </w:r>
    </w:p>
    <w:p w14:paraId="533C6300" w14:textId="57F38E11" w:rsidR="00227A5A" w:rsidRPr="0014785D" w:rsidRDefault="00227A5A" w:rsidP="00227A5A">
      <w:pPr>
        <w:pStyle w:val="AspexBullet1"/>
      </w:pPr>
      <w:r w:rsidRPr="0014785D">
        <w:t xml:space="preserve">Pharmacotherapy </w:t>
      </w:r>
      <w:r w:rsidR="00852EA3" w:rsidRPr="0014785D">
        <w:t xml:space="preserve">for </w:t>
      </w:r>
      <w:r w:rsidR="000D031F" w:rsidRPr="0014785D">
        <w:t>erectile dysfunction</w:t>
      </w:r>
      <w:r w:rsidR="00852EA3" w:rsidRPr="0014785D">
        <w:t xml:space="preserve"> with psychological counselling;</w:t>
      </w:r>
      <w:r w:rsidR="0065337B">
        <w:t xml:space="preserve"> and</w:t>
      </w:r>
    </w:p>
    <w:p w14:paraId="4EAEE957" w14:textId="511A5825" w:rsidR="00227A5A" w:rsidRPr="0014785D" w:rsidRDefault="000D031F" w:rsidP="00227A5A">
      <w:pPr>
        <w:pStyle w:val="AspexBullet1"/>
      </w:pPr>
      <w:r w:rsidRPr="0014785D">
        <w:t xml:space="preserve">Pharmacotherapy for genital or pelvic pain </w:t>
      </w:r>
      <w:r w:rsidR="00852EA3" w:rsidRPr="0014785D">
        <w:t>with behavioural intervention</w:t>
      </w:r>
      <w:r w:rsidR="0065337B">
        <w:t>.</w:t>
      </w:r>
    </w:p>
    <w:p w14:paraId="273A8F7D" w14:textId="77777777" w:rsidR="000C7F68" w:rsidRPr="0014785D" w:rsidRDefault="000C7F68" w:rsidP="00227A5A">
      <w:pPr>
        <w:pStyle w:val="AspexBodyStandard"/>
      </w:pPr>
      <w:r w:rsidRPr="0014785D">
        <w:t xml:space="preserve">Outcomes of other interventions have been identified to be more successful when delivered in specialist (rather than primary care) settings, such as: </w:t>
      </w:r>
    </w:p>
    <w:p w14:paraId="0C9F82EF" w14:textId="77777777" w:rsidR="000C7F68" w:rsidRPr="0014785D" w:rsidRDefault="00470DC6" w:rsidP="000C7F68">
      <w:pPr>
        <w:pStyle w:val="AspexBullet1"/>
      </w:pPr>
      <w:r w:rsidRPr="0014785D">
        <w:t>Management of more complex drug regimens such as those required for HIV/AIDS or viral hepatitis</w:t>
      </w:r>
      <w:r w:rsidR="000C7F68" w:rsidRPr="0014785D">
        <w:t>;</w:t>
      </w:r>
    </w:p>
    <w:p w14:paraId="5E6EBA1A" w14:textId="77777777" w:rsidR="000C7F68" w:rsidRPr="0014785D" w:rsidRDefault="000C7F68" w:rsidP="000C7F68">
      <w:pPr>
        <w:pStyle w:val="AspexBullet1"/>
      </w:pPr>
      <w:r w:rsidRPr="0014785D">
        <w:t>Cognitive behavioural therapy</w:t>
      </w:r>
      <w:r w:rsidR="00470DC6" w:rsidRPr="0014785D">
        <w:t xml:space="preserve"> when combined with other therapies</w:t>
      </w:r>
      <w:r w:rsidRPr="0014785D">
        <w:t>;</w:t>
      </w:r>
    </w:p>
    <w:p w14:paraId="58E668E3" w14:textId="77777777" w:rsidR="00470DC6" w:rsidRPr="0014785D" w:rsidRDefault="00470DC6" w:rsidP="000C7F68">
      <w:pPr>
        <w:pStyle w:val="AspexBullet1"/>
      </w:pPr>
      <w:r w:rsidRPr="0014785D">
        <w:t>Where more comprehensive laboratory investigations and other evaluations are required;</w:t>
      </w:r>
    </w:p>
    <w:p w14:paraId="1A52A675" w14:textId="0A268C91" w:rsidR="00470DC6" w:rsidRPr="0014785D" w:rsidRDefault="00470DC6" w:rsidP="000C7F68">
      <w:pPr>
        <w:pStyle w:val="AspexBullet1"/>
      </w:pPr>
      <w:r w:rsidRPr="0014785D">
        <w:t>Where there are other factors complicating the presentation of the patient’s problem, e.g. erectile dysfunction in young patients with a history of pelvic or perineal trauma or congenital penile deformity;</w:t>
      </w:r>
      <w:r w:rsidR="00010B3E">
        <w:t xml:space="preserve"> and</w:t>
      </w:r>
    </w:p>
    <w:p w14:paraId="6FC88FBF" w14:textId="77777777" w:rsidR="00470DC6" w:rsidRPr="0014785D" w:rsidRDefault="00470DC6" w:rsidP="00470DC6">
      <w:pPr>
        <w:pStyle w:val="AspexBullet1"/>
      </w:pPr>
      <w:r w:rsidRPr="0014785D">
        <w:t>When there is a request from the patient or a medico-legal requirement for further evaluation (Review – no NHMRC level of evidence, Wagner et al 2002).</w:t>
      </w:r>
    </w:p>
    <w:p w14:paraId="7C3F89E5" w14:textId="65F68269" w:rsidR="0076272C" w:rsidRDefault="00227A5A" w:rsidP="0043083E">
      <w:pPr>
        <w:pStyle w:val="AspexBodyStandard"/>
      </w:pPr>
      <w:r>
        <w:t xml:space="preserve">Thus </w:t>
      </w:r>
      <w:r w:rsidR="00A363CE">
        <w:t xml:space="preserve">there is no evidence that the outcomes of interventions provided by </w:t>
      </w:r>
      <w:r w:rsidR="00D270B7">
        <w:t>sexual health medicine</w:t>
      </w:r>
      <w:r w:rsidR="00A363CE">
        <w:t xml:space="preserve"> specialists will be any worse than the same interventions provided by other specialists.   Rather, available evidence indicates that </w:t>
      </w:r>
      <w:r>
        <w:t xml:space="preserve">specialists in </w:t>
      </w:r>
      <w:r w:rsidR="00D270B7">
        <w:t>sexual health m</w:t>
      </w:r>
      <w:r w:rsidR="008C29C6">
        <w:t>edicine</w:t>
      </w:r>
      <w:r>
        <w:t xml:space="preserve"> are </w:t>
      </w:r>
      <w:r w:rsidR="00A363CE">
        <w:t xml:space="preserve">more likely </w:t>
      </w:r>
      <w:r w:rsidR="00BB38B6">
        <w:t xml:space="preserve">to </w:t>
      </w:r>
      <w:r w:rsidR="00A363CE">
        <w:t>provide</w:t>
      </w:r>
      <w:r>
        <w:t xml:space="preserve"> </w:t>
      </w:r>
      <w:r w:rsidR="00A363CE">
        <w:t>or otherwise co-ordinate the best mix of evidence based interventions, in the right environment, to</w:t>
      </w:r>
      <w:r w:rsidR="00D65EE7">
        <w:t>:</w:t>
      </w:r>
    </w:p>
    <w:p w14:paraId="2C9A0B9B" w14:textId="77777777" w:rsidR="00D65EE7" w:rsidRDefault="00D65EE7" w:rsidP="00507F42">
      <w:pPr>
        <w:pStyle w:val="AspexBullet1"/>
      </w:pPr>
      <w:r>
        <w:t>Identify the presence of sexual disease and dysfunction</w:t>
      </w:r>
    </w:p>
    <w:p w14:paraId="2CBC0510" w14:textId="77777777" w:rsidR="00D65EE7" w:rsidRDefault="00D65EE7" w:rsidP="00507F42">
      <w:pPr>
        <w:pStyle w:val="AspexBullet1"/>
      </w:pPr>
      <w:r>
        <w:t>Treat acute conditions and monitor for rates of re-infection;</w:t>
      </w:r>
    </w:p>
    <w:p w14:paraId="441B02CA" w14:textId="77777777" w:rsidR="00D65EE7" w:rsidRDefault="00D65EE7" w:rsidP="00507F42">
      <w:pPr>
        <w:pStyle w:val="AspexBullet1"/>
      </w:pPr>
      <w:r>
        <w:t>Manage contact tracing of others to minimise the spread of infection;</w:t>
      </w:r>
    </w:p>
    <w:p w14:paraId="5B46E044" w14:textId="77777777" w:rsidR="0076272C" w:rsidRDefault="0076272C" w:rsidP="00507F42">
      <w:pPr>
        <w:pStyle w:val="AspexBullet1"/>
      </w:pPr>
      <w:r>
        <w:t xml:space="preserve">Identify and treat medical and psychiatric comorbidities and complications arising from </w:t>
      </w:r>
      <w:r w:rsidR="00D65EE7">
        <w:t>HIV, other STIs, sexual assault, and other conditions that may lead to sexual dysfunction</w:t>
      </w:r>
      <w:r w:rsidR="00507F42">
        <w:t>;</w:t>
      </w:r>
    </w:p>
    <w:p w14:paraId="49166539" w14:textId="77777777" w:rsidR="0076272C" w:rsidRDefault="0076272C" w:rsidP="00507F42">
      <w:pPr>
        <w:pStyle w:val="AspexBullet1"/>
      </w:pPr>
      <w:r>
        <w:t xml:space="preserve">Provide </w:t>
      </w:r>
      <w:r w:rsidR="00D65EE7">
        <w:t>valuable input into public policies and programs to improve the detection of STIs and minimise the risk and spread of infection within the Australian community</w:t>
      </w:r>
      <w:r>
        <w:t>.</w:t>
      </w:r>
    </w:p>
    <w:p w14:paraId="7B361159" w14:textId="77777777" w:rsidR="0076272C" w:rsidRDefault="00507F42" w:rsidP="0043083E">
      <w:pPr>
        <w:pStyle w:val="AspexBodyStandard"/>
      </w:pPr>
      <w:r>
        <w:t xml:space="preserve">It is acknowledged, that in the absence of specific comparisons between </w:t>
      </w:r>
      <w:r w:rsidR="00D270B7">
        <w:t>s</w:t>
      </w:r>
      <w:r w:rsidR="008C29C6">
        <w:t xml:space="preserve">exual </w:t>
      </w:r>
      <w:r w:rsidR="00D270B7">
        <w:t>health m</w:t>
      </w:r>
      <w:r w:rsidR="008C29C6">
        <w:t>edicine</w:t>
      </w:r>
      <w:r>
        <w:t xml:space="preserve"> specialists and other specialists providing services to the same group of patients, there remains some uncertainty with this judgement.</w:t>
      </w:r>
    </w:p>
    <w:p w14:paraId="644474C6" w14:textId="77777777" w:rsidR="005313B1" w:rsidRDefault="005313B1" w:rsidP="007333CE">
      <w:pPr>
        <w:pStyle w:val="Heading2"/>
      </w:pPr>
      <w:bookmarkStart w:id="14" w:name="_Toc351480504"/>
      <w:r>
        <w:t>Economic evaluation</w:t>
      </w:r>
      <w:bookmarkEnd w:id="14"/>
    </w:p>
    <w:p w14:paraId="3140AA12" w14:textId="7479C42E" w:rsidR="000C7F68" w:rsidRDefault="000C7F68" w:rsidP="000C7F68">
      <w:pPr>
        <w:pStyle w:val="AspexBodyStandard"/>
      </w:pPr>
      <w:r>
        <w:t xml:space="preserve">The economic evaluation of the </w:t>
      </w:r>
      <w:r w:rsidR="00D270B7">
        <w:t>sexual health medicine</w:t>
      </w:r>
      <w:r>
        <w:t xml:space="preserve"> MBS items has been based on a </w:t>
      </w:r>
      <w:r w:rsidRPr="00D025D6">
        <w:rPr>
          <w:i/>
        </w:rPr>
        <w:t>relative cost effectiveness analysis</w:t>
      </w:r>
      <w:r>
        <w:rPr>
          <w:i/>
        </w:rPr>
        <w:t xml:space="preserve"> (CEA).</w:t>
      </w:r>
      <w:r>
        <w:t xml:space="preserve"> However, the application of a conventional CEA is problematic as there was no available data on the clinical outcomes of consultations by </w:t>
      </w:r>
      <w:r w:rsidR="00D270B7">
        <w:t>sexual h</w:t>
      </w:r>
      <w:r w:rsidR="008C29C6">
        <w:t xml:space="preserve">ealth </w:t>
      </w:r>
      <w:r w:rsidR="00D270B7">
        <w:t>m</w:t>
      </w:r>
      <w:r w:rsidR="008C29C6">
        <w:t>edicine</w:t>
      </w:r>
      <w:r>
        <w:t xml:space="preserve"> specialists </w:t>
      </w:r>
      <w:r w:rsidRPr="00D025D6">
        <w:rPr>
          <w:i/>
        </w:rPr>
        <w:t>vis a vis</w:t>
      </w:r>
      <w:r>
        <w:t xml:space="preserve"> the comparator </w:t>
      </w:r>
      <w:r w:rsidR="00010B3E">
        <w:t xml:space="preserve">- </w:t>
      </w:r>
      <w:r>
        <w:t xml:space="preserve">being </w:t>
      </w:r>
      <w:r w:rsidR="00D270B7">
        <w:t>i</w:t>
      </w:r>
      <w:r w:rsidR="008C29C6">
        <w:t xml:space="preserve">nfectious </w:t>
      </w:r>
      <w:r w:rsidR="00D270B7">
        <w:t>disease p</w:t>
      </w:r>
      <w:r w:rsidR="008C29C6">
        <w:t>hysician</w:t>
      </w:r>
      <w:r w:rsidR="00010B3E">
        <w:t>s</w:t>
      </w:r>
      <w:r>
        <w:t xml:space="preserve">.  </w:t>
      </w:r>
    </w:p>
    <w:p w14:paraId="18C93BB9" w14:textId="7B89ED28" w:rsidR="000C7F68" w:rsidRDefault="00867EDD" w:rsidP="000C7F68">
      <w:pPr>
        <w:pStyle w:val="AspexBodyStandard"/>
      </w:pPr>
      <w:r>
        <w:t>Q</w:t>
      </w:r>
      <w:r w:rsidR="000C7F68">
        <w:t xml:space="preserve">ualitative evidence based on the AMC recognition of </w:t>
      </w:r>
      <w:r w:rsidR="00D270B7">
        <w:t>sexual h</w:t>
      </w:r>
      <w:r w:rsidR="008C29C6">
        <w:t xml:space="preserve">ealth </w:t>
      </w:r>
      <w:r w:rsidR="00D270B7">
        <w:t>m</w:t>
      </w:r>
      <w:r w:rsidR="008C29C6">
        <w:t>edicine</w:t>
      </w:r>
      <w:r w:rsidR="000C7F68">
        <w:t xml:space="preserve"> as a specialty indicates that </w:t>
      </w:r>
      <w:r w:rsidR="00D270B7" w:rsidRPr="00D270B7">
        <w:t xml:space="preserve">sexual health medicine </w:t>
      </w:r>
      <w:r w:rsidR="000C7F68">
        <w:t xml:space="preserve">specialists bring a </w:t>
      </w:r>
      <w:r w:rsidR="00A02401">
        <w:t xml:space="preserve">more comprehensive set of skills </w:t>
      </w:r>
      <w:r w:rsidR="00D65EE7">
        <w:t xml:space="preserve">to </w:t>
      </w:r>
      <w:r w:rsidR="00D65EE7">
        <w:lastRenderedPageBreak/>
        <w:t>address</w:t>
      </w:r>
      <w:r w:rsidR="00A02401">
        <w:t xml:space="preserve"> </w:t>
      </w:r>
      <w:r w:rsidR="00D65EE7">
        <w:t>a wide range of sexual health problems</w:t>
      </w:r>
      <w:r w:rsidR="00A02401">
        <w:t xml:space="preserve"> </w:t>
      </w:r>
      <w:r w:rsidR="000C7F68">
        <w:t>and therefore provide superior</w:t>
      </w:r>
      <w:r w:rsidR="00C6434A">
        <w:t>, or at least equivalent,</w:t>
      </w:r>
      <w:r w:rsidR="000C7F68">
        <w:t xml:space="preserve"> clinical outcomes for patients (Section 4.2).  On this basis, a cost effectiveness analysis should only need to demonstrate costs at or below the alternative </w:t>
      </w:r>
      <w:r w:rsidR="00010B3E">
        <w:t>i</w:t>
      </w:r>
      <w:r w:rsidR="008C29C6">
        <w:t xml:space="preserve">nfectious </w:t>
      </w:r>
      <w:r w:rsidR="00010B3E">
        <w:t>d</w:t>
      </w:r>
      <w:r w:rsidR="008C29C6">
        <w:t xml:space="preserve">isease </w:t>
      </w:r>
      <w:r w:rsidR="00010B3E">
        <w:t>p</w:t>
      </w:r>
      <w:r w:rsidR="008C29C6">
        <w:t>hysician</w:t>
      </w:r>
      <w:r w:rsidR="000C7F68">
        <w:t xml:space="preserve"> costs to demonstrate overall superior cost effectiveness.</w:t>
      </w:r>
    </w:p>
    <w:p w14:paraId="7B04F11C" w14:textId="77777777" w:rsidR="000C7F68" w:rsidRDefault="000C7F68" w:rsidP="00F44503">
      <w:pPr>
        <w:pStyle w:val="Heading4"/>
      </w:pPr>
      <w:r>
        <w:t>Modelled comparative analysis</w:t>
      </w:r>
    </w:p>
    <w:p w14:paraId="07A2B543" w14:textId="569A7CCD" w:rsidR="00A02401" w:rsidRPr="007F4AD8" w:rsidRDefault="00A02401" w:rsidP="00A02401">
      <w:pPr>
        <w:pStyle w:val="AspexBodyStandard"/>
      </w:pPr>
      <w:r w:rsidRPr="007F4AD8">
        <w:t xml:space="preserve">The current (2012) MBS outlays for </w:t>
      </w:r>
      <w:r w:rsidR="00BB4810" w:rsidRPr="007F4AD8">
        <w:t>s</w:t>
      </w:r>
      <w:r w:rsidR="008C29C6" w:rsidRPr="007F4AD8">
        <w:t xml:space="preserve">exual </w:t>
      </w:r>
      <w:r w:rsidR="00BB4810" w:rsidRPr="007F4AD8">
        <w:t>h</w:t>
      </w:r>
      <w:r w:rsidR="008C29C6" w:rsidRPr="007F4AD8">
        <w:t xml:space="preserve">ealth </w:t>
      </w:r>
      <w:r w:rsidR="00BB4810" w:rsidRPr="007F4AD8">
        <w:t>m</w:t>
      </w:r>
      <w:r w:rsidR="008C29C6" w:rsidRPr="007F4AD8">
        <w:t>edicine</w:t>
      </w:r>
      <w:r w:rsidRPr="007F4AD8">
        <w:t xml:space="preserve"> are estimated to be ~$</w:t>
      </w:r>
      <w:r w:rsidR="00E25CB7" w:rsidRPr="007F4AD8">
        <w:t>5.144</w:t>
      </w:r>
      <w:r w:rsidRPr="007F4AD8">
        <w:t xml:space="preserve">m.  </w:t>
      </w:r>
      <w:r w:rsidR="00DC31A0" w:rsidRPr="007F4AD8">
        <w:t xml:space="preserve">With expected growth </w:t>
      </w:r>
      <w:r w:rsidRPr="007F4AD8">
        <w:t>between 2012 and 2015, it is estimated that outlays would</w:t>
      </w:r>
      <w:r w:rsidR="00010B3E" w:rsidRPr="007F4AD8">
        <w:t xml:space="preserve"> </w:t>
      </w:r>
      <w:r w:rsidR="00DC31A0" w:rsidRPr="007F4AD8">
        <w:t xml:space="preserve">increase </w:t>
      </w:r>
      <w:r w:rsidRPr="007F4AD8">
        <w:t>to $</w:t>
      </w:r>
      <w:r w:rsidR="00DC31A0" w:rsidRPr="007F4AD8">
        <w:t>6.057</w:t>
      </w:r>
      <w:r w:rsidRPr="007F4AD8">
        <w:t>m by 2015</w:t>
      </w:r>
      <w:r w:rsidR="0079120C">
        <w:t>; an annual average increase of 5.9% over the three years</w:t>
      </w:r>
      <w:r w:rsidRPr="007F4AD8">
        <w:t xml:space="preserve">. </w:t>
      </w:r>
    </w:p>
    <w:p w14:paraId="08108902" w14:textId="7770213D" w:rsidR="00A02401" w:rsidRPr="007F4AD8" w:rsidRDefault="00010B3E" w:rsidP="00A02401">
      <w:pPr>
        <w:pStyle w:val="AspexBodyStandard"/>
      </w:pPr>
      <w:r>
        <w:t xml:space="preserve">However, </w:t>
      </w:r>
      <w:r w:rsidR="00A02401" w:rsidRPr="007F4AD8">
        <w:t xml:space="preserve">forecast (2015) MBS outlays for </w:t>
      </w:r>
      <w:r w:rsidR="00BB4810" w:rsidRPr="007F4AD8">
        <w:t>sexual health medicine</w:t>
      </w:r>
      <w:r>
        <w:t xml:space="preserve"> will be higher</w:t>
      </w:r>
      <w:r w:rsidR="00D27339">
        <w:t xml:space="preserve"> at </w:t>
      </w:r>
      <w:r w:rsidR="00A02401" w:rsidRPr="007F4AD8">
        <w:t>~$</w:t>
      </w:r>
      <w:r w:rsidR="005762F0" w:rsidRPr="007F4AD8">
        <w:t>8.245</w:t>
      </w:r>
      <w:r w:rsidR="00A02401" w:rsidRPr="007F4AD8">
        <w:t xml:space="preserve">m </w:t>
      </w:r>
      <w:r w:rsidR="00D27339">
        <w:t xml:space="preserve">after taking into account </w:t>
      </w:r>
      <w:r w:rsidR="00A02401" w:rsidRPr="007F4AD8">
        <w:t>rate increase</w:t>
      </w:r>
      <w:r w:rsidR="00681AD5">
        <w:t>s</w:t>
      </w:r>
      <w:r w:rsidR="00A02401" w:rsidRPr="007F4AD8">
        <w:t xml:space="preserve"> to consultant physician levels, changes to complex care, case conferencing and a </w:t>
      </w:r>
      <w:r w:rsidR="005762F0" w:rsidRPr="007F4AD8">
        <w:t>m</w:t>
      </w:r>
      <w:r w:rsidR="0079120C">
        <w:t>odest</w:t>
      </w:r>
      <w:r w:rsidR="00A02401" w:rsidRPr="007F4AD8">
        <w:t xml:space="preserve"> fall in claims due to expected workforce reductions.  This suggests that there would be an </w:t>
      </w:r>
      <w:r w:rsidR="00A02401" w:rsidRPr="007F4AD8">
        <w:rPr>
          <w:i/>
        </w:rPr>
        <w:t>increase</w:t>
      </w:r>
      <w:r w:rsidR="00A02401" w:rsidRPr="007F4AD8">
        <w:t xml:space="preserve"> in MBS outlays of ~$</w:t>
      </w:r>
      <w:r w:rsidR="005762F0" w:rsidRPr="007F4AD8">
        <w:t>3.100</w:t>
      </w:r>
      <w:r w:rsidR="00A02401" w:rsidRPr="007F4AD8">
        <w:t xml:space="preserve">m based on the difference between actual 2012 and forecast 2015, </w:t>
      </w:r>
      <w:r w:rsidR="00A02401" w:rsidRPr="007F4AD8">
        <w:rPr>
          <w:b/>
        </w:rPr>
        <w:t>or</w:t>
      </w:r>
      <w:r w:rsidR="00A02401" w:rsidRPr="007F4AD8">
        <w:t xml:space="preserve"> ~$</w:t>
      </w:r>
      <w:r w:rsidR="005762F0" w:rsidRPr="007F4AD8">
        <w:t>2.188</w:t>
      </w:r>
      <w:r w:rsidR="00A02401" w:rsidRPr="007F4AD8">
        <w:t>m based on the forecast outlays in 2015 with no change to MBS structure and reduced workforce, and forecast outlays under a new item structure.</w:t>
      </w:r>
    </w:p>
    <w:p w14:paraId="7D64D802" w14:textId="619E3BBA" w:rsidR="00A02401" w:rsidRPr="007F4AD8" w:rsidRDefault="00A02401" w:rsidP="00A02401">
      <w:pPr>
        <w:pStyle w:val="AspexBodyStandard"/>
      </w:pPr>
      <w:r w:rsidRPr="007F4AD8">
        <w:t xml:space="preserve">The forecast MBS outlays using </w:t>
      </w:r>
      <w:r w:rsidR="0067099E" w:rsidRPr="007F4AD8">
        <w:t>i</w:t>
      </w:r>
      <w:r w:rsidR="008C29C6" w:rsidRPr="007F4AD8">
        <w:t xml:space="preserve">nfectious </w:t>
      </w:r>
      <w:r w:rsidR="0067099E" w:rsidRPr="007F4AD8">
        <w:t>d</w:t>
      </w:r>
      <w:r w:rsidR="008C29C6" w:rsidRPr="007F4AD8">
        <w:t xml:space="preserve">isease </w:t>
      </w:r>
      <w:r w:rsidR="0067099E" w:rsidRPr="007F4AD8">
        <w:t>p</w:t>
      </w:r>
      <w:r w:rsidR="008C29C6" w:rsidRPr="007F4AD8">
        <w:t>hysician</w:t>
      </w:r>
      <w:r w:rsidRPr="007F4AD8">
        <w:t xml:space="preserve"> consultation rates is ~$</w:t>
      </w:r>
      <w:r w:rsidR="005762F0" w:rsidRPr="007F4AD8">
        <w:t>8.489</w:t>
      </w:r>
      <w:r w:rsidRPr="007F4AD8">
        <w:t>m.  This indicates that there is a $</w:t>
      </w:r>
      <w:r w:rsidR="005762F0" w:rsidRPr="007F4AD8">
        <w:t>0.245</w:t>
      </w:r>
      <w:r w:rsidRPr="007F4AD8">
        <w:t xml:space="preserve">m cost advantage, or </w:t>
      </w:r>
      <w:r w:rsidR="005762F0" w:rsidRPr="007F4AD8">
        <w:t>3.0</w:t>
      </w:r>
      <w:r w:rsidRPr="007F4AD8">
        <w:t xml:space="preserve">% for </w:t>
      </w:r>
      <w:r w:rsidR="00D270B7" w:rsidRPr="007F4AD8">
        <w:t>sexual health medicine</w:t>
      </w:r>
      <w:r w:rsidRPr="007F4AD8">
        <w:t xml:space="preserve">.  This suggests that even with an increase in payment rates for </w:t>
      </w:r>
      <w:r w:rsidR="00D270B7" w:rsidRPr="007F4AD8">
        <w:t xml:space="preserve">sexual health medicine </w:t>
      </w:r>
      <w:r w:rsidRPr="007F4AD8">
        <w:t>specialists, a m</w:t>
      </w:r>
      <w:r w:rsidR="00681AD5">
        <w:t>odest</w:t>
      </w:r>
      <w:r w:rsidRPr="007F4AD8">
        <w:t xml:space="preserve"> cost advantage is maintain</w:t>
      </w:r>
      <w:r w:rsidR="004C7F98">
        <w:t>ed</w:t>
      </w:r>
      <w:r w:rsidRPr="007F4AD8">
        <w:t>.</w:t>
      </w:r>
    </w:p>
    <w:p w14:paraId="20BFAD1B" w14:textId="23B82017" w:rsidR="00A02401" w:rsidRPr="007F4AD8" w:rsidRDefault="00A02401" w:rsidP="00A02401">
      <w:pPr>
        <w:pStyle w:val="AspexBodyStandard"/>
      </w:pPr>
      <w:r w:rsidRPr="007F4AD8">
        <w:t xml:space="preserve">The difference is due </w:t>
      </w:r>
      <w:r w:rsidR="00D27339" w:rsidRPr="007F4AD8">
        <w:t>main</w:t>
      </w:r>
      <w:r w:rsidR="00D27339">
        <w:t>ly</w:t>
      </w:r>
      <w:r w:rsidR="00D27339" w:rsidRPr="007F4AD8">
        <w:t xml:space="preserve"> </w:t>
      </w:r>
      <w:r w:rsidRPr="007F4AD8">
        <w:t>to the lower payment rates for patient review</w:t>
      </w:r>
      <w:r w:rsidR="0079120C">
        <w:t>/</w:t>
      </w:r>
      <w:r w:rsidR="005F7304" w:rsidRPr="007F4AD8">
        <w:t xml:space="preserve">treatment </w:t>
      </w:r>
      <w:r w:rsidRPr="007F4AD8">
        <w:t xml:space="preserve">consultation items between </w:t>
      </w:r>
      <w:r w:rsidR="00D270B7" w:rsidRPr="007F4AD8">
        <w:t xml:space="preserve">sexual health medicine </w:t>
      </w:r>
      <w:r w:rsidR="0079120C">
        <w:t xml:space="preserve">physicians </w:t>
      </w:r>
      <w:r w:rsidRPr="007F4AD8">
        <w:t xml:space="preserve">and </w:t>
      </w:r>
      <w:r w:rsidR="0067099E" w:rsidRPr="007F4AD8">
        <w:t>i</w:t>
      </w:r>
      <w:r w:rsidR="008C29C6" w:rsidRPr="007F4AD8">
        <w:t xml:space="preserve">nfectious </w:t>
      </w:r>
      <w:r w:rsidR="0067099E" w:rsidRPr="007F4AD8">
        <w:t>d</w:t>
      </w:r>
      <w:r w:rsidR="008C29C6" w:rsidRPr="007F4AD8">
        <w:t xml:space="preserve">isease </w:t>
      </w:r>
      <w:r w:rsidR="0067099E" w:rsidRPr="007F4AD8">
        <w:t>p</w:t>
      </w:r>
      <w:r w:rsidR="008C29C6" w:rsidRPr="007F4AD8">
        <w:t>hysician</w:t>
      </w:r>
      <w:r w:rsidR="0079120C">
        <w:t>s</w:t>
      </w:r>
      <w:r w:rsidRPr="007F4AD8">
        <w:t xml:space="preserve">.  </w:t>
      </w:r>
    </w:p>
    <w:p w14:paraId="74609955" w14:textId="1014454C" w:rsidR="000C7F68" w:rsidRPr="007F4AD8" w:rsidRDefault="000C7F68" w:rsidP="000C7F68">
      <w:pPr>
        <w:pStyle w:val="AspexBodyStandard"/>
      </w:pPr>
      <w:r w:rsidRPr="007F4AD8">
        <w:t xml:space="preserve">Importantly, the estimated out-of-pocket costs to patients, using historical differences, </w:t>
      </w:r>
      <w:r w:rsidR="00D27339">
        <w:t>for</w:t>
      </w:r>
      <w:r w:rsidRPr="007F4AD8">
        <w:t xml:space="preserve"> </w:t>
      </w:r>
      <w:r w:rsidR="00D270B7" w:rsidRPr="007F4AD8">
        <w:t xml:space="preserve">sexual health medicine </w:t>
      </w:r>
      <w:r w:rsidR="00D27339">
        <w:t>were</w:t>
      </w:r>
      <w:r w:rsidR="00D27339" w:rsidRPr="007F4AD8">
        <w:t xml:space="preserve"> </w:t>
      </w:r>
      <w:r w:rsidRPr="007F4AD8">
        <w:t>~$2.</w:t>
      </w:r>
      <w:r w:rsidR="005F7304" w:rsidRPr="007F4AD8">
        <w:t>020</w:t>
      </w:r>
      <w:r w:rsidR="000634D4">
        <w:t>m</w:t>
      </w:r>
      <w:r w:rsidR="005F7304" w:rsidRPr="007F4AD8">
        <w:t xml:space="preserve"> in 2015</w:t>
      </w:r>
      <w:r w:rsidRPr="007F4AD8">
        <w:t xml:space="preserve">, compared </w:t>
      </w:r>
      <w:r w:rsidR="00D27339">
        <w:t>with</w:t>
      </w:r>
      <w:r w:rsidR="00D27339" w:rsidRPr="007F4AD8">
        <w:t xml:space="preserve"> </w:t>
      </w:r>
      <w:r w:rsidRPr="007F4AD8">
        <w:t xml:space="preserve">out-of-pocket costs for </w:t>
      </w:r>
      <w:r w:rsidR="0067099E" w:rsidRPr="007F4AD8">
        <w:t>i</w:t>
      </w:r>
      <w:r w:rsidR="008C29C6" w:rsidRPr="007F4AD8">
        <w:t xml:space="preserve">nfectious </w:t>
      </w:r>
      <w:r w:rsidR="0067099E" w:rsidRPr="007F4AD8">
        <w:t>d</w:t>
      </w:r>
      <w:r w:rsidR="008C29C6" w:rsidRPr="007F4AD8">
        <w:t xml:space="preserve">isease </w:t>
      </w:r>
      <w:r w:rsidR="0067099E" w:rsidRPr="007F4AD8">
        <w:t>p</w:t>
      </w:r>
      <w:r w:rsidR="008C29C6" w:rsidRPr="007F4AD8">
        <w:t>hysician</w:t>
      </w:r>
      <w:r w:rsidR="005F7304" w:rsidRPr="007F4AD8">
        <w:t>s</w:t>
      </w:r>
      <w:r w:rsidRPr="007F4AD8">
        <w:t xml:space="preserve"> of $</w:t>
      </w:r>
      <w:r w:rsidR="005F7304" w:rsidRPr="007F4AD8">
        <w:t>1.934</w:t>
      </w:r>
      <w:r w:rsidR="000634D4">
        <w:t>m</w:t>
      </w:r>
      <w:r w:rsidRPr="007F4AD8">
        <w:t xml:space="preserve">.  This is a </w:t>
      </w:r>
      <w:r w:rsidR="005F7304" w:rsidRPr="007F4AD8">
        <w:t xml:space="preserve">minor </w:t>
      </w:r>
      <w:r w:rsidRPr="007F4AD8">
        <w:t>difference of ~$</w:t>
      </w:r>
      <w:r w:rsidR="005F7304" w:rsidRPr="007F4AD8">
        <w:t>0.086</w:t>
      </w:r>
      <w:r w:rsidR="000634D4">
        <w:t>m</w:t>
      </w:r>
      <w:r w:rsidR="00D27339">
        <w:t xml:space="preserve"> - </w:t>
      </w:r>
      <w:r w:rsidR="005F7304" w:rsidRPr="007F4AD8">
        <w:t>4.4%</w:t>
      </w:r>
      <w:r w:rsidRPr="007F4AD8">
        <w:t xml:space="preserve"> higher for </w:t>
      </w:r>
      <w:r w:rsidR="00BB4810" w:rsidRPr="007F4AD8">
        <w:t>sexual health medicine</w:t>
      </w:r>
      <w:r w:rsidR="005F7304" w:rsidRPr="007F4AD8">
        <w:t xml:space="preserve"> specialists compared </w:t>
      </w:r>
      <w:r w:rsidR="00D27339">
        <w:t>with</w:t>
      </w:r>
      <w:r w:rsidR="00D27339" w:rsidRPr="007F4AD8">
        <w:t xml:space="preserve"> </w:t>
      </w:r>
      <w:r w:rsidR="005F7304" w:rsidRPr="007F4AD8">
        <w:t>infectious disease physicians.</w:t>
      </w:r>
    </w:p>
    <w:p w14:paraId="38E73862" w14:textId="74040D01" w:rsidR="000C7F68" w:rsidRPr="007F4AD8" w:rsidRDefault="000C7F68" w:rsidP="000C7F68">
      <w:pPr>
        <w:pStyle w:val="AspexBodyStandard"/>
      </w:pPr>
      <w:r w:rsidRPr="007F4AD8">
        <w:t xml:space="preserve">The assumed mix of consultations between </w:t>
      </w:r>
      <w:r w:rsidR="00D270B7" w:rsidRPr="007F4AD8">
        <w:t xml:space="preserve">sexual health medicine </w:t>
      </w:r>
      <w:r w:rsidRPr="007F4AD8">
        <w:t xml:space="preserve">and </w:t>
      </w:r>
      <w:r w:rsidR="00D270B7" w:rsidRPr="007F4AD8">
        <w:t>infectious d</w:t>
      </w:r>
      <w:r w:rsidR="000634D4">
        <w:t>isease p</w:t>
      </w:r>
      <w:r w:rsidR="008C29C6" w:rsidRPr="007F4AD8">
        <w:t>hysician</w:t>
      </w:r>
      <w:r w:rsidRPr="007F4AD8">
        <w:t xml:space="preserve"> are the same; namely:</w:t>
      </w:r>
    </w:p>
    <w:p w14:paraId="196ACDAA" w14:textId="2C40B77F" w:rsidR="000C7F68" w:rsidRPr="007F4AD8" w:rsidRDefault="000C7F68" w:rsidP="000C7F68">
      <w:pPr>
        <w:pStyle w:val="AspexBullet1"/>
      </w:pPr>
      <w:r w:rsidRPr="007F4AD8">
        <w:t>Assessment (</w:t>
      </w:r>
      <w:r w:rsidR="005F7304" w:rsidRPr="007F4AD8">
        <w:t>21.4</w:t>
      </w:r>
      <w:r w:rsidRPr="007F4AD8">
        <w:t>%);</w:t>
      </w:r>
    </w:p>
    <w:p w14:paraId="31609FDE" w14:textId="11206997" w:rsidR="000C7F68" w:rsidRPr="007F4AD8" w:rsidRDefault="000C7F68" w:rsidP="000C7F68">
      <w:pPr>
        <w:pStyle w:val="AspexBullet1"/>
      </w:pPr>
      <w:r w:rsidRPr="007F4AD8">
        <w:t xml:space="preserve">Patient review </w:t>
      </w:r>
      <w:r w:rsidR="005F7304" w:rsidRPr="007F4AD8">
        <w:t>71.5</w:t>
      </w:r>
      <w:r w:rsidRPr="007F4AD8">
        <w:t>%); and</w:t>
      </w:r>
    </w:p>
    <w:p w14:paraId="62E1C876" w14:textId="2676E76F" w:rsidR="000C7F68" w:rsidRPr="007F4AD8" w:rsidRDefault="000C7F68" w:rsidP="000C7F68">
      <w:pPr>
        <w:pStyle w:val="AspexBullet1"/>
      </w:pPr>
      <w:r w:rsidRPr="007F4AD8">
        <w:t>Complex care planning &amp; Case Conferencing (</w:t>
      </w:r>
      <w:r w:rsidR="005F7304" w:rsidRPr="007F4AD8">
        <w:t>7.1</w:t>
      </w:r>
      <w:r w:rsidRPr="007F4AD8">
        <w:t>%).</w:t>
      </w:r>
    </w:p>
    <w:p w14:paraId="0AD43548" w14:textId="77777777" w:rsidR="000C7F68" w:rsidRPr="007F4AD8" w:rsidRDefault="000C7F68" w:rsidP="000C7F68">
      <w:pPr>
        <w:pStyle w:val="AspexBodyStandard"/>
      </w:pPr>
      <w:r w:rsidRPr="007F4AD8">
        <w:t>Sensitivity analysis of the assumed mix of items claimed indicates that:</w:t>
      </w:r>
    </w:p>
    <w:p w14:paraId="0A0CB98A" w14:textId="74B32768" w:rsidR="00A02401" w:rsidRPr="007F4AD8" w:rsidRDefault="00A02401" w:rsidP="00A02401">
      <w:pPr>
        <w:pStyle w:val="AspexBullet1"/>
      </w:pPr>
      <w:r w:rsidRPr="007F4AD8">
        <w:t xml:space="preserve">An increase of 10% in assessments and a commensurate decrease in patient reviews will impact on the </w:t>
      </w:r>
      <w:r w:rsidR="00EC7746" w:rsidRPr="007F4AD8">
        <w:t>outlays</w:t>
      </w:r>
      <w:r w:rsidR="002111AD" w:rsidRPr="007F4AD8">
        <w:t xml:space="preserve"> </w:t>
      </w:r>
      <w:r w:rsidRPr="007F4AD8">
        <w:t>by $</w:t>
      </w:r>
      <w:r w:rsidR="004C7F98">
        <w:t>136</w:t>
      </w:r>
      <w:r w:rsidR="000634D4">
        <w:t>k</w:t>
      </w:r>
      <w:r w:rsidRPr="007F4AD8">
        <w:t xml:space="preserve"> in 2015 or </w:t>
      </w:r>
      <w:r w:rsidR="004C7F98">
        <w:t>1.7</w:t>
      </w:r>
      <w:r w:rsidR="002111AD" w:rsidRPr="007F4AD8">
        <w:t>%</w:t>
      </w:r>
      <w:r w:rsidR="00D27339">
        <w:t>; and</w:t>
      </w:r>
    </w:p>
    <w:p w14:paraId="2536A752" w14:textId="7F98E499" w:rsidR="00A02401" w:rsidRPr="007F4AD8" w:rsidRDefault="00A02401" w:rsidP="00A02401">
      <w:pPr>
        <w:pStyle w:val="AspexBullet1"/>
      </w:pPr>
      <w:r w:rsidRPr="007F4AD8">
        <w:t>An increase of 10% in complex care and case conferences and a commensurate decrease in patient reviews w</w:t>
      </w:r>
      <w:r w:rsidR="004C7F98">
        <w:t>ill impact on the outlays by $29k in 2015 or 0.4</w:t>
      </w:r>
      <w:r w:rsidR="00DF2B72" w:rsidRPr="007F4AD8">
        <w:t>%</w:t>
      </w:r>
      <w:r w:rsidRPr="007F4AD8">
        <w:t>.</w:t>
      </w:r>
    </w:p>
    <w:p w14:paraId="3CBDB381" w14:textId="77777777" w:rsidR="00593506" w:rsidRPr="007F4AD8" w:rsidRDefault="005313B1" w:rsidP="007333CE">
      <w:pPr>
        <w:pStyle w:val="Heading2"/>
      </w:pPr>
      <w:bookmarkStart w:id="15" w:name="_Toc351480505"/>
      <w:r w:rsidRPr="007F4AD8">
        <w:lastRenderedPageBreak/>
        <w:t>Financial/budgetary impacts</w:t>
      </w:r>
      <w:bookmarkEnd w:id="15"/>
    </w:p>
    <w:p w14:paraId="549C36FA" w14:textId="17FBC6D5" w:rsidR="00A02401" w:rsidRPr="000634D4" w:rsidRDefault="00A02401" w:rsidP="00A02401">
      <w:pPr>
        <w:pStyle w:val="AspexBodyStandard"/>
      </w:pPr>
      <w:r w:rsidRPr="007F4AD8">
        <w:t xml:space="preserve">It is estimated that </w:t>
      </w:r>
      <w:r w:rsidR="00F74490" w:rsidRPr="007F4AD8">
        <w:t>76,857</w:t>
      </w:r>
      <w:r w:rsidRPr="007F4AD8">
        <w:t xml:space="preserve"> occasions of MBS billed service are currently provided </w:t>
      </w:r>
      <w:r w:rsidRPr="000634D4">
        <w:t xml:space="preserve">per annum (2012) for </w:t>
      </w:r>
      <w:r w:rsidR="00D270B7" w:rsidRPr="000634D4">
        <w:t>sexual health medicine</w:t>
      </w:r>
      <w:r w:rsidRPr="000634D4">
        <w:t>. Data on the frequency of use per patient per annum were unavailable from the MBS informat</w:t>
      </w:r>
      <w:r w:rsidR="00F80C24">
        <w:t>ion, however</w:t>
      </w:r>
      <w:r w:rsidRPr="000634D4">
        <w:t xml:space="preserve"> the overall average of assessments to patient treatments is one assessment to </w:t>
      </w:r>
      <w:r w:rsidR="00F74490" w:rsidRPr="000634D4">
        <w:t xml:space="preserve">3.5 </w:t>
      </w:r>
      <w:r w:rsidRPr="000634D4">
        <w:t>treatments.  However, this crude ratio masks a variety of models of care ranging from regular (monthly</w:t>
      </w:r>
      <w:r w:rsidR="00851E9B">
        <w:t>)</w:t>
      </w:r>
      <w:r w:rsidRPr="000634D4">
        <w:t xml:space="preserve"> pharmacotherapy treatments to single event assessment on a </w:t>
      </w:r>
      <w:r w:rsidR="00851E9B">
        <w:t>general practitioner</w:t>
      </w:r>
      <w:r w:rsidRPr="000634D4">
        <w:t xml:space="preserve"> </w:t>
      </w:r>
      <w:r w:rsidR="00851E9B">
        <w:t>(</w:t>
      </w:r>
      <w:r w:rsidRPr="000634D4">
        <w:t>GP</w:t>
      </w:r>
      <w:r w:rsidR="00851E9B">
        <w:t>)</w:t>
      </w:r>
      <w:r w:rsidRPr="000634D4">
        <w:t xml:space="preserve"> referral.</w:t>
      </w:r>
    </w:p>
    <w:p w14:paraId="07F5E9DE" w14:textId="4C17BA3A" w:rsidR="00A02401" w:rsidRPr="000634D4" w:rsidRDefault="00A02401" w:rsidP="00A02401">
      <w:pPr>
        <w:pStyle w:val="AspexBodyStandard"/>
      </w:pPr>
      <w:r w:rsidRPr="000634D4">
        <w:t xml:space="preserve">Current MBS fees </w:t>
      </w:r>
      <w:r w:rsidRPr="000634D4">
        <w:rPr>
          <w:b/>
          <w:i/>
        </w:rPr>
        <w:t>charged</w:t>
      </w:r>
      <w:r w:rsidRPr="000634D4">
        <w:t xml:space="preserve"> by </w:t>
      </w:r>
      <w:r w:rsidR="00D270B7" w:rsidRPr="000634D4">
        <w:t>sexual health medicine s</w:t>
      </w:r>
      <w:r w:rsidRPr="000634D4">
        <w:t>pecialists approximate $</w:t>
      </w:r>
      <w:r w:rsidR="00F74490" w:rsidRPr="000634D4">
        <w:t>6.389</w:t>
      </w:r>
      <w:r w:rsidRPr="000634D4">
        <w:t>m per annum</w:t>
      </w:r>
      <w:r w:rsidR="00B0022E" w:rsidRPr="000634D4">
        <w:t xml:space="preserve"> </w:t>
      </w:r>
      <w:r w:rsidR="0089737E">
        <w:t>(</w:t>
      </w:r>
      <w:r w:rsidR="00B0022E" w:rsidRPr="000634D4">
        <w:t>2012</w:t>
      </w:r>
      <w:r w:rsidR="0089737E">
        <w:t>)</w:t>
      </w:r>
      <w:r w:rsidRPr="000634D4">
        <w:t xml:space="preserve">.  At a </w:t>
      </w:r>
      <w:r w:rsidR="000C61A6">
        <w:t>consultant</w:t>
      </w:r>
      <w:r w:rsidR="004C7F98">
        <w:t xml:space="preserve"> </w:t>
      </w:r>
      <w:r w:rsidRPr="000634D4">
        <w:t>physician equivalent rate</w:t>
      </w:r>
      <w:r w:rsidR="0089737E">
        <w:t>,</w:t>
      </w:r>
      <w:r w:rsidRPr="000634D4">
        <w:t xml:space="preserve"> MBS fees would approximate $</w:t>
      </w:r>
      <w:r w:rsidR="00F74490" w:rsidRPr="000634D4">
        <w:t>7.927</w:t>
      </w:r>
      <w:r w:rsidRPr="000634D4">
        <w:t>m</w:t>
      </w:r>
      <w:r w:rsidR="00B0022E" w:rsidRPr="000634D4">
        <w:t xml:space="preserve"> in 2013</w:t>
      </w:r>
      <w:r w:rsidRPr="000634D4">
        <w:t>, and at a</w:t>
      </w:r>
      <w:r w:rsidR="00B0022E" w:rsidRPr="000634D4">
        <w:t>n</w:t>
      </w:r>
      <w:r w:rsidRPr="000634D4">
        <w:t xml:space="preserve"> </w:t>
      </w:r>
      <w:r w:rsidR="000634D4">
        <w:t>infectious disease p</w:t>
      </w:r>
      <w:r w:rsidR="008C29C6" w:rsidRPr="000634D4">
        <w:t>hysician</w:t>
      </w:r>
      <w:r w:rsidRPr="000634D4">
        <w:t xml:space="preserve"> equivalent rate</w:t>
      </w:r>
      <w:r w:rsidR="0089737E">
        <w:t>,</w:t>
      </w:r>
      <w:r w:rsidRPr="000634D4">
        <w:t xml:space="preserve"> MBS fees would approximate $</w:t>
      </w:r>
      <w:r w:rsidR="00F74490" w:rsidRPr="000634D4">
        <w:t>7.975</w:t>
      </w:r>
      <w:r w:rsidRPr="000634D4">
        <w:t>m per annum.</w:t>
      </w:r>
    </w:p>
    <w:p w14:paraId="0019A359" w14:textId="3037E860" w:rsidR="00A02401" w:rsidRPr="000634D4" w:rsidRDefault="00A02401" w:rsidP="00A02401">
      <w:pPr>
        <w:pStyle w:val="AspexBodyStandard"/>
      </w:pPr>
      <w:r w:rsidRPr="000634D4">
        <w:t xml:space="preserve">Significant differences in out-of-pocket expenses were observed across the three scenarios.  Patients receiving current services </w:t>
      </w:r>
      <w:r w:rsidR="00B0022E" w:rsidRPr="000634D4">
        <w:t xml:space="preserve">have out-of-pocket expenses of $1.245m </w:t>
      </w:r>
      <w:r w:rsidR="0089737E">
        <w:t>(</w:t>
      </w:r>
      <w:r w:rsidR="00B0022E" w:rsidRPr="000634D4">
        <w:t>2012</w:t>
      </w:r>
      <w:r w:rsidR="0089737E">
        <w:t>)</w:t>
      </w:r>
      <w:r w:rsidR="00B0022E" w:rsidRPr="000634D4">
        <w:t xml:space="preserve">. </w:t>
      </w:r>
      <w:r w:rsidR="0089737E">
        <w:t xml:space="preserve"> </w:t>
      </w:r>
      <w:r w:rsidR="00B0022E" w:rsidRPr="000634D4">
        <w:t>P</w:t>
      </w:r>
      <w:r w:rsidRPr="000634D4">
        <w:t>atients receiving services under a</w:t>
      </w:r>
      <w:r w:rsidR="00F80C24">
        <w:t>n</w:t>
      </w:r>
      <w:r w:rsidRPr="000634D4">
        <w:t xml:space="preserve"> </w:t>
      </w:r>
      <w:r w:rsidR="0067099E" w:rsidRPr="000634D4">
        <w:t>i</w:t>
      </w:r>
      <w:r w:rsidR="008C29C6" w:rsidRPr="000634D4">
        <w:t xml:space="preserve">nfectious </w:t>
      </w:r>
      <w:r w:rsidR="0067099E" w:rsidRPr="000634D4">
        <w:t>d</w:t>
      </w:r>
      <w:r w:rsidR="008C29C6" w:rsidRPr="000634D4">
        <w:t xml:space="preserve">isease </w:t>
      </w:r>
      <w:r w:rsidR="0067099E" w:rsidRPr="000634D4">
        <w:t>p</w:t>
      </w:r>
      <w:r w:rsidR="008C29C6" w:rsidRPr="000634D4">
        <w:t>hysician</w:t>
      </w:r>
      <w:r w:rsidRPr="000634D4">
        <w:t xml:space="preserve"> equivalent level of reimbursement ha</w:t>
      </w:r>
      <w:r w:rsidR="00B0022E" w:rsidRPr="000634D4">
        <w:t xml:space="preserve">ve </w:t>
      </w:r>
      <w:r w:rsidRPr="000634D4">
        <w:t>out-of-pocket costs</w:t>
      </w:r>
      <w:r w:rsidR="00B0022E" w:rsidRPr="000634D4">
        <w:t xml:space="preserve"> of $1.780m in 2013</w:t>
      </w:r>
      <w:r w:rsidRPr="000634D4">
        <w:t xml:space="preserve">, compared with those receiving services under a </w:t>
      </w:r>
      <w:r w:rsidR="000C61A6">
        <w:t xml:space="preserve">consultant </w:t>
      </w:r>
      <w:r w:rsidRPr="000634D4">
        <w:t>physician equivalent level of MBS reimbursement</w:t>
      </w:r>
      <w:r w:rsidR="00B0022E" w:rsidRPr="000634D4">
        <w:t xml:space="preserve"> of $1.643m</w:t>
      </w:r>
      <w:r w:rsidR="000634D4">
        <w:t>.</w:t>
      </w:r>
    </w:p>
    <w:p w14:paraId="729C3B8F" w14:textId="656BE920" w:rsidR="00A02401" w:rsidRPr="000634D4" w:rsidRDefault="00A02401" w:rsidP="00A02401">
      <w:pPr>
        <w:pStyle w:val="AspexBodyStandard"/>
      </w:pPr>
      <w:r w:rsidRPr="000634D4">
        <w:t xml:space="preserve">It was assumed that the availability of a consistent MBS fee across all </w:t>
      </w:r>
      <w:r w:rsidR="00D270B7" w:rsidRPr="000634D4">
        <w:t xml:space="preserve">sexual health medicine </w:t>
      </w:r>
      <w:r w:rsidRPr="000634D4">
        <w:t xml:space="preserve">specialists would provide an incentive for additional work to take place in the private sector. Based upon feedback from specialists, this was estimated to be up to an additional 2 sessions (1 day) per week. When modelled together with the projected decline in workforce over a three-year period (2013-2015), it was estimated that </w:t>
      </w:r>
      <w:r w:rsidR="00273DAF" w:rsidRPr="000634D4">
        <w:t xml:space="preserve">the number of </w:t>
      </w:r>
      <w:r w:rsidRPr="000634D4">
        <w:t xml:space="preserve">episodes of care </w:t>
      </w:r>
      <w:r w:rsidR="00273DAF" w:rsidRPr="000634D4">
        <w:t>would be virtually unchanged.</w:t>
      </w:r>
    </w:p>
    <w:p w14:paraId="6C8C5BD7" w14:textId="775A9BBA" w:rsidR="00A02401" w:rsidRPr="0043083E" w:rsidRDefault="00A02401" w:rsidP="00A02401">
      <w:pPr>
        <w:pStyle w:val="AspexBodyStandard"/>
      </w:pPr>
      <w:r w:rsidRPr="000634D4">
        <w:t>There was insufficient data to identify or model the impact of any changes in MBS item numbers upon the Medicare Safety Net or Extended Medicare Safety Net</w:t>
      </w:r>
      <w:r w:rsidR="00091A78">
        <w:t xml:space="preserve"> (EMSN</w:t>
      </w:r>
      <w:r w:rsidR="00091A78" w:rsidRPr="00091A78">
        <w:rPr>
          <w:szCs w:val="22"/>
        </w:rPr>
        <w:t>)</w:t>
      </w:r>
      <w:r w:rsidRPr="00091A78">
        <w:rPr>
          <w:szCs w:val="22"/>
        </w:rPr>
        <w:t>.</w:t>
      </w:r>
      <w:r w:rsidR="00091A78" w:rsidRPr="00091A78">
        <w:rPr>
          <w:szCs w:val="22"/>
        </w:rPr>
        <w:t xml:space="preserve">  </w:t>
      </w:r>
      <w:r w:rsidR="00091A78" w:rsidRPr="00F333A1">
        <w:rPr>
          <w:rFonts w:cs="Arial"/>
          <w:szCs w:val="22"/>
        </w:rPr>
        <w:t>However, any new 'Group' of MBS items for sexual health medicine would have EMSN capping in line with other existing profes</w:t>
      </w:r>
      <w:r w:rsidR="001830BA" w:rsidRPr="00F333A1">
        <w:rPr>
          <w:rFonts w:cs="Arial"/>
          <w:szCs w:val="22"/>
        </w:rPr>
        <w:t>sional attendance item 'Groups'</w:t>
      </w:r>
      <w:r w:rsidR="00091A78" w:rsidRPr="00F333A1">
        <w:rPr>
          <w:rFonts w:cs="Arial"/>
          <w:szCs w:val="22"/>
        </w:rPr>
        <w:t xml:space="preserve"> (</w:t>
      </w:r>
      <w:r w:rsidR="001830BA" w:rsidRPr="00F333A1">
        <w:rPr>
          <w:rFonts w:cs="Arial"/>
          <w:szCs w:val="22"/>
        </w:rPr>
        <w:t>s</w:t>
      </w:r>
      <w:r w:rsidR="00091A78" w:rsidRPr="00F333A1">
        <w:rPr>
          <w:rFonts w:cs="Arial"/>
          <w:szCs w:val="22"/>
        </w:rPr>
        <w:t>ee Section 1.17 for more information).</w:t>
      </w:r>
      <w:r w:rsidRPr="00F333A1">
        <w:t>Thus</w:t>
      </w:r>
      <w:r w:rsidRPr="000634D4">
        <w:t xml:space="preserve">, under a </w:t>
      </w:r>
      <w:r w:rsidR="000C61A6">
        <w:t xml:space="preserve">consultant </w:t>
      </w:r>
      <w:r w:rsidRPr="000634D4">
        <w:t>physician equivalent MBS item (adjusting for anticipated increases in private sector employment and identified reductions in the specialist workforce), a net increase to the MBS budget of $</w:t>
      </w:r>
      <w:r w:rsidR="00273DAF" w:rsidRPr="000634D4">
        <w:t>2.069m</w:t>
      </w:r>
      <w:r w:rsidRPr="000634D4">
        <w:t xml:space="preserve"> in 2013, $</w:t>
      </w:r>
      <w:r w:rsidR="00273DAF" w:rsidRPr="000634D4">
        <w:t>2.281m</w:t>
      </w:r>
      <w:r w:rsidRPr="000634D4">
        <w:t xml:space="preserve"> in 2014 and $</w:t>
      </w:r>
      <w:r w:rsidR="00273DAF" w:rsidRPr="000634D4">
        <w:t>2.188</w:t>
      </w:r>
      <w:r w:rsidRPr="000634D4">
        <w:t>m in 2015 (indexed)</w:t>
      </w:r>
      <w:r w:rsidR="003E30A8">
        <w:t xml:space="preserve"> has been </w:t>
      </w:r>
      <w:r w:rsidR="00825B88">
        <w:t>forecast</w:t>
      </w:r>
      <w:r w:rsidR="003E30A8">
        <w:t>.</w:t>
      </w:r>
    </w:p>
    <w:p w14:paraId="5FAC31BA" w14:textId="77777777" w:rsidR="00A13F84" w:rsidRDefault="005313B1" w:rsidP="007333CE">
      <w:pPr>
        <w:pStyle w:val="Heading2"/>
      </w:pPr>
      <w:bookmarkStart w:id="16" w:name="_Toc351480506"/>
      <w:r>
        <w:t>Key Issues for MSAC</w:t>
      </w:r>
      <w:bookmarkEnd w:id="16"/>
    </w:p>
    <w:p w14:paraId="6BFC98B1" w14:textId="77777777" w:rsidR="0043083E" w:rsidRPr="0014785D" w:rsidRDefault="00105298" w:rsidP="00F44503">
      <w:pPr>
        <w:pStyle w:val="Heading4"/>
      </w:pPr>
      <w:r w:rsidRPr="0014785D">
        <w:t>Main issues relating to the proposed eligible population</w:t>
      </w:r>
    </w:p>
    <w:p w14:paraId="547A9C43" w14:textId="5CEAD1F2" w:rsidR="00D65EE7" w:rsidRPr="0014785D" w:rsidRDefault="004F4531" w:rsidP="0043083E">
      <w:pPr>
        <w:pStyle w:val="AspexBodyStandard"/>
      </w:pPr>
      <w:r w:rsidRPr="0014785D">
        <w:t xml:space="preserve">The proposed eligible population </w:t>
      </w:r>
      <w:r w:rsidR="00BC09F9" w:rsidRPr="0014785D">
        <w:t xml:space="preserve">that is </w:t>
      </w:r>
      <w:r w:rsidRPr="0014785D">
        <w:t xml:space="preserve">likely to benefit from </w:t>
      </w:r>
      <w:r w:rsidR="00D270B7" w:rsidRPr="0014785D">
        <w:t xml:space="preserve">sexual health medicine </w:t>
      </w:r>
      <w:r w:rsidRPr="0014785D">
        <w:t xml:space="preserve">services can only be estimated from available population </w:t>
      </w:r>
      <w:r w:rsidR="00B75239" w:rsidRPr="0014785D">
        <w:t>studies</w:t>
      </w:r>
      <w:r w:rsidR="003E30A8">
        <w:t>,</w:t>
      </w:r>
      <w:r w:rsidR="00B75239" w:rsidRPr="0014785D">
        <w:t xml:space="preserve"> which indicate that sexual health problems such as sexually transmi</w:t>
      </w:r>
      <w:r w:rsidR="00997440">
        <w:t>ssible</w:t>
      </w:r>
      <w:r w:rsidR="00B75239" w:rsidRPr="0014785D">
        <w:t xml:space="preserve"> infections are under</w:t>
      </w:r>
      <w:r w:rsidR="003E30A8">
        <w:t>-</w:t>
      </w:r>
      <w:r w:rsidR="00B75239" w:rsidRPr="0014785D">
        <w:t>diagnosed</w:t>
      </w:r>
      <w:r w:rsidRPr="0014785D">
        <w:t xml:space="preserve">.  </w:t>
      </w:r>
    </w:p>
    <w:p w14:paraId="7EC987C9" w14:textId="3B69CEE7" w:rsidR="00105298" w:rsidRPr="0014785D" w:rsidRDefault="004F4531" w:rsidP="0043083E">
      <w:pPr>
        <w:pStyle w:val="AspexBodyStandard"/>
      </w:pPr>
      <w:r w:rsidRPr="0014785D">
        <w:t xml:space="preserve">Despite the estimated number of Australians reporting symptoms consistent with </w:t>
      </w:r>
      <w:r w:rsidR="00E82071" w:rsidRPr="0014785D">
        <w:t xml:space="preserve">sexually </w:t>
      </w:r>
      <w:r w:rsidR="0067099E">
        <w:t xml:space="preserve">transmissible </w:t>
      </w:r>
      <w:r w:rsidR="00E82071" w:rsidRPr="0014785D">
        <w:t>infections and blood borne viruses</w:t>
      </w:r>
      <w:r w:rsidRPr="0014785D">
        <w:t>, the actual number of individuals who recognise these symptoms as problematic</w:t>
      </w:r>
      <w:r w:rsidR="0067099E">
        <w:t>,</w:t>
      </w:r>
      <w:r w:rsidRPr="0014785D">
        <w:t xml:space="preserve"> and </w:t>
      </w:r>
      <w:r w:rsidR="003E30A8">
        <w:t xml:space="preserve">who </w:t>
      </w:r>
      <w:r w:rsidRPr="0014785D">
        <w:t>subsequently seek treatment</w:t>
      </w:r>
      <w:r w:rsidR="0067099E">
        <w:t>,</w:t>
      </w:r>
      <w:r w:rsidRPr="0014785D">
        <w:t xml:space="preserve"> remains unknown.  </w:t>
      </w:r>
      <w:r w:rsidR="00B75239" w:rsidRPr="0014785D">
        <w:t>N</w:t>
      </w:r>
      <w:r w:rsidRPr="0014785D">
        <w:t>evertheless, some attempt to estimate the potential demand has been made, using the best available information.</w:t>
      </w:r>
    </w:p>
    <w:p w14:paraId="146B14DF" w14:textId="77777777" w:rsidR="00105298" w:rsidRPr="0014785D" w:rsidRDefault="00105298" w:rsidP="00F44503">
      <w:pPr>
        <w:pStyle w:val="Heading4"/>
      </w:pPr>
      <w:r w:rsidRPr="0014785D">
        <w:lastRenderedPageBreak/>
        <w:t>Main issues around the evidence and conclusions for safety</w:t>
      </w:r>
    </w:p>
    <w:p w14:paraId="6B0C6362" w14:textId="77777777" w:rsidR="00105298" w:rsidRPr="0014785D" w:rsidRDefault="00BC09F9" w:rsidP="0043083E">
      <w:pPr>
        <w:pStyle w:val="AspexBodyStandard"/>
      </w:pPr>
      <w:r w:rsidRPr="0014785D">
        <w:t xml:space="preserve">The safety of pharmacotherapies listed on the Pharmaceutical Benefits Scheme (PBS) and prescribed to treat patients with </w:t>
      </w:r>
      <w:r w:rsidR="00B75239" w:rsidRPr="0014785D">
        <w:t>sexual health</w:t>
      </w:r>
      <w:r w:rsidRPr="0014785D">
        <w:t xml:space="preserve"> problems has been previously established.  The safety of psychosocial interventions is more difficult to ascertain, as it is dependent upon the appropriate training and qualifications of those delivering specific interventions.  Training and ongoing professional accreditation remains within the purview of individual medical Colleges.  </w:t>
      </w:r>
      <w:r w:rsidR="00D270B7" w:rsidRPr="0014785D">
        <w:t>Sexual health medicine</w:t>
      </w:r>
      <w:r w:rsidRPr="0014785D">
        <w:t xml:space="preserve"> specialists are trained and professionally accredited to deliver a wide range of psychosocial interventions.  Thus, there is no evidence that the safety of pharmacotherapy or psychosocial interventions will be any worse than the safety of the same interventions delivered by other appropriately qualified medical practitioners.</w:t>
      </w:r>
    </w:p>
    <w:p w14:paraId="554DA587" w14:textId="77777777" w:rsidR="00105298" w:rsidRPr="0014785D" w:rsidRDefault="00105298" w:rsidP="00F44503">
      <w:pPr>
        <w:pStyle w:val="Heading4"/>
      </w:pPr>
      <w:r w:rsidRPr="0014785D">
        <w:t>Main issues around the evidence and conclusions for clinical effectiveness</w:t>
      </w:r>
    </w:p>
    <w:p w14:paraId="1ED420DC" w14:textId="11F90E18" w:rsidR="00105298" w:rsidRPr="0014785D" w:rsidRDefault="00BC09F9" w:rsidP="0043083E">
      <w:pPr>
        <w:pStyle w:val="AspexBodyStandard"/>
      </w:pPr>
      <w:r w:rsidRPr="0014785D">
        <w:t xml:space="preserve">The effectiveness of pharmacotherapies listed on the PBS and prescribed to treat patients with </w:t>
      </w:r>
      <w:r w:rsidR="00123CA1">
        <w:t>sexual health</w:t>
      </w:r>
      <w:r w:rsidRPr="0014785D">
        <w:t xml:space="preserve"> problems has also been previously established.  The clinical effectiveness of individual pharmacotherapies and other psychosocial interventions is evident across a range of systematic reviews.  Importantly, the scientific literature highlights the enhanced effectiveness of combining pharmacotherapy with behavioural and other psychological interventions delivered in specialist treatment environments.  </w:t>
      </w:r>
      <w:r w:rsidR="00D270B7" w:rsidRPr="0014785D">
        <w:t>Sexual health medicine</w:t>
      </w:r>
      <w:r w:rsidRPr="0014785D">
        <w:t xml:space="preserve"> specialists are well placed to deliver these services.  Thus there is no evidence that the clinical effectiveness of interventions to address </w:t>
      </w:r>
      <w:r w:rsidR="00123CA1">
        <w:t>sexual health</w:t>
      </w:r>
      <w:r w:rsidRPr="0014785D">
        <w:t xml:space="preserve"> related problems by </w:t>
      </w:r>
      <w:r w:rsidR="00D270B7" w:rsidRPr="0014785D">
        <w:t xml:space="preserve">sexual health medicine </w:t>
      </w:r>
      <w:r w:rsidRPr="0014785D">
        <w:t>specialists would be any worse off than the effectiveness of the same interventions provided by alternative medical specialties.</w:t>
      </w:r>
    </w:p>
    <w:p w14:paraId="7347EDF4" w14:textId="77777777" w:rsidR="00105298" w:rsidRPr="0014785D" w:rsidRDefault="00105298" w:rsidP="00F44503">
      <w:pPr>
        <w:pStyle w:val="Heading4"/>
      </w:pPr>
      <w:r w:rsidRPr="0014785D">
        <w:t>Other important clinical issues and areas of clinical uncertainty</w:t>
      </w:r>
    </w:p>
    <w:p w14:paraId="2980B203" w14:textId="77777777" w:rsidR="00105298" w:rsidRPr="0014785D" w:rsidRDefault="00BC09F9" w:rsidP="0043083E">
      <w:pPr>
        <w:pStyle w:val="AspexBodyStandard"/>
      </w:pPr>
      <w:r w:rsidRPr="0014785D">
        <w:t xml:space="preserve">It is acknowledged that the specialty of </w:t>
      </w:r>
      <w:r w:rsidR="00D270B7" w:rsidRPr="0014785D">
        <w:t xml:space="preserve">sexual health medicine </w:t>
      </w:r>
      <w:r w:rsidRPr="0014785D">
        <w:t>has</w:t>
      </w:r>
      <w:r w:rsidR="00B75239" w:rsidRPr="0014785D">
        <w:t xml:space="preserve"> only recently been recognised.</w:t>
      </w:r>
      <w:r w:rsidRPr="0014785D">
        <w:t xml:space="preserve"> As such, there has been limited time to develop and implement specific randomised controlled trials examining the safety and effectiveness of interventions delivered by this group of specialists with </w:t>
      </w:r>
      <w:r w:rsidR="001D6561" w:rsidRPr="0014785D">
        <w:t>interventions provided by other specialists.</w:t>
      </w:r>
    </w:p>
    <w:p w14:paraId="4939E70B" w14:textId="77777777" w:rsidR="00105298" w:rsidRPr="0014785D" w:rsidRDefault="00105298" w:rsidP="00F44503">
      <w:pPr>
        <w:pStyle w:val="Heading4"/>
      </w:pPr>
      <w:r w:rsidRPr="0014785D">
        <w:t>Main economic issues and areas of uncertainty</w:t>
      </w:r>
    </w:p>
    <w:p w14:paraId="4D61758D" w14:textId="06C6B86C" w:rsidR="001D6561" w:rsidRPr="001D6561" w:rsidRDefault="001D6561" w:rsidP="001D6561">
      <w:pPr>
        <w:pStyle w:val="AspexBodyStandard"/>
      </w:pPr>
      <w:r w:rsidRPr="0014785D">
        <w:t xml:space="preserve">Economic analysis has relied upon an examination of the relative cost efficiency of services provided by </w:t>
      </w:r>
      <w:r w:rsidR="00D270B7" w:rsidRPr="0014785D">
        <w:t xml:space="preserve">sexual health medicine </w:t>
      </w:r>
      <w:r w:rsidRPr="0014785D">
        <w:t xml:space="preserve">specialists funded under current MBS arrangements, versus physician equivalent </w:t>
      </w:r>
      <w:r w:rsidR="00A02401" w:rsidRPr="0014785D">
        <w:t>benefits</w:t>
      </w:r>
      <w:r w:rsidRPr="0014785D">
        <w:t xml:space="preserve">, and </w:t>
      </w:r>
      <w:r w:rsidR="0067099E">
        <w:t>i</w:t>
      </w:r>
      <w:r w:rsidR="008C29C6" w:rsidRPr="0014785D">
        <w:t xml:space="preserve">nfectious </w:t>
      </w:r>
      <w:r w:rsidR="0067099E">
        <w:t>d</w:t>
      </w:r>
      <w:r w:rsidR="008C29C6" w:rsidRPr="0014785D">
        <w:t xml:space="preserve">isease </w:t>
      </w:r>
      <w:r w:rsidR="0067099E">
        <w:t>p</w:t>
      </w:r>
      <w:r w:rsidR="008C29C6" w:rsidRPr="0014785D">
        <w:t>hysician</w:t>
      </w:r>
      <w:r w:rsidRPr="0014785D">
        <w:t xml:space="preserve"> equivalent </w:t>
      </w:r>
      <w:r w:rsidR="00A02401" w:rsidRPr="0014785D">
        <w:t>benefits</w:t>
      </w:r>
      <w:r w:rsidRPr="0014785D">
        <w:t>.  In the absence of specific studies focusing upon relative differences in clinical outcomes achieved by this group of specialists, analysis has relied upon the assumption that clinical outcomes will be no worse off.  A comparison of costs has occurred within this context.  It is acknowledged that no better information is currently available to inform the economic analysis.</w:t>
      </w:r>
      <w:r>
        <w:t xml:space="preserve"> </w:t>
      </w:r>
    </w:p>
    <w:p w14:paraId="2EE772EC" w14:textId="77777777" w:rsidR="005313B1" w:rsidRDefault="005313B1" w:rsidP="007333CE">
      <w:pPr>
        <w:pStyle w:val="Heading2"/>
      </w:pPr>
      <w:bookmarkStart w:id="17" w:name="_Toc351480507"/>
      <w:r>
        <w:t>Other significant factors</w:t>
      </w:r>
      <w:bookmarkEnd w:id="17"/>
    </w:p>
    <w:p w14:paraId="00309344" w14:textId="77777777" w:rsidR="001D6561" w:rsidRDefault="001D6561" w:rsidP="0043083E">
      <w:pPr>
        <w:pStyle w:val="AspexBodyStandard"/>
      </w:pPr>
      <w:r>
        <w:t xml:space="preserve">Several additional factors are worthy of consideration in relation to the current submission by </w:t>
      </w:r>
      <w:r w:rsidR="00D270B7" w:rsidRPr="00D270B7">
        <w:t xml:space="preserve">sexual health medicine </w:t>
      </w:r>
      <w:r>
        <w:t>specialists for new MBS items, namely that:</w:t>
      </w:r>
    </w:p>
    <w:p w14:paraId="628E4EC6" w14:textId="77777777" w:rsidR="001D6561" w:rsidRDefault="001D6561" w:rsidP="00D270B7">
      <w:pPr>
        <w:pStyle w:val="AspexBullet1"/>
      </w:pPr>
      <w:r>
        <w:lastRenderedPageBreak/>
        <w:t>C</w:t>
      </w:r>
      <w:r w:rsidR="0043083E">
        <w:t xml:space="preserve">urrent funding arrangements </w:t>
      </w:r>
      <w:r>
        <w:t xml:space="preserve">available through the MBS present inequities in access to reimbursement of services by different </w:t>
      </w:r>
      <w:r w:rsidR="00D270B7" w:rsidRPr="00D270B7">
        <w:t xml:space="preserve">sexual health medicine </w:t>
      </w:r>
      <w:r>
        <w:t xml:space="preserve">specialists:  Many specialists have dual fellowship with another medical college and can access items available to other medical practitioners in order to achieve a higher rebate for services provided to patients.  Other specialists who only have fellowship with the Chapter of </w:t>
      </w:r>
      <w:r w:rsidR="008C29C6">
        <w:t>Sexual Health Medicine</w:t>
      </w:r>
      <w:r>
        <w:t xml:space="preserve"> are unable to access these levels of rebate and thus receive reimbursement for services that is equivalent to medical practitioners who have undergone no specialty training.</w:t>
      </w:r>
    </w:p>
    <w:p w14:paraId="0870EF2E" w14:textId="77777777" w:rsidR="001D6561" w:rsidRDefault="001D6561" w:rsidP="00D270B7">
      <w:pPr>
        <w:pStyle w:val="AspexBullet1"/>
      </w:pPr>
      <w:r>
        <w:t xml:space="preserve">Current funding arrangements available through the MBS present inequities in reimbursement arrangements between </w:t>
      </w:r>
      <w:r w:rsidR="00D270B7" w:rsidRPr="00D270B7">
        <w:t xml:space="preserve">sexual health medicine </w:t>
      </w:r>
      <w:r>
        <w:t>specialists and other specialists recognised by the Australian Medical Council and the Australian Government.</w:t>
      </w:r>
    </w:p>
    <w:p w14:paraId="6F947320" w14:textId="4EFBC63C" w:rsidR="001D6561" w:rsidRDefault="001D6561" w:rsidP="00D270B7">
      <w:pPr>
        <w:pStyle w:val="AspexBullet1"/>
      </w:pPr>
      <w:r>
        <w:t xml:space="preserve">Current funding arrangements have been reported to be a disincentive for trainees considering a future in </w:t>
      </w:r>
      <w:r w:rsidR="00D270B7" w:rsidRPr="00D270B7">
        <w:t>sexual health medicine</w:t>
      </w:r>
      <w:r>
        <w:t xml:space="preserve">.  Inequitable reimbursement arrangements compared to other specialty areas has been reported to limit </w:t>
      </w:r>
      <w:r w:rsidR="00765AD7">
        <w:t xml:space="preserve">employment opportunities </w:t>
      </w:r>
      <w:r w:rsidR="00327D87">
        <w:t xml:space="preserve">largely </w:t>
      </w:r>
      <w:r w:rsidR="00765AD7">
        <w:t>to public sector services. The capacity to engage in full scope of practice in the private sector has been limited.  Workforce numbers are in decline and attraction of new trainees is considered important to maintain the viability and sustainability of the speciality area.</w:t>
      </w:r>
    </w:p>
    <w:p w14:paraId="2D119467" w14:textId="3A90DD29" w:rsidR="005313B1" w:rsidRDefault="005313B1" w:rsidP="007333CE">
      <w:pPr>
        <w:pStyle w:val="Heading2"/>
      </w:pPr>
      <w:bookmarkStart w:id="18" w:name="_Toc351480508"/>
      <w:r>
        <w:t>Summary of consideration and rational</w:t>
      </w:r>
      <w:r w:rsidR="00825B88">
        <w:t>e</w:t>
      </w:r>
      <w:r>
        <w:t xml:space="preserve"> for MSAC’s advice</w:t>
      </w:r>
      <w:bookmarkEnd w:id="18"/>
    </w:p>
    <w:p w14:paraId="1676FDF9" w14:textId="37850835" w:rsidR="00105298" w:rsidRPr="00105298" w:rsidRDefault="00765AD7" w:rsidP="00D270B7">
      <w:pPr>
        <w:pStyle w:val="AspexBodyStandard"/>
      </w:pPr>
      <w:r>
        <w:t xml:space="preserve">In summary, despite difficulties identifying accurate estimates of community demand for services, there appears to be significant demand for services to address </w:t>
      </w:r>
      <w:r w:rsidR="00123CA1">
        <w:t>sexual health</w:t>
      </w:r>
      <w:r>
        <w:t xml:space="preserve"> problems.  The interventions provided by </w:t>
      </w:r>
      <w:r w:rsidR="00D270B7" w:rsidRPr="00D270B7">
        <w:t xml:space="preserve">sexual health medicine </w:t>
      </w:r>
      <w:r>
        <w:t xml:space="preserve">specialists appear to be no worse off in terms of safety or clinical effectiveness than the same services provided across a range of alternative medical specialists.  Financial modelling indicates that any services provided by </w:t>
      </w:r>
      <w:r w:rsidR="00D270B7" w:rsidRPr="00D270B7">
        <w:t xml:space="preserve">sexual health medicine </w:t>
      </w:r>
      <w:r>
        <w:t>specialists are likely to be more cost-effective and result in lower out-of-pocket costs to patients</w:t>
      </w:r>
      <w:r w:rsidR="00327D87">
        <w:t xml:space="preserve"> compared with </w:t>
      </w:r>
      <w:r>
        <w:t>the same services provided by other medical specialists.</w:t>
      </w:r>
    </w:p>
    <w:p w14:paraId="6DFA0907" w14:textId="4BDF6B20" w:rsidR="00414D6F" w:rsidRDefault="00091A78" w:rsidP="007333CE">
      <w:pPr>
        <w:pStyle w:val="Heading2"/>
      </w:pPr>
      <w:bookmarkStart w:id="19" w:name="_Toc351480509"/>
      <w:r>
        <w:t>Proposed new items for sexual health medicine</w:t>
      </w:r>
      <w:bookmarkEnd w:id="19"/>
      <w:r>
        <w:t xml:space="preserve"> </w:t>
      </w:r>
    </w:p>
    <w:p w14:paraId="2C394E00" w14:textId="482797E7" w:rsidR="00105298" w:rsidRDefault="00105298" w:rsidP="00105298">
      <w:pPr>
        <w:pStyle w:val="AspexBodyStandard"/>
      </w:pPr>
      <w:r>
        <w:t xml:space="preserve">After considering the strength of the available evidence in relation to the demand, safety, effectiveness and anticipated cost of MBS items for </w:t>
      </w:r>
      <w:r w:rsidR="00D270B7" w:rsidRPr="00D270B7">
        <w:t>sexual health medicine</w:t>
      </w:r>
      <w:r>
        <w:t xml:space="preserve">, </w:t>
      </w:r>
      <w:r w:rsidR="0067099E">
        <w:t>this contracted assessment concludes that MBS item descriptors could be similar to those detailed below</w:t>
      </w:r>
      <w:r>
        <w:t>.</w:t>
      </w:r>
    </w:p>
    <w:p w14:paraId="778735C2" w14:textId="6A8922B7" w:rsidR="0067099E" w:rsidRDefault="0067099E" w:rsidP="0067099E">
      <w:pPr>
        <w:pStyle w:val="AspexBodyStandard"/>
      </w:pPr>
      <w:r>
        <w:t xml:space="preserve">To ensure policy consistency between existing MBS item groups, it is also advised that Extended Medicare Safety Net capping be applied to the new </w:t>
      </w:r>
      <w:r w:rsidR="00091A78">
        <w:t xml:space="preserve">sexual health </w:t>
      </w:r>
      <w:r>
        <w:t xml:space="preserve">medicine MBS Group, at a suitable time after MBS listing of the new items.  Given both houses of parliament will need to vote on and pass this part of the listing, the EMSN capping may not occur until early in 2014 (in the context of the 2013 federal election and associated parliamentary shut-down).  The financial risk of initially listing new professional attendance items in the absence of EMSN capping has been assessed as low, given </w:t>
      </w:r>
      <w:r w:rsidR="00DB31F1">
        <w:t>sexual health</w:t>
      </w:r>
      <w:r>
        <w:t xml:space="preserve"> specialists, to date, have not been associated with excessive out-of-pocket costs. </w:t>
      </w:r>
    </w:p>
    <w:p w14:paraId="6593F0BB" w14:textId="6E769E23" w:rsidR="0067099E" w:rsidRDefault="0067099E" w:rsidP="0067099E">
      <w:pPr>
        <w:pStyle w:val="AspexBullet1"/>
      </w:pPr>
      <w:r>
        <w:t>It is also advised that a rule be applied to the sexual health medicine it</w:t>
      </w:r>
      <w:r w:rsidR="00DB31F1">
        <w:t>e</w:t>
      </w:r>
      <w:r>
        <w:t>ms, similar</w:t>
      </w:r>
      <w:r w:rsidR="00DB31F1">
        <w:t xml:space="preserve"> </w:t>
      </w:r>
      <w:r>
        <w:t>to current rule 2.5.1 (limitation of items 112 to 114) within Group A4 of the General Medicine Se</w:t>
      </w:r>
      <w:r w:rsidR="00DB31F1">
        <w:t>r</w:t>
      </w:r>
      <w:r>
        <w:t>vices Table, as follows:</w:t>
      </w:r>
    </w:p>
    <w:p w14:paraId="30585745" w14:textId="77777777" w:rsidR="0067099E" w:rsidRPr="00E413FE" w:rsidRDefault="0067099E" w:rsidP="00DB31F1">
      <w:pPr>
        <w:pStyle w:val="AspexBodyStandard"/>
        <w:ind w:left="284"/>
      </w:pPr>
      <w:r w:rsidRPr="00E413FE">
        <w:lastRenderedPageBreak/>
        <w:t>Items 112, 113 and 114 do not appl</w:t>
      </w:r>
      <w:r>
        <w:t xml:space="preserve">y if the patient, specialist or </w:t>
      </w:r>
      <w:r w:rsidRPr="00E413FE">
        <w:t>physician travels to a place to satisfy the requirement in:</w:t>
      </w:r>
    </w:p>
    <w:p w14:paraId="4818C3E3" w14:textId="77777777" w:rsidR="0067099E" w:rsidRPr="00E413FE" w:rsidRDefault="0067099E" w:rsidP="0067099E">
      <w:pPr>
        <w:pStyle w:val="AspexBullet1"/>
        <w:numPr>
          <w:ilvl w:val="0"/>
          <w:numId w:val="0"/>
        </w:numPr>
        <w:ind w:left="284"/>
      </w:pPr>
      <w:r w:rsidRPr="00E413FE">
        <w:t>(a) for item 112—sub-subpar</w:t>
      </w:r>
      <w:r>
        <w:t xml:space="preserve">agraph (d) (i) (B) of the item; </w:t>
      </w:r>
      <w:r w:rsidRPr="00E413FE">
        <w:t>and</w:t>
      </w:r>
    </w:p>
    <w:p w14:paraId="791FC2CA" w14:textId="77777777" w:rsidR="0067099E" w:rsidRDefault="0067099E" w:rsidP="0067099E">
      <w:pPr>
        <w:pStyle w:val="AspexBullet1"/>
        <w:numPr>
          <w:ilvl w:val="0"/>
          <w:numId w:val="0"/>
        </w:numPr>
        <w:ind w:left="284"/>
        <w:jc w:val="left"/>
      </w:pPr>
      <w:r>
        <w:t xml:space="preserve">(b) </w:t>
      </w:r>
      <w:r w:rsidRPr="00E413FE">
        <w:t>for items 113 and 114—sub-subparagraph (c) (i) (B) of the</w:t>
      </w:r>
      <w:r>
        <w:t xml:space="preserve"> </w:t>
      </w:r>
      <w:r w:rsidRPr="00E413FE">
        <w:t>item.</w:t>
      </w:r>
      <w:r>
        <w:br/>
      </w:r>
      <w:r>
        <w:br/>
      </w:r>
      <w:r w:rsidRPr="007A211F">
        <w:rPr>
          <w:i/>
        </w:rPr>
        <w:t>(This rule is intended to prevent participants from abusing the telehealth items.)</w:t>
      </w:r>
    </w:p>
    <w:p w14:paraId="02462463" w14:textId="5280ABBA" w:rsidR="00A04EB1" w:rsidRDefault="0067099E" w:rsidP="00A04EB1">
      <w:pPr>
        <w:pStyle w:val="AspexBodyStandard"/>
        <w:rPr>
          <w:b/>
        </w:rPr>
      </w:pPr>
      <w:r>
        <w:rPr>
          <w:b/>
        </w:rPr>
        <w:t xml:space="preserve">OPTION 1 </w:t>
      </w:r>
    </w:p>
    <w:p w14:paraId="57EEACE0" w14:textId="54489EF1" w:rsidR="00A04EB1" w:rsidRDefault="0067099E" w:rsidP="00A04EB1">
      <w:pPr>
        <w:pStyle w:val="AspexBodyStandard"/>
        <w:rPr>
          <w:b/>
        </w:rPr>
      </w:pPr>
      <w:r>
        <w:rPr>
          <w:b/>
        </w:rPr>
        <w:t>I</w:t>
      </w:r>
      <w:r w:rsidR="00A04EB1" w:rsidRPr="00A04EB1">
        <w:rPr>
          <w:b/>
        </w:rPr>
        <w:t>tem descriptor</w:t>
      </w:r>
      <w:r w:rsidR="00CA43F0">
        <w:rPr>
          <w:b/>
        </w:rPr>
        <w:t>s</w:t>
      </w:r>
      <w:r w:rsidR="00A04EB1" w:rsidRPr="00A04EB1">
        <w:rPr>
          <w:b/>
        </w:rPr>
        <w:t xml:space="preserve"> for physician</w:t>
      </w:r>
      <w:r w:rsidR="00CA43F0">
        <w:rPr>
          <w:b/>
        </w:rPr>
        <w:t>-</w:t>
      </w:r>
      <w:r w:rsidR="00A04EB1" w:rsidRPr="00A04EB1">
        <w:rPr>
          <w:b/>
        </w:rPr>
        <w:t>equivalent MBS consultations</w:t>
      </w:r>
    </w:p>
    <w:p w14:paraId="1290393E" w14:textId="77777777" w:rsidR="00BF3E66" w:rsidRPr="008C29C6"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sz w:val="20"/>
          <w:lang w:eastAsia="en-AU"/>
        </w:rPr>
      </w:pPr>
      <w:r w:rsidRPr="008C29C6">
        <w:rPr>
          <w:rFonts w:ascii="Arial Narrow" w:hAnsi="Arial Narrow" w:cs="Calibri"/>
          <w:b/>
          <w:sz w:val="20"/>
          <w:lang w:eastAsia="en-AU"/>
        </w:rPr>
        <w:t xml:space="preserve">SEXUAL HEALTH MEDICINE SPECIALIST, </w:t>
      </w:r>
      <w:r>
        <w:rPr>
          <w:rFonts w:ascii="Arial Narrow" w:hAnsi="Arial Narrow" w:cs="Calibri"/>
          <w:b/>
          <w:sz w:val="20"/>
          <w:lang w:eastAsia="en-AU"/>
        </w:rPr>
        <w:t>REFERRED</w:t>
      </w:r>
      <w:r w:rsidRPr="008C29C6">
        <w:rPr>
          <w:rFonts w:ascii="Arial Narrow" w:hAnsi="Arial Narrow" w:cs="Calibri"/>
          <w:b/>
          <w:sz w:val="20"/>
          <w:lang w:eastAsia="en-AU"/>
        </w:rPr>
        <w:t xml:space="preserve"> ATTENDANCE</w:t>
      </w:r>
    </w:p>
    <w:p w14:paraId="41F0AA28" w14:textId="77777777" w:rsidR="00BF3E66" w:rsidRPr="008C29C6"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u w:val="single"/>
          <w:lang w:eastAsia="en-AU"/>
        </w:rPr>
      </w:pPr>
      <w:r w:rsidRPr="008C29C6">
        <w:rPr>
          <w:rFonts w:ascii="Arial Narrow" w:hAnsi="Arial Narrow" w:cs="Calibri"/>
          <w:sz w:val="20"/>
          <w:u w:val="single"/>
          <w:lang w:eastAsia="en-AU"/>
        </w:rPr>
        <w:t xml:space="preserve">MBS Item </w:t>
      </w:r>
      <w:r w:rsidRPr="00250348">
        <w:rPr>
          <w:rFonts w:ascii="Arial Narrow" w:hAnsi="Arial Narrow" w:cs="Calibri"/>
          <w:sz w:val="20"/>
          <w:u w:val="single"/>
          <w:lang w:eastAsia="en-AU"/>
        </w:rPr>
        <w:t>6051</w:t>
      </w:r>
    </w:p>
    <w:p w14:paraId="48BCA7EF" w14:textId="77777777" w:rsidR="00BF3E66" w:rsidRPr="008C29C6"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sidRPr="008C29C6">
        <w:rPr>
          <w:rFonts w:ascii="Arial Narrow" w:hAnsi="Arial Narrow" w:cs="Calibri"/>
          <w:sz w:val="20"/>
          <w:lang w:eastAsia="en-AU"/>
        </w:rPr>
        <w:t xml:space="preserve">Professional attendance by </w:t>
      </w:r>
      <w:r>
        <w:rPr>
          <w:rFonts w:ascii="Arial Narrow" w:hAnsi="Arial Narrow" w:cs="Calibri"/>
          <w:sz w:val="20"/>
          <w:lang w:eastAsia="en-AU"/>
        </w:rPr>
        <w:t>s</w:t>
      </w:r>
      <w:r w:rsidRPr="008C29C6">
        <w:rPr>
          <w:rFonts w:ascii="Arial Narrow" w:hAnsi="Arial Narrow" w:cs="Calibri"/>
          <w:sz w:val="20"/>
          <w:lang w:eastAsia="en-AU"/>
        </w:rPr>
        <w:t xml:space="preserve">exual </w:t>
      </w:r>
      <w:r>
        <w:rPr>
          <w:rFonts w:ascii="Arial Narrow" w:hAnsi="Arial Narrow" w:cs="Calibri"/>
          <w:sz w:val="20"/>
          <w:lang w:eastAsia="en-AU"/>
        </w:rPr>
        <w:t>h</w:t>
      </w:r>
      <w:r w:rsidRPr="008C29C6">
        <w:rPr>
          <w:rFonts w:ascii="Arial Narrow" w:hAnsi="Arial Narrow" w:cs="Calibri"/>
          <w:sz w:val="20"/>
          <w:lang w:eastAsia="en-AU"/>
        </w:rPr>
        <w:t xml:space="preserve">ealth </w:t>
      </w:r>
      <w:r>
        <w:rPr>
          <w:rFonts w:ascii="Arial Narrow" w:hAnsi="Arial Narrow" w:cs="Calibri"/>
          <w:sz w:val="20"/>
          <w:lang w:eastAsia="en-AU"/>
        </w:rPr>
        <w:t>m</w:t>
      </w:r>
      <w:r w:rsidRPr="008C29C6">
        <w:rPr>
          <w:rFonts w:ascii="Arial Narrow" w:hAnsi="Arial Narrow" w:cs="Calibri"/>
          <w:sz w:val="20"/>
          <w:lang w:eastAsia="en-AU"/>
        </w:rPr>
        <w:t xml:space="preserve">edicine specialist in his or her specialty, where the patient is referred to him or her by a referring medical practitioner. </w:t>
      </w:r>
    </w:p>
    <w:p w14:paraId="088348C7" w14:textId="77777777" w:rsidR="00BF3E66" w:rsidRPr="00CD63F4"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Pr>
          <w:rFonts w:ascii="Arial Narrow" w:hAnsi="Arial Narrow" w:cs="Calibri"/>
          <w:sz w:val="20"/>
          <w:lang w:eastAsia="en-AU"/>
        </w:rPr>
        <w:t>Detailed</w:t>
      </w:r>
      <w:r w:rsidRPr="00CD63F4">
        <w:rPr>
          <w:rFonts w:ascii="Arial Narrow" w:hAnsi="Arial Narrow" w:cs="Calibri"/>
          <w:sz w:val="20"/>
          <w:lang w:eastAsia="en-AU"/>
        </w:rPr>
        <w:t xml:space="preserve"> assessment </w:t>
      </w:r>
      <w:r>
        <w:rPr>
          <w:rFonts w:ascii="Arial Narrow" w:hAnsi="Arial Narrow" w:cs="Calibri"/>
          <w:sz w:val="20"/>
          <w:lang w:eastAsia="en-AU"/>
        </w:rPr>
        <w:t xml:space="preserve">provided once in </w:t>
      </w:r>
      <w:r w:rsidRPr="00CD63F4">
        <w:rPr>
          <w:rFonts w:ascii="Arial Narrow" w:hAnsi="Arial Narrow" w:cs="Calibri"/>
          <w:sz w:val="20"/>
          <w:lang w:eastAsia="en-AU"/>
        </w:rPr>
        <w:t>a single course of treatment</w:t>
      </w:r>
      <w:r>
        <w:rPr>
          <w:rFonts w:ascii="Arial Narrow" w:hAnsi="Arial Narrow" w:cs="Calibri"/>
          <w:sz w:val="20"/>
          <w:lang w:eastAsia="en-AU"/>
        </w:rPr>
        <w:t xml:space="preserve">, provided at any point during that course of treatment. </w:t>
      </w:r>
    </w:p>
    <w:p w14:paraId="2F8BC2AD" w14:textId="1F4DDDCD" w:rsidR="00BF3E66" w:rsidRPr="00CD63F4" w:rsidRDefault="00BF3E66"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701"/>
          <w:tab w:val="left" w:pos="3686"/>
        </w:tabs>
        <w:rPr>
          <w:rFonts w:ascii="Arial Narrow" w:hAnsi="Arial Narrow" w:cs="Calibri"/>
          <w:b/>
          <w:sz w:val="20"/>
          <w:lang w:eastAsia="en-AU"/>
        </w:rPr>
      </w:pPr>
      <w:r w:rsidRPr="00715940">
        <w:rPr>
          <w:rFonts w:ascii="Arial Narrow" w:hAnsi="Arial Narrow" w:cs="Verdana"/>
          <w:b/>
          <w:bCs/>
          <w:sz w:val="20"/>
          <w:lang w:val="en-US" w:eastAsia="en-AU"/>
        </w:rPr>
        <w:t>Fee:</w:t>
      </w:r>
      <w:r w:rsidR="0033254C">
        <w:rPr>
          <w:rFonts w:ascii="Arial Narrow" w:hAnsi="Arial Narrow" w:cs="Verdana"/>
          <w:b/>
          <w:sz w:val="20"/>
          <w:lang w:val="en-US" w:eastAsia="en-AU"/>
        </w:rPr>
        <w:t xml:space="preserve"> $150.90</w:t>
      </w:r>
      <w:r w:rsidR="0033254C">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33254C">
        <w:rPr>
          <w:rFonts w:ascii="Arial Narrow" w:hAnsi="Arial Narrow" w:cs="Verdana"/>
          <w:b/>
          <w:sz w:val="20"/>
          <w:lang w:val="en-US" w:eastAsia="en-AU"/>
        </w:rPr>
        <w:t xml:space="preserve"> 75% = $113.20</w:t>
      </w:r>
      <w:r w:rsidR="0033254C">
        <w:rPr>
          <w:rFonts w:ascii="Arial Narrow" w:hAnsi="Arial Narrow" w:cs="Verdana"/>
          <w:b/>
          <w:sz w:val="20"/>
          <w:lang w:val="en-US" w:eastAsia="en-AU"/>
        </w:rPr>
        <w:tab/>
      </w:r>
      <w:r w:rsidRPr="00715940">
        <w:rPr>
          <w:rFonts w:ascii="Arial Narrow" w:hAnsi="Arial Narrow" w:cs="Verdana"/>
          <w:b/>
          <w:sz w:val="20"/>
          <w:lang w:val="en-US" w:eastAsia="en-AU"/>
        </w:rPr>
        <w:t>85% = $128.30</w:t>
      </w:r>
    </w:p>
    <w:p w14:paraId="1FB82C29" w14:textId="77777777" w:rsidR="00BF3E66" w:rsidRPr="00715940"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sz w:val="20"/>
          <w:lang w:eastAsia="en-AU"/>
        </w:rPr>
      </w:pPr>
      <w:r w:rsidRPr="00715940">
        <w:rPr>
          <w:rFonts w:ascii="Arial Narrow" w:hAnsi="Arial Narrow" w:cs="Calibri"/>
          <w:b/>
          <w:sz w:val="20"/>
          <w:lang w:eastAsia="en-AU"/>
        </w:rPr>
        <w:t xml:space="preserve">SEXUAL HEALTH MEDICINE SPECIALIST, </w:t>
      </w:r>
      <w:r>
        <w:rPr>
          <w:rFonts w:ascii="Arial Narrow" w:hAnsi="Arial Narrow" w:cs="Calibri"/>
          <w:b/>
          <w:sz w:val="20"/>
          <w:lang w:eastAsia="en-AU"/>
        </w:rPr>
        <w:t>REFERRED SHORTER ASSESSMENT OR PATIENT REVIEW</w:t>
      </w:r>
    </w:p>
    <w:p w14:paraId="7782D50B" w14:textId="77777777" w:rsidR="00BF3E66" w:rsidRPr="00715940"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u w:val="single"/>
          <w:lang w:eastAsia="en-AU"/>
        </w:rPr>
      </w:pPr>
      <w:r w:rsidRPr="00715940">
        <w:rPr>
          <w:rFonts w:ascii="Arial Narrow" w:hAnsi="Arial Narrow" w:cs="Calibri"/>
          <w:sz w:val="20"/>
          <w:u w:val="single"/>
          <w:lang w:eastAsia="en-AU"/>
        </w:rPr>
        <w:t xml:space="preserve">MBS Item </w:t>
      </w:r>
      <w:r w:rsidRPr="00250348">
        <w:rPr>
          <w:rFonts w:ascii="Arial Narrow" w:hAnsi="Arial Narrow" w:cs="Calibri"/>
          <w:sz w:val="20"/>
          <w:u w:val="single"/>
          <w:lang w:eastAsia="en-AU"/>
        </w:rPr>
        <w:t>6052</w:t>
      </w:r>
    </w:p>
    <w:p w14:paraId="7133F104" w14:textId="77777777" w:rsidR="00BF3E66"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rPr>
          <w:rFonts w:ascii="Arial Narrow" w:hAnsi="Arial Narrow"/>
          <w:sz w:val="20"/>
        </w:rPr>
      </w:pPr>
      <w:r w:rsidRPr="00CD63F4">
        <w:rPr>
          <w:rFonts w:ascii="Arial Narrow" w:hAnsi="Arial Narrow"/>
          <w:sz w:val="20"/>
        </w:rPr>
        <w:t xml:space="preserve">Patient </w:t>
      </w:r>
      <w:r>
        <w:rPr>
          <w:rFonts w:ascii="Arial Narrow" w:hAnsi="Arial Narrow"/>
          <w:sz w:val="20"/>
        </w:rPr>
        <w:t xml:space="preserve">assessment prior to or following </w:t>
      </w:r>
      <w:r w:rsidRPr="00CD63F4">
        <w:rPr>
          <w:rFonts w:ascii="Arial Narrow" w:hAnsi="Arial Narrow"/>
          <w:sz w:val="20"/>
        </w:rPr>
        <w:t xml:space="preserve">a </w:t>
      </w:r>
      <w:r>
        <w:rPr>
          <w:rFonts w:ascii="Arial Narrow" w:hAnsi="Arial Narrow"/>
          <w:sz w:val="20"/>
        </w:rPr>
        <w:t>detailed</w:t>
      </w:r>
      <w:r w:rsidRPr="00CD63F4">
        <w:rPr>
          <w:rFonts w:ascii="Arial Narrow" w:hAnsi="Arial Narrow"/>
          <w:sz w:val="20"/>
        </w:rPr>
        <w:t xml:space="preserve"> assessment </w:t>
      </w:r>
      <w:r>
        <w:rPr>
          <w:rFonts w:ascii="Arial Narrow" w:hAnsi="Arial Narrow"/>
          <w:sz w:val="20"/>
        </w:rPr>
        <w:t xml:space="preserve">under item 6018 </w:t>
      </w:r>
      <w:r w:rsidRPr="00CD63F4">
        <w:rPr>
          <w:rFonts w:ascii="Arial Narrow" w:hAnsi="Arial Narrow"/>
          <w:sz w:val="20"/>
        </w:rPr>
        <w:t>in a single course of treatment</w:t>
      </w:r>
      <w:r>
        <w:rPr>
          <w:rFonts w:ascii="Arial Narrow" w:hAnsi="Arial Narrow"/>
          <w:sz w:val="20"/>
        </w:rPr>
        <w:t>, or following an initial complex treatment and management plan under item 6023 or following a review of that plan under item 6024 in a single course of treatment</w:t>
      </w:r>
      <w:r w:rsidRPr="00CD63F4">
        <w:rPr>
          <w:rFonts w:ascii="Arial Narrow" w:hAnsi="Arial Narrow"/>
          <w:sz w:val="20"/>
        </w:rPr>
        <w:t>.</w:t>
      </w:r>
    </w:p>
    <w:p w14:paraId="70B2278D" w14:textId="66F7D452" w:rsidR="00BF3E66" w:rsidRPr="00CD63F4" w:rsidRDefault="00BF3E66"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b/>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$75.50</w:t>
      </w:r>
      <w:r w:rsidR="0033254C">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33254C">
        <w:rPr>
          <w:rFonts w:ascii="Arial Narrow" w:hAnsi="Arial Narrow" w:cs="Verdana"/>
          <w:b/>
          <w:sz w:val="20"/>
          <w:lang w:val="en-US" w:eastAsia="en-AU"/>
        </w:rPr>
        <w:t xml:space="preserve"> 75% = $56.65</w:t>
      </w:r>
      <w:r w:rsidR="0033254C">
        <w:rPr>
          <w:rFonts w:ascii="Arial Narrow" w:hAnsi="Arial Narrow" w:cs="Verdana"/>
          <w:b/>
          <w:sz w:val="20"/>
          <w:lang w:val="en-US" w:eastAsia="en-AU"/>
        </w:rPr>
        <w:tab/>
      </w:r>
      <w:r w:rsidRPr="00715940">
        <w:rPr>
          <w:rFonts w:ascii="Arial Narrow" w:hAnsi="Arial Narrow" w:cs="Verdana"/>
          <w:b/>
          <w:sz w:val="20"/>
          <w:lang w:val="en-US" w:eastAsia="en-AU"/>
        </w:rPr>
        <w:t>85% = $64.20</w:t>
      </w:r>
    </w:p>
    <w:p w14:paraId="6A060D39" w14:textId="77777777" w:rsidR="00CD5790" w:rsidRDefault="00CD5790" w:rsidP="00A04EB1">
      <w:pPr>
        <w:pStyle w:val="AspexBodyStandard"/>
        <w:rPr>
          <w:b/>
        </w:rPr>
      </w:pPr>
    </w:p>
    <w:p w14:paraId="543B6400" w14:textId="05783F9A" w:rsidR="0067099E" w:rsidRDefault="0067099E" w:rsidP="00A04EB1">
      <w:pPr>
        <w:pStyle w:val="AspexBodyStandard"/>
        <w:rPr>
          <w:b/>
        </w:rPr>
      </w:pPr>
      <w:r>
        <w:rPr>
          <w:b/>
        </w:rPr>
        <w:t>OPTION 2</w:t>
      </w:r>
    </w:p>
    <w:p w14:paraId="21BA673B" w14:textId="5F39EC0F" w:rsidR="00A04EB1" w:rsidRPr="00A04EB1" w:rsidRDefault="0067099E" w:rsidP="00DB31F1">
      <w:pPr>
        <w:spacing w:before="0" w:after="0" w:line="240" w:lineRule="auto"/>
        <w:rPr>
          <w:b/>
        </w:rPr>
      </w:pPr>
      <w:r>
        <w:rPr>
          <w:b/>
        </w:rPr>
        <w:t>Item descriptors</w:t>
      </w:r>
      <w:r w:rsidR="00A04EB1" w:rsidRPr="00A04EB1">
        <w:rPr>
          <w:b/>
        </w:rPr>
        <w:t xml:space="preserve"> for </w:t>
      </w:r>
      <w:r w:rsidR="003B7CD2">
        <w:rPr>
          <w:b/>
        </w:rPr>
        <w:t>time-tiered</w:t>
      </w:r>
      <w:r w:rsidR="00A04EB1" w:rsidRPr="00A04EB1">
        <w:rPr>
          <w:b/>
        </w:rPr>
        <w:t xml:space="preserve"> </w:t>
      </w:r>
      <w:r w:rsidR="00A04EB1">
        <w:rPr>
          <w:b/>
        </w:rPr>
        <w:t xml:space="preserve">consultation </w:t>
      </w:r>
      <w:r w:rsidR="00A04EB1" w:rsidRPr="00A04EB1">
        <w:rPr>
          <w:b/>
        </w:rPr>
        <w:t xml:space="preserve">items </w:t>
      </w:r>
    </w:p>
    <w:p w14:paraId="049BF179"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b/>
          <w:color w:val="000000"/>
          <w:sz w:val="20"/>
          <w:lang w:eastAsia="ja-JP"/>
        </w:rPr>
        <w:t>Category 1 – Professional attendances</w:t>
      </w:r>
    </w:p>
    <w:p w14:paraId="6D8B5924"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6051</w:t>
      </w:r>
    </w:p>
    <w:p w14:paraId="15E79E09"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Pr>
          <w:rFonts w:ascii="Arial Narrow" w:hAnsi="Arial Narrow"/>
          <w:color w:val="000000"/>
          <w:sz w:val="20"/>
          <w:lang w:val="en-US" w:eastAsia="ja-JP"/>
        </w:rPr>
        <w:t>sexual health medicine</w:t>
      </w:r>
      <w:r w:rsidRPr="00735532">
        <w:rPr>
          <w:rFonts w:ascii="Arial Narrow" w:hAnsi="Arial Narrow"/>
          <w:color w:val="000000"/>
          <w:sz w:val="20"/>
          <w:lang w:val="en-US" w:eastAsia="ja-JP"/>
        </w:rPr>
        <w:t xml:space="preserve"> specialist in the practice of his or her specialty, following referral of the patient to him or her by a medical practitioner - an attendance of not more than 15 minutes duration</w:t>
      </w:r>
    </w:p>
    <w:p w14:paraId="71A67E95"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b/>
          <w:color w:val="000000"/>
          <w:sz w:val="20"/>
          <w:lang w:eastAsia="ja-JP"/>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42.71</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32.03</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36.30</w:t>
      </w:r>
    </w:p>
    <w:p w14:paraId="1B5306A1"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6052</w:t>
      </w:r>
    </w:p>
    <w:p w14:paraId="5B320290"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Pr>
          <w:rFonts w:ascii="Arial Narrow" w:hAnsi="Arial Narrow"/>
          <w:color w:val="000000"/>
          <w:sz w:val="20"/>
          <w:lang w:val="en-US" w:eastAsia="ja-JP"/>
        </w:rPr>
        <w:t>sexual health medicine</w:t>
      </w:r>
      <w:r w:rsidRPr="00735532">
        <w:rPr>
          <w:rFonts w:ascii="Arial Narrow" w:hAnsi="Arial Narrow"/>
          <w:color w:val="000000"/>
          <w:sz w:val="20"/>
          <w:lang w:val="en-US" w:eastAsia="ja-JP"/>
        </w:rPr>
        <w:t xml:space="preserve"> specialist in the practice of his or her specialty, following referral of the patient to him or he</w:t>
      </w:r>
      <w:r>
        <w:rPr>
          <w:rFonts w:ascii="Arial Narrow" w:hAnsi="Arial Narrow"/>
          <w:color w:val="000000"/>
          <w:sz w:val="20"/>
          <w:lang w:val="en-US" w:eastAsia="ja-JP"/>
        </w:rPr>
        <w:t xml:space="preserve">r by a medical practitioner - </w:t>
      </w:r>
      <w:r w:rsidRPr="00735532">
        <w:rPr>
          <w:rFonts w:ascii="Arial Narrow" w:hAnsi="Arial Narrow"/>
          <w:color w:val="000000"/>
          <w:sz w:val="20"/>
          <w:lang w:val="en-US" w:eastAsia="ja-JP"/>
        </w:rPr>
        <w:t>an attendance of more than 15 minutes, but not more than 30 minutes duration</w:t>
      </w:r>
    </w:p>
    <w:p w14:paraId="2899315F" w14:textId="07492EA9"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1418"/>
          <w:tab w:val="left" w:pos="3969"/>
        </w:tabs>
        <w:spacing w:after="120" w:line="240" w:lineRule="auto"/>
        <w:rPr>
          <w:rFonts w:ascii="Arial Narrow" w:hAnsi="Arial Narrow"/>
          <w:color w:val="000000"/>
          <w:sz w:val="20"/>
          <w:u w:val="single"/>
          <w:lang w:val="en-US" w:eastAsia="ja-JP"/>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$75.50</w:t>
      </w:r>
      <w:r w:rsidR="0033254C">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33254C">
        <w:rPr>
          <w:rFonts w:ascii="Arial Narrow" w:hAnsi="Arial Narrow" w:cs="Verdana"/>
          <w:b/>
          <w:sz w:val="20"/>
          <w:lang w:val="en-US" w:eastAsia="en-AU"/>
        </w:rPr>
        <w:t xml:space="preserve"> 75% = $56.65</w:t>
      </w:r>
      <w:r w:rsidR="0033254C">
        <w:rPr>
          <w:rFonts w:ascii="Arial Narrow" w:hAnsi="Arial Narrow" w:cs="Verdana"/>
          <w:b/>
          <w:sz w:val="20"/>
          <w:lang w:val="en-US" w:eastAsia="en-AU"/>
        </w:rPr>
        <w:tab/>
      </w:r>
      <w:r w:rsidRPr="00715940">
        <w:rPr>
          <w:rFonts w:ascii="Arial Narrow" w:hAnsi="Arial Narrow" w:cs="Verdana"/>
          <w:b/>
          <w:sz w:val="20"/>
          <w:lang w:val="en-US" w:eastAsia="en-AU"/>
        </w:rPr>
        <w:t>85% = $64.20</w:t>
      </w:r>
    </w:p>
    <w:p w14:paraId="1807C1EF" w14:textId="77777777" w:rsidR="00BF3E66" w:rsidRPr="00735532" w:rsidRDefault="00BF3E66" w:rsidP="005F47B7">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lastRenderedPageBreak/>
        <w:t xml:space="preserve">MBS Item </w:t>
      </w:r>
      <w:r>
        <w:rPr>
          <w:rFonts w:ascii="Arial Narrow" w:hAnsi="Arial Narrow"/>
          <w:color w:val="000000"/>
          <w:sz w:val="20"/>
          <w:u w:val="single"/>
          <w:lang w:val="en-US" w:eastAsia="ja-JP"/>
        </w:rPr>
        <w:t>6054</w:t>
      </w:r>
    </w:p>
    <w:p w14:paraId="7CA7BF0B" w14:textId="77777777" w:rsidR="00BF3E66" w:rsidRPr="00735532" w:rsidRDefault="00BF3E66" w:rsidP="005F47B7">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Pr>
          <w:rFonts w:ascii="Arial Narrow" w:hAnsi="Arial Narrow"/>
          <w:color w:val="000000"/>
          <w:sz w:val="20"/>
          <w:lang w:val="en-US" w:eastAsia="ja-JP"/>
        </w:rPr>
        <w:t>sexual health medicine</w:t>
      </w:r>
      <w:r w:rsidRPr="00735532">
        <w:rPr>
          <w:rFonts w:ascii="Arial Narrow" w:hAnsi="Arial Narrow"/>
          <w:color w:val="000000"/>
          <w:sz w:val="20"/>
          <w:lang w:val="en-US" w:eastAsia="ja-JP"/>
        </w:rPr>
        <w:t xml:space="preserve"> specialist in the practice of his or her specialty, following referral of the patient to him or her by a medical practitioner - an attendance of more than 30 minutes, but not more than 45 minutes duration</w:t>
      </w:r>
    </w:p>
    <w:p w14:paraId="4A59054D" w14:textId="77777777" w:rsidR="00BF3E66" w:rsidRPr="00735532" w:rsidRDefault="00BF3E66" w:rsidP="005F47B7">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113.29</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84.97</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96.30</w:t>
      </w:r>
    </w:p>
    <w:p w14:paraId="542D4200"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6055</w:t>
      </w:r>
    </w:p>
    <w:p w14:paraId="6749CA79" w14:textId="77777777"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Pr>
          <w:rFonts w:ascii="Arial Narrow" w:hAnsi="Arial Narrow"/>
          <w:color w:val="000000"/>
          <w:sz w:val="20"/>
          <w:lang w:val="en-US" w:eastAsia="ja-JP"/>
        </w:rPr>
        <w:t>sexual health medicine</w:t>
      </w:r>
      <w:r w:rsidRPr="00735532">
        <w:rPr>
          <w:rFonts w:ascii="Arial Narrow" w:hAnsi="Arial Narrow"/>
          <w:color w:val="000000"/>
          <w:sz w:val="20"/>
          <w:lang w:val="en-US" w:eastAsia="ja-JP"/>
        </w:rPr>
        <w:t xml:space="preserve"> specialist in the practice of his or her specialty, following referral of the patient to him or her by a medical practitioner - an attendance of more than 45 minutes duration</w:t>
      </w:r>
    </w:p>
    <w:p w14:paraId="14E960F2" w14:textId="4B9D6C03" w:rsidR="00BF3E66" w:rsidRPr="00735532" w:rsidRDefault="00BF3E66"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1418"/>
          <w:tab w:val="left" w:pos="3969"/>
        </w:tabs>
        <w:spacing w:after="120" w:line="240" w:lineRule="auto"/>
        <w:rPr>
          <w:rFonts w:ascii="Arial Narrow" w:hAnsi="Arial Narrow"/>
          <w:color w:val="000000"/>
          <w:sz w:val="20"/>
          <w:u w:val="single"/>
          <w:lang w:val="en-US" w:eastAsia="ja-JP"/>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33254C">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w:t>
      </w:r>
      <w:r w:rsidR="0033254C">
        <w:rPr>
          <w:rFonts w:ascii="Arial Narrow" w:hAnsi="Arial Narrow" w:cs="Verdana"/>
          <w:b/>
          <w:sz w:val="20"/>
          <w:lang w:val="en-US" w:eastAsia="en-AU"/>
        </w:rPr>
        <w:tab/>
      </w:r>
      <w:r w:rsidRPr="00715940">
        <w:rPr>
          <w:rFonts w:ascii="Arial Narrow" w:hAnsi="Arial Narrow" w:cs="Verdana"/>
          <w:b/>
          <w:sz w:val="20"/>
          <w:lang w:val="en-US" w:eastAsia="en-AU"/>
        </w:rPr>
        <w:t>85% = $128.30</w:t>
      </w:r>
    </w:p>
    <w:p w14:paraId="1002564F" w14:textId="77777777" w:rsidR="0067099E" w:rsidRPr="00DB31F1" w:rsidRDefault="0067099E" w:rsidP="00DB31F1">
      <w:pPr>
        <w:pStyle w:val="AspexBodyStandard"/>
      </w:pPr>
    </w:p>
    <w:p w14:paraId="1FA83D1F" w14:textId="77777777" w:rsidR="0067099E" w:rsidRPr="00A04EB1" w:rsidRDefault="00A04EB1" w:rsidP="0067099E">
      <w:pPr>
        <w:pStyle w:val="AspexBodyStandard"/>
        <w:rPr>
          <w:b/>
        </w:rPr>
      </w:pPr>
      <w:r w:rsidRPr="00A04EB1">
        <w:rPr>
          <w:b/>
        </w:rPr>
        <w:t>Proposed items for complex treatment and management planning</w:t>
      </w:r>
      <w:r w:rsidR="0067099E">
        <w:rPr>
          <w:b/>
        </w:rPr>
        <w:t xml:space="preserve"> (which would sit under Option 1 or 2 above)</w:t>
      </w:r>
    </w:p>
    <w:p w14:paraId="517380CD" w14:textId="77777777" w:rsidR="00017202" w:rsidRPr="00F330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Pr>
          <w:rStyle w:val="Strong"/>
          <w:sz w:val="20"/>
        </w:rPr>
        <w:t>SEXUAL HEALTH MEDICINE SPECIALIST,</w:t>
      </w:r>
      <w:r w:rsidRPr="00676763">
        <w:rPr>
          <w:rStyle w:val="Strong"/>
          <w:sz w:val="20"/>
        </w:rPr>
        <w:t xml:space="preserve"> REFERRED </w:t>
      </w:r>
      <w:r>
        <w:rPr>
          <w:rStyle w:val="Strong"/>
          <w:sz w:val="20"/>
        </w:rPr>
        <w:t xml:space="preserve">COMPLEX </w:t>
      </w:r>
      <w:r w:rsidRPr="00676763">
        <w:rPr>
          <w:rStyle w:val="Strong"/>
          <w:sz w:val="20"/>
        </w:rPr>
        <w:t>PATIENT TREATMENT AND MANAGEMENT PLAN - SURGERY OR HOSPITAL</w:t>
      </w:r>
    </w:p>
    <w:p w14:paraId="57210785"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6059</w:t>
      </w:r>
    </w:p>
    <w:p w14:paraId="292A6B5C"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Professional attendance of at least 45 minutes duration for an initial assessment of a patient with at least two morbidities, where the patient is referred by a re</w:t>
      </w:r>
      <w:r>
        <w:rPr>
          <w:rFonts w:ascii="Arial Narrow" w:hAnsi="Arial Narrow" w:cs="Calibri"/>
          <w:color w:val="000000"/>
          <w:sz w:val="20"/>
          <w:lang w:eastAsia="en-AU"/>
        </w:rPr>
        <w:t>ferring practitioner, and where:</w:t>
      </w:r>
    </w:p>
    <w:p w14:paraId="5B656D6E"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459"/>
        </w:tabs>
        <w:spacing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 xml:space="preserve">a) </w:t>
      </w: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assessment is undertaken that covers: </w:t>
      </w:r>
    </w:p>
    <w:p w14:paraId="5D23F9F6" w14:textId="2F8C018E"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ind w:left="884" w:hanging="884"/>
        <w:rPr>
          <w:rFonts w:ascii="Arial Narrow" w:hAnsi="Arial Narrow" w:cs="Calibri"/>
          <w:color w:val="000000"/>
          <w:sz w:val="20"/>
          <w:lang w:eastAsia="en-AU"/>
        </w:rPr>
      </w:pPr>
      <w:r>
        <w:rPr>
          <w:rFonts w:ascii="Arial Narrow" w:hAnsi="Arial Narrow" w:cs="Calibri"/>
          <w:color w:val="000000"/>
          <w:sz w:val="20"/>
          <w:lang w:eastAsia="en-AU"/>
        </w:rPr>
        <w:tab/>
        <w:t xml:space="preserve">- </w:t>
      </w:r>
      <w:r w:rsidRPr="00676763">
        <w:rPr>
          <w:rFonts w:ascii="Arial Narrow" w:hAnsi="Arial Narrow" w:cs="Calibri"/>
          <w:color w:val="000000"/>
          <w:sz w:val="20"/>
          <w:lang w:eastAsia="en-AU"/>
        </w:rPr>
        <w:t xml:space="preserve">a comprehensive history, including psychosocial history and medication review; </w:t>
      </w:r>
    </w:p>
    <w:p w14:paraId="48394CE0" w14:textId="29246B18"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ind w:left="884" w:hanging="884"/>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comprehensive multi or detailed single organ system assessment; </w:t>
      </w:r>
    </w:p>
    <w:p w14:paraId="5947068A" w14:textId="752D4EA2"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ind w:left="884" w:hanging="884"/>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the formulation of differential diagnoses; and </w:t>
      </w:r>
    </w:p>
    <w:p w14:paraId="14D2BBD2" w14:textId="2397077E"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459"/>
        </w:tabs>
        <w:spacing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b)</w:t>
      </w: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a consultant physician treatment and management plan of significant complexity is developed and provided to the </w:t>
      </w:r>
      <w:r>
        <w:rPr>
          <w:rFonts w:ascii="Arial Narrow" w:hAnsi="Arial Narrow" w:cs="Calibri"/>
          <w:color w:val="000000"/>
          <w:sz w:val="20"/>
          <w:lang w:eastAsia="en-AU"/>
        </w:rPr>
        <w:br/>
      </w: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referring practitioner that involves: </w:t>
      </w:r>
    </w:p>
    <w:p w14:paraId="737C190A" w14:textId="2C456D41"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ind w:left="425" w:hanging="425"/>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an opinion on diagnosis and risk assessment </w:t>
      </w:r>
    </w:p>
    <w:p w14:paraId="7AD985D9" w14:textId="7E7D14F3"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ind w:left="425" w:hanging="425"/>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treatment options and decisions </w:t>
      </w:r>
    </w:p>
    <w:p w14:paraId="05F0C15C" w14:textId="1F99B34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ind w:left="425" w:hanging="425"/>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medication recommendations </w:t>
      </w:r>
    </w:p>
    <w:p w14:paraId="00368CB7"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jc w:val="both"/>
        <w:rPr>
          <w:rFonts w:ascii="Arial Narrow" w:hAnsi="Arial Narrow" w:cs="Calibri"/>
          <w:color w:val="000000"/>
          <w:sz w:val="20"/>
          <w:lang w:eastAsia="en-AU"/>
        </w:rPr>
      </w:pPr>
      <w:r w:rsidRPr="00250348">
        <w:rPr>
          <w:rFonts w:ascii="Arial Narrow" w:hAnsi="Arial Narrow" w:cs="Calibri"/>
          <w:color w:val="000000"/>
          <w:sz w:val="20"/>
          <w:lang w:eastAsia="en-AU"/>
        </w:rPr>
        <w:t>Not being an attendance on a patient in respect of whom, an attendance under items 6051 and 6052 has been received on the same day by the same sexual health medicine specialist.</w:t>
      </w:r>
      <w:r w:rsidRPr="00676763">
        <w:rPr>
          <w:rFonts w:ascii="Arial Narrow" w:hAnsi="Arial Narrow" w:cs="Calibri"/>
          <w:color w:val="000000"/>
          <w:sz w:val="20"/>
          <w:lang w:eastAsia="en-AU"/>
        </w:rPr>
        <w:t xml:space="preserve"> </w:t>
      </w:r>
    </w:p>
    <w:p w14:paraId="47C0F4FD"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the patient in respect of whom, in the preceding 12 months, payment has been made under this item for attendance by the same </w:t>
      </w:r>
      <w:r w:rsidRPr="00D270B7">
        <w:rPr>
          <w:rFonts w:ascii="Arial Narrow" w:hAnsi="Arial Narrow" w:cs="Calibri"/>
          <w:color w:val="000000"/>
          <w:sz w:val="20"/>
          <w:lang w:eastAsia="en-AU"/>
        </w:rPr>
        <w:t xml:space="preserve">sexual health medicine </w:t>
      </w:r>
      <w:r>
        <w:rPr>
          <w:rFonts w:ascii="Arial Narrow" w:hAnsi="Arial Narrow" w:cs="Calibri"/>
          <w:color w:val="000000"/>
          <w:sz w:val="20"/>
          <w:lang w:eastAsia="en-AU"/>
        </w:rPr>
        <w:t>specialist.</w:t>
      </w:r>
    </w:p>
    <w:p w14:paraId="508363B4" w14:textId="05764AB9" w:rsidR="00017202"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after="0" w:line="240" w:lineRule="auto"/>
        <w:rPr>
          <w:rStyle w:val="Strong"/>
          <w:sz w:val="20"/>
        </w:rPr>
      </w:pPr>
      <w:r w:rsidRPr="00580523">
        <w:rPr>
          <w:rFonts w:ascii="Arial Narrow" w:hAnsi="Arial Narrow" w:cs="Verdana"/>
          <w:b/>
          <w:bCs/>
          <w:sz w:val="20"/>
          <w:lang w:val="en-US" w:eastAsia="en-AU"/>
        </w:rPr>
        <w:t>Fee:</w:t>
      </w:r>
      <w:r w:rsidRPr="00580523">
        <w:rPr>
          <w:rFonts w:ascii="Arial Narrow" w:hAnsi="Arial Narrow" w:cs="Verdana"/>
          <w:b/>
          <w:sz w:val="20"/>
          <w:lang w:val="en-US" w:eastAsia="en-AU"/>
        </w:rPr>
        <w:t xml:space="preserve"> $263.90</w:t>
      </w:r>
      <w:r w:rsidR="0033254C">
        <w:rPr>
          <w:rFonts w:ascii="Arial Narrow" w:hAnsi="Arial Narrow" w:cs="Verdana"/>
          <w:b/>
          <w:sz w:val="20"/>
          <w:lang w:val="en-US" w:eastAsia="en-AU"/>
        </w:rPr>
        <w:tab/>
      </w:r>
      <w:r w:rsidRPr="00580523">
        <w:rPr>
          <w:rFonts w:ascii="Arial Narrow" w:hAnsi="Arial Narrow" w:cs="Verdana"/>
          <w:b/>
          <w:bCs/>
          <w:sz w:val="20"/>
          <w:lang w:val="en-US" w:eastAsia="en-AU"/>
        </w:rPr>
        <w:t>Benefit:</w:t>
      </w:r>
      <w:r w:rsidRPr="00580523">
        <w:rPr>
          <w:rFonts w:ascii="Arial Narrow" w:hAnsi="Arial Narrow" w:cs="Verdana"/>
          <w:b/>
          <w:sz w:val="20"/>
          <w:lang w:val="en-US" w:eastAsia="en-AU"/>
        </w:rPr>
        <w:t xml:space="preserve"> 75% = $197.95</w:t>
      </w:r>
      <w:r w:rsidR="0033254C">
        <w:rPr>
          <w:rFonts w:ascii="Arial Narrow" w:hAnsi="Arial Narrow" w:cs="Verdana"/>
          <w:b/>
          <w:sz w:val="20"/>
          <w:lang w:val="en-US" w:eastAsia="en-AU"/>
        </w:rPr>
        <w:tab/>
      </w:r>
      <w:r w:rsidRPr="00580523">
        <w:rPr>
          <w:rFonts w:ascii="Arial Narrow" w:hAnsi="Arial Narrow" w:cs="Verdana"/>
          <w:b/>
          <w:sz w:val="20"/>
          <w:lang w:val="en-US" w:eastAsia="en-AU"/>
        </w:rPr>
        <w:t>85% = $224.35</w:t>
      </w:r>
    </w:p>
    <w:p w14:paraId="5B94D7CA" w14:textId="77777777" w:rsidR="00017202" w:rsidRPr="00F330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490E3F">
        <w:rPr>
          <w:rStyle w:val="Strong"/>
          <w:szCs w:val="22"/>
        </w:rPr>
        <w:t>SEXUAL HEALTH MEDICINE SPECIALIST, REVIEW</w:t>
      </w:r>
      <w:r>
        <w:rPr>
          <w:rStyle w:val="Strong"/>
        </w:rPr>
        <w:t xml:space="preserve"> OF REFERRED COMPLEX PATIENT TREATMENT AND MANAGEMENT PLAN - SURGERY OR HOSPITAL</w:t>
      </w:r>
    </w:p>
    <w:p w14:paraId="782753B2" w14:textId="77777777" w:rsidR="00017202" w:rsidRPr="00DD10E9"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6060</w:t>
      </w:r>
    </w:p>
    <w:p w14:paraId="667F6E27" w14:textId="6D906241" w:rsidR="00017202" w:rsidRP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Professional attendance of at least 20 minutes duration subsequent to the first attendance in a single course of treatment for a review of a patient</w:t>
      </w:r>
      <w:r>
        <w:rPr>
          <w:rFonts w:ascii="Arial Narrow" w:hAnsi="Arial Narrow"/>
          <w:color w:val="000000"/>
          <w:sz w:val="20"/>
          <w:lang w:eastAsia="en-AU"/>
        </w:rPr>
        <w:t xml:space="preserve"> with at least two morbidities where:</w:t>
      </w:r>
    </w:p>
    <w:p w14:paraId="25A8FB75" w14:textId="77777777" w:rsidR="00017202" w:rsidRPr="008F187F"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a) </w:t>
      </w:r>
      <w:r>
        <w:rPr>
          <w:rFonts w:ascii="Arial Narrow" w:hAnsi="Arial Narrow"/>
          <w:color w:val="000000"/>
          <w:sz w:val="20"/>
          <w:lang w:eastAsia="en-AU"/>
        </w:rPr>
        <w:tab/>
      </w:r>
      <w:r w:rsidRPr="008F187F">
        <w:rPr>
          <w:rFonts w:ascii="Arial Narrow" w:hAnsi="Arial Narrow"/>
          <w:color w:val="000000"/>
          <w:sz w:val="20"/>
          <w:lang w:eastAsia="en-AU"/>
        </w:rPr>
        <w:t xml:space="preserve">a review is undertaken that covers: </w:t>
      </w:r>
    </w:p>
    <w:p w14:paraId="0DE384A9" w14:textId="37F9DCB8"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review of initial presenting problem/s and results of diagnostic investigations </w:t>
      </w:r>
    </w:p>
    <w:p w14:paraId="1B3C8747" w14:textId="0AFE7161"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review of responses to treatment and medication plans initiated at time of initial consultation comprehensive multi or </w:t>
      </w:r>
      <w:r>
        <w:rPr>
          <w:rFonts w:ascii="Arial Narrow" w:hAnsi="Arial Narrow" w:cs="Calibri"/>
          <w:color w:val="000000"/>
          <w:sz w:val="20"/>
          <w:lang w:eastAsia="en-AU"/>
        </w:rPr>
        <w:br/>
      </w: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detailed single organ system assessment, </w:t>
      </w:r>
    </w:p>
    <w:p w14:paraId="4B711C23"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review of original and differential diagnoses; and </w:t>
      </w:r>
    </w:p>
    <w:p w14:paraId="700115BF"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olor w:val="000000"/>
          <w:sz w:val="20"/>
          <w:lang w:eastAsia="en-AU"/>
        </w:rPr>
      </w:pPr>
      <w:r w:rsidRPr="008F187F">
        <w:rPr>
          <w:rFonts w:ascii="Arial Narrow" w:hAnsi="Arial Narrow"/>
          <w:color w:val="000000"/>
          <w:sz w:val="20"/>
          <w:lang w:eastAsia="en-AU"/>
        </w:rPr>
        <w:lastRenderedPageBreak/>
        <w:t xml:space="preserve">b) </w:t>
      </w:r>
      <w:r>
        <w:rPr>
          <w:rFonts w:ascii="Arial Narrow" w:hAnsi="Arial Narrow"/>
          <w:color w:val="000000"/>
          <w:sz w:val="20"/>
          <w:lang w:eastAsia="en-AU"/>
        </w:rPr>
        <w:tab/>
      </w:r>
      <w:r w:rsidRPr="008F187F">
        <w:rPr>
          <w:rFonts w:ascii="Arial Narrow" w:hAnsi="Arial Narrow"/>
          <w:color w:val="000000"/>
          <w:sz w:val="20"/>
          <w:lang w:eastAsia="en-AU"/>
        </w:rPr>
        <w:t xml:space="preserve">a modified consultant physician treatment and management plan is provided to the referring practitioner that involves, where appropriate: </w:t>
      </w:r>
    </w:p>
    <w:p w14:paraId="432C6E52" w14:textId="7C3E4EEA"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a revised opinion on the diagnosis and risk assessment </w:t>
      </w:r>
    </w:p>
    <w:p w14:paraId="21D17334" w14:textId="7D666E40"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treatment options and decisions </w:t>
      </w:r>
    </w:p>
    <w:p w14:paraId="1FF62C26" w14:textId="5DA08835" w:rsidR="00017202" w:rsidRPr="00C3659E"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6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revised medication recommendations </w:t>
      </w:r>
    </w:p>
    <w:p w14:paraId="42087D4E" w14:textId="77777777" w:rsidR="00017202" w:rsidRPr="007B771B"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7B771B">
        <w:rPr>
          <w:rFonts w:ascii="Arial Narrow" w:hAnsi="Arial Narrow"/>
          <w:color w:val="000000"/>
          <w:sz w:val="20"/>
          <w:lang w:eastAsia="en-AU"/>
        </w:rPr>
        <w:t xml:space="preserve">Not being an attendance on a patient in respect of whom, an attendance under item </w:t>
      </w:r>
      <w:r w:rsidRPr="007B771B">
        <w:rPr>
          <w:rFonts w:ascii="Arial Narrow" w:hAnsi="Arial Narrow" w:cs="Calibri"/>
          <w:color w:val="000000"/>
          <w:sz w:val="20"/>
          <w:u w:val="single"/>
          <w:lang w:eastAsia="en-AU"/>
        </w:rPr>
        <w:t>6051</w:t>
      </w:r>
      <w:r w:rsidRPr="007B771B">
        <w:rPr>
          <w:rFonts w:ascii="Arial Narrow" w:hAnsi="Arial Narrow"/>
          <w:color w:val="000000"/>
          <w:sz w:val="20"/>
          <w:lang w:eastAsia="en-AU"/>
        </w:rPr>
        <w:t xml:space="preserve">, or </w:t>
      </w:r>
      <w:r w:rsidRPr="007B771B">
        <w:rPr>
          <w:rFonts w:ascii="Arial Narrow" w:hAnsi="Arial Narrow" w:cs="Calibri"/>
          <w:color w:val="000000"/>
          <w:sz w:val="20"/>
          <w:u w:val="single"/>
          <w:lang w:eastAsia="en-AU"/>
        </w:rPr>
        <w:t xml:space="preserve">6052 </w:t>
      </w:r>
      <w:r w:rsidRPr="007B771B">
        <w:rPr>
          <w:rFonts w:ascii="Arial Narrow" w:hAnsi="Arial Narrow"/>
          <w:color w:val="000000"/>
          <w:sz w:val="20"/>
          <w:lang w:eastAsia="en-AU"/>
        </w:rPr>
        <w:t xml:space="preserve">has been received on the same day by the same </w:t>
      </w:r>
      <w:r w:rsidRPr="007B771B">
        <w:rPr>
          <w:rFonts w:ascii="Arial Narrow" w:hAnsi="Arial Narrow" w:cs="Calibri"/>
          <w:color w:val="000000"/>
          <w:sz w:val="20"/>
          <w:lang w:eastAsia="en-AU"/>
        </w:rPr>
        <w:t>sexual health medicine specialist</w:t>
      </w:r>
      <w:r w:rsidRPr="007B771B">
        <w:rPr>
          <w:rFonts w:ascii="Arial Narrow" w:hAnsi="Arial Narrow"/>
          <w:color w:val="000000"/>
          <w:sz w:val="20"/>
          <w:lang w:eastAsia="en-AU"/>
        </w:rPr>
        <w:t xml:space="preserve">. </w:t>
      </w:r>
    </w:p>
    <w:p w14:paraId="5ABBE875" w14:textId="77777777" w:rsidR="00017202" w:rsidRPr="008F187F"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7B771B">
        <w:rPr>
          <w:rFonts w:ascii="Arial Narrow" w:hAnsi="Arial Narrow"/>
          <w:color w:val="000000"/>
          <w:sz w:val="20"/>
          <w:lang w:eastAsia="en-AU"/>
        </w:rPr>
        <w:t xml:space="preserve">Being an attendance on a patient in respect of whom, in the preceding 12 months, payment has been made under item </w:t>
      </w:r>
      <w:r w:rsidRPr="007B771B">
        <w:rPr>
          <w:rFonts w:ascii="Arial Narrow" w:hAnsi="Arial Narrow" w:cs="Calibri"/>
          <w:color w:val="000000"/>
          <w:sz w:val="20"/>
          <w:u w:val="single"/>
          <w:lang w:eastAsia="en-AU"/>
        </w:rPr>
        <w:t>6059</w:t>
      </w:r>
      <w:r>
        <w:rPr>
          <w:rFonts w:ascii="Arial Narrow" w:hAnsi="Arial Narrow" w:cs="Calibri"/>
          <w:color w:val="000000"/>
          <w:sz w:val="20"/>
          <w:u w:val="single"/>
          <w:lang w:eastAsia="en-AU"/>
        </w:rPr>
        <w:t xml:space="preserve"> </w:t>
      </w:r>
      <w:r w:rsidRPr="008F187F">
        <w:rPr>
          <w:rFonts w:ascii="Arial Narrow" w:hAnsi="Arial Narrow"/>
          <w:color w:val="000000"/>
          <w:sz w:val="20"/>
          <w:lang w:eastAsia="en-AU"/>
        </w:rPr>
        <w:t xml:space="preserve">by the same </w:t>
      </w:r>
      <w:r w:rsidRPr="00D270B7">
        <w:rPr>
          <w:rFonts w:ascii="Arial Narrow" w:hAnsi="Arial Narrow" w:cs="Calibri"/>
          <w:color w:val="000000"/>
          <w:sz w:val="20"/>
          <w:lang w:eastAsia="en-AU"/>
        </w:rPr>
        <w:t xml:space="preserve">sexual health medicine </w:t>
      </w:r>
      <w:r>
        <w:rPr>
          <w:rFonts w:ascii="Arial Narrow" w:hAnsi="Arial Narrow" w:cs="Calibri"/>
          <w:color w:val="000000"/>
          <w:sz w:val="20"/>
          <w:lang w:eastAsia="en-AU"/>
        </w:rPr>
        <w:t>specialist</w:t>
      </w:r>
      <w:r w:rsidRPr="008F187F">
        <w:rPr>
          <w:rFonts w:ascii="Arial Narrow" w:hAnsi="Arial Narrow"/>
          <w:color w:val="000000"/>
          <w:sz w:val="20"/>
          <w:lang w:eastAsia="en-AU"/>
        </w:rPr>
        <w:t xml:space="preserve">, payable no more than twice in any 12-month period. </w:t>
      </w:r>
    </w:p>
    <w:p w14:paraId="75D1C983" w14:textId="1418940F" w:rsidR="00017202" w:rsidRPr="00FC21C4" w:rsidRDefault="00017202" w:rsidP="005F47B7">
      <w:pPr>
        <w:widowControl w:val="0"/>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autoSpaceDE w:val="0"/>
        <w:autoSpaceDN w:val="0"/>
        <w:adjustRightInd w:val="0"/>
        <w:spacing w:before="0" w:after="0" w:line="240" w:lineRule="auto"/>
        <w:rPr>
          <w:rStyle w:val="Strong"/>
          <w:rFonts w:ascii="Arial Narrow" w:hAnsi="Arial Narrow" w:cs="Verdana"/>
          <w:bCs w:val="0"/>
          <w:sz w:val="20"/>
          <w:lang w:val="en-US" w:eastAsia="en-AU"/>
        </w:rPr>
      </w:pPr>
      <w:r w:rsidRPr="00E11452">
        <w:rPr>
          <w:rFonts w:ascii="Arial Narrow" w:hAnsi="Arial Narrow" w:cs="Verdana"/>
          <w:b/>
          <w:bCs/>
          <w:sz w:val="20"/>
          <w:lang w:val="en-US" w:eastAsia="en-AU"/>
        </w:rPr>
        <w:t>Fee:</w:t>
      </w:r>
      <w:r w:rsidRPr="00E11452">
        <w:rPr>
          <w:rFonts w:ascii="Arial Narrow" w:hAnsi="Arial Narrow" w:cs="Verdana"/>
          <w:b/>
          <w:sz w:val="20"/>
          <w:lang w:val="en-US" w:eastAsia="en-AU"/>
        </w:rPr>
        <w:t xml:space="preserve"> $132.10</w:t>
      </w:r>
      <w:r w:rsidR="0033254C">
        <w:rPr>
          <w:rFonts w:ascii="Arial Narrow" w:hAnsi="Arial Narrow" w:cs="Verdana"/>
          <w:b/>
          <w:sz w:val="20"/>
          <w:lang w:val="en-US" w:eastAsia="en-AU"/>
        </w:rPr>
        <w:tab/>
      </w:r>
      <w:r w:rsidRPr="00E11452">
        <w:rPr>
          <w:rFonts w:ascii="Arial Narrow" w:hAnsi="Arial Narrow" w:cs="Verdana"/>
          <w:b/>
          <w:bCs/>
          <w:sz w:val="20"/>
          <w:lang w:val="en-US" w:eastAsia="en-AU"/>
        </w:rPr>
        <w:t>Benefit:</w:t>
      </w:r>
      <w:r w:rsidRPr="00E11452">
        <w:rPr>
          <w:rFonts w:ascii="Arial Narrow" w:hAnsi="Arial Narrow" w:cs="Verdana"/>
          <w:b/>
          <w:sz w:val="20"/>
          <w:lang w:val="en-US" w:eastAsia="en-AU"/>
        </w:rPr>
        <w:t xml:space="preserve"> 75% = $99.10</w:t>
      </w:r>
      <w:r w:rsidR="0033254C">
        <w:rPr>
          <w:rFonts w:ascii="Arial Narrow" w:hAnsi="Arial Narrow" w:cs="Verdana"/>
          <w:b/>
          <w:sz w:val="20"/>
          <w:lang w:val="en-US" w:eastAsia="en-AU"/>
        </w:rPr>
        <w:tab/>
      </w:r>
      <w:r w:rsidRPr="00E11452">
        <w:rPr>
          <w:rFonts w:ascii="Arial Narrow" w:hAnsi="Arial Narrow" w:cs="Verdana"/>
          <w:b/>
          <w:sz w:val="20"/>
          <w:lang w:val="en-US" w:eastAsia="en-AU"/>
        </w:rPr>
        <w:t>85% = $112.30</w:t>
      </w:r>
    </w:p>
    <w:p w14:paraId="38D714E6" w14:textId="3DAF666F" w:rsidR="00A04EB1" w:rsidRPr="00C875BE" w:rsidRDefault="00A04EB1" w:rsidP="00C875BE">
      <w:pPr>
        <w:pStyle w:val="AspexBodyStandard"/>
        <w:rPr>
          <w:b/>
        </w:rPr>
      </w:pPr>
      <w:r w:rsidRPr="00C875BE">
        <w:rPr>
          <w:b/>
        </w:rPr>
        <w:t xml:space="preserve">Proposed descriptors for </w:t>
      </w:r>
      <w:r w:rsidR="00FC21C4">
        <w:rPr>
          <w:b/>
        </w:rPr>
        <w:t xml:space="preserve">multidisciplinary case conferencing </w:t>
      </w:r>
      <w:r w:rsidRPr="00C875BE">
        <w:rPr>
          <w:b/>
        </w:rPr>
        <w:t>items</w:t>
      </w:r>
      <w:r w:rsidR="0067099E">
        <w:rPr>
          <w:b/>
        </w:rPr>
        <w:t xml:space="preserve"> (which would sit under the first or second option)</w:t>
      </w:r>
    </w:p>
    <w:p w14:paraId="0771A718" w14:textId="77777777" w:rsidR="00017202" w:rsidRPr="00F330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ORGANISATION AND CHAIR</w:t>
      </w:r>
      <w:r>
        <w:rPr>
          <w:b/>
          <w:bCs/>
        </w:rPr>
        <w:t xml:space="preserve"> </w:t>
      </w:r>
      <w:r>
        <w:rPr>
          <w:rFonts w:ascii="Arial Narrow" w:hAnsi="Arial Narrow"/>
          <w:b/>
          <w:bCs/>
          <w:color w:val="000000"/>
          <w:sz w:val="20"/>
          <w:lang w:eastAsia="en-AU"/>
        </w:rPr>
        <w:t>–</w:t>
      </w:r>
      <w:r w:rsidRPr="00690EC6">
        <w:rPr>
          <w:rFonts w:ascii="Arial Narrow" w:hAnsi="Arial Narrow"/>
          <w:b/>
          <w:bCs/>
          <w:color w:val="000000"/>
          <w:sz w:val="20"/>
          <w:lang w:eastAsia="en-AU"/>
        </w:rPr>
        <w:t xml:space="preserve"> </w:t>
      </w:r>
      <w:r>
        <w:rPr>
          <w:rFonts w:ascii="Arial Narrow" w:hAnsi="Arial Narrow"/>
          <w:b/>
          <w:bCs/>
          <w:color w:val="000000"/>
          <w:sz w:val="20"/>
          <w:lang w:eastAsia="en-AU"/>
        </w:rPr>
        <w:t>SEXUAL HEALTH MEDICINE SPECIALIST</w:t>
      </w:r>
    </w:p>
    <w:p w14:paraId="2E23FAF1"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6064</w:t>
      </w:r>
    </w:p>
    <w:p w14:paraId="355EC45F" w14:textId="77777777" w:rsidR="00017202" w:rsidRPr="0094013A" w:rsidRDefault="00017202"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 xml:space="preserve">Attendance by an </w:t>
      </w:r>
      <w:r w:rsidRPr="00D270B7">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w:t>
      </w:r>
      <w:r>
        <w:rPr>
          <w:rFonts w:ascii="Arial Narrow" w:hAnsi="Arial Narrow"/>
          <w:sz w:val="20"/>
          <w:szCs w:val="20"/>
        </w:rPr>
        <w:t>up to</w:t>
      </w:r>
      <w:r w:rsidRPr="0094013A">
        <w:rPr>
          <w:rFonts w:ascii="Arial Narrow" w:hAnsi="Arial Narrow"/>
          <w:sz w:val="20"/>
          <w:szCs w:val="20"/>
        </w:rPr>
        <w:t xml:space="preserve"> 15 minutes, with a multidisciplinary team of at least three other formal care pro</w:t>
      </w:r>
      <w:r>
        <w:rPr>
          <w:rFonts w:ascii="Arial Narrow" w:hAnsi="Arial Narrow"/>
          <w:sz w:val="20"/>
          <w:szCs w:val="20"/>
        </w:rPr>
        <w:t>viders of different disciplines.</w:t>
      </w:r>
    </w:p>
    <w:p w14:paraId="0FA03BAB" w14:textId="77777777" w:rsidR="00017202" w:rsidRPr="00F02279"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0" w:line="240" w:lineRule="auto"/>
        <w:rPr>
          <w:rFonts w:ascii="Arial Narrow" w:hAnsi="Arial Narrow"/>
          <w:b/>
          <w:bCs/>
          <w:color w:val="000000"/>
          <w:sz w:val="20"/>
          <w:lang w:eastAsia="en-AU"/>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42.71</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32.03</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36.30</w:t>
      </w:r>
    </w:p>
    <w:p w14:paraId="111DC9B8"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6065</w:t>
      </w:r>
    </w:p>
    <w:p w14:paraId="3ED04CF8" w14:textId="77777777" w:rsidR="00017202" w:rsidRPr="0094013A" w:rsidRDefault="00017202"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 xml:space="preserve">Attendance by an </w:t>
      </w:r>
      <w:r w:rsidRPr="00D270B7">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at least 15 minutes but less than 30 minutes, with a multidisciplinary team of at least three other formal care pro</w:t>
      </w:r>
      <w:r>
        <w:rPr>
          <w:rFonts w:ascii="Arial Narrow" w:hAnsi="Arial Narrow"/>
          <w:sz w:val="20"/>
          <w:szCs w:val="20"/>
        </w:rPr>
        <w:t>viders of different disciplines.</w:t>
      </w:r>
    </w:p>
    <w:p w14:paraId="5825979D" w14:textId="52B8B7C3" w:rsidR="00017202" w:rsidRPr="00676763"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969"/>
        </w:tabs>
        <w:spacing w:after="120" w:line="240" w:lineRule="auto"/>
        <w:rPr>
          <w:rFonts w:ascii="Arial Narrow" w:hAnsi="Arial Narrow" w:cs="Calibri"/>
          <w:color w:val="000000"/>
          <w:sz w:val="20"/>
          <w:u w:val="single"/>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$75.50</w:t>
      </w:r>
      <w:r w:rsidR="0033254C">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33254C">
        <w:rPr>
          <w:rFonts w:ascii="Arial Narrow" w:hAnsi="Arial Narrow" w:cs="Verdana"/>
          <w:b/>
          <w:sz w:val="20"/>
          <w:lang w:val="en-US" w:eastAsia="en-AU"/>
        </w:rPr>
        <w:t xml:space="preserve"> 75% = $56.65</w:t>
      </w:r>
      <w:r w:rsidR="0033254C">
        <w:rPr>
          <w:rFonts w:ascii="Arial Narrow" w:hAnsi="Arial Narrow" w:cs="Verdana"/>
          <w:b/>
          <w:sz w:val="20"/>
          <w:lang w:val="en-US" w:eastAsia="en-AU"/>
        </w:rPr>
        <w:tab/>
      </w:r>
      <w:r w:rsidRPr="00715940">
        <w:rPr>
          <w:rFonts w:ascii="Arial Narrow" w:hAnsi="Arial Narrow" w:cs="Verdana"/>
          <w:b/>
          <w:sz w:val="20"/>
          <w:lang w:val="en-US" w:eastAsia="en-AU"/>
        </w:rPr>
        <w:t>85% = $64.20</w:t>
      </w:r>
    </w:p>
    <w:p w14:paraId="353653DA"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6067</w:t>
      </w:r>
    </w:p>
    <w:p w14:paraId="003BA8AB" w14:textId="77777777" w:rsidR="00017202" w:rsidRPr="0094013A" w:rsidRDefault="00017202"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 xml:space="preserve">an </w:t>
      </w:r>
      <w:r w:rsidRPr="00D270B7">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30 minutes but less than 45 minutes, with a multidisciplinary team of at least three other formal care providers of different disciplines </w:t>
      </w:r>
    </w:p>
    <w:p w14:paraId="0BC24CC4" w14:textId="77777777" w:rsidR="00017202" w:rsidRPr="00676763"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113.29</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84.97</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96.30</w:t>
      </w:r>
    </w:p>
    <w:p w14:paraId="3807A7DD"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sz w:val="20"/>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6068</w:t>
      </w:r>
    </w:p>
    <w:p w14:paraId="18BF9508" w14:textId="77777777" w:rsidR="00017202" w:rsidRPr="0094013A" w:rsidRDefault="00017202"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 xml:space="preserve">an </w:t>
      </w:r>
      <w:r w:rsidRPr="00D270B7">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45 minutes, with a multidisciplinary team of at least three other formal care providers of different disciplines </w:t>
      </w:r>
    </w:p>
    <w:p w14:paraId="08C5109A" w14:textId="737BFEC4" w:rsidR="00017202" w:rsidRPr="00676763"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after="120" w:line="240" w:lineRule="auto"/>
        <w:rPr>
          <w:rFonts w:ascii="Arial Narrow" w:hAnsi="Arial Narrow" w:cs="Calibri"/>
          <w:color w:val="000000"/>
          <w:sz w:val="20"/>
          <w:u w:val="single"/>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 </w:t>
      </w:r>
      <w:r>
        <w:rPr>
          <w:rFonts w:ascii="Arial Narrow" w:hAnsi="Arial Narrow" w:cs="Verdana"/>
          <w:b/>
          <w:sz w:val="20"/>
          <w:lang w:val="en-US" w:eastAsia="en-AU"/>
        </w:rPr>
        <w:t xml:space="preserve"> </w:t>
      </w:r>
      <w:r w:rsidR="0033254C">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 </w:t>
      </w:r>
      <w:r>
        <w:rPr>
          <w:rFonts w:ascii="Arial Narrow" w:hAnsi="Arial Narrow" w:cs="Verdana"/>
          <w:b/>
          <w:sz w:val="20"/>
          <w:lang w:val="en-US" w:eastAsia="en-AU"/>
        </w:rPr>
        <w:t xml:space="preserve"> </w:t>
      </w:r>
      <w:r w:rsidR="0033254C">
        <w:rPr>
          <w:rFonts w:ascii="Arial Narrow" w:hAnsi="Arial Narrow" w:cs="Verdana"/>
          <w:b/>
          <w:sz w:val="20"/>
          <w:lang w:val="en-US" w:eastAsia="en-AU"/>
        </w:rPr>
        <w:tab/>
      </w:r>
      <w:r w:rsidRPr="00715940">
        <w:rPr>
          <w:rFonts w:ascii="Arial Narrow" w:hAnsi="Arial Narrow" w:cs="Verdana"/>
          <w:b/>
          <w:sz w:val="20"/>
          <w:lang w:val="en-US" w:eastAsia="en-AU"/>
        </w:rPr>
        <w:t>85% = $128.30</w:t>
      </w:r>
    </w:p>
    <w:p w14:paraId="0B1A9C5F" w14:textId="77777777" w:rsidR="00017202" w:rsidRPr="00F330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PARTICIPATION -</w:t>
      </w:r>
      <w:r>
        <w:rPr>
          <w:rFonts w:ascii="Arial Narrow" w:hAnsi="Arial Narrow"/>
          <w:b/>
          <w:bCs/>
          <w:color w:val="000000"/>
          <w:sz w:val="20"/>
          <w:lang w:eastAsia="en-AU"/>
        </w:rPr>
        <w:t xml:space="preserve"> SEXUAL HEALTH MEDICINE SPECIALIST</w:t>
      </w:r>
    </w:p>
    <w:p w14:paraId="16ED9360"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6071</w:t>
      </w:r>
    </w:p>
    <w:p w14:paraId="333B7975"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sz w:val="20"/>
        </w:rPr>
      </w:pPr>
      <w:r w:rsidRPr="0094013A">
        <w:rPr>
          <w:rFonts w:ascii="Arial Narrow" w:hAnsi="Arial Narrow"/>
          <w:sz w:val="20"/>
        </w:rPr>
        <w:t xml:space="preserve">Attendance by </w:t>
      </w:r>
      <w:r>
        <w:rPr>
          <w:rFonts w:ascii="Arial Narrow" w:hAnsi="Arial Narrow"/>
          <w:sz w:val="20"/>
        </w:rPr>
        <w:t xml:space="preserve">an </w:t>
      </w:r>
      <w:r w:rsidRPr="00D270B7">
        <w:rPr>
          <w:rFonts w:ascii="Arial Narrow" w:hAnsi="Arial Narrow"/>
          <w:sz w:val="20"/>
        </w:rPr>
        <w:t xml:space="preserve">sexual health medicine </w:t>
      </w:r>
      <w:r>
        <w:rPr>
          <w:rFonts w:ascii="Arial Narrow" w:hAnsi="Arial Narrow"/>
          <w:sz w:val="20"/>
        </w:rPr>
        <w:t>specialist</w:t>
      </w:r>
      <w:r w:rsidRPr="0094013A">
        <w:rPr>
          <w:rFonts w:ascii="Arial Narrow" w:hAnsi="Arial Narrow"/>
          <w:sz w:val="20"/>
        </w:rPr>
        <w:t xml:space="preserve"> in the practice of his or her specialty, as a member of a case conference team, to </w:t>
      </w:r>
      <w:r w:rsidRPr="0094013A">
        <w:rPr>
          <w:rFonts w:ascii="Arial Narrow" w:hAnsi="Arial Narrow"/>
          <w:b/>
          <w:bCs/>
          <w:sz w:val="20"/>
        </w:rPr>
        <w:t>PARTICIPATE IN A COMMUNITY CASE CONFERENCE</w:t>
      </w:r>
      <w:r w:rsidRPr="0094013A">
        <w:rPr>
          <w:rFonts w:ascii="Arial Narrow" w:hAnsi="Arial Narrow"/>
          <w:sz w:val="20"/>
        </w:rPr>
        <w:t xml:space="preserve"> (other than to organise and to coordinate the conference) of a least 15 minutes but less than 30 minutes, with a multidisciplinary team of at least two other formal care pro</w:t>
      </w:r>
      <w:r>
        <w:rPr>
          <w:rFonts w:ascii="Arial Narrow" w:hAnsi="Arial Narrow"/>
          <w:sz w:val="20"/>
        </w:rPr>
        <w:t>viders of different disciplines.</w:t>
      </w:r>
    </w:p>
    <w:p w14:paraId="0BAF3E18" w14:textId="77777777" w:rsidR="00017202" w:rsidRPr="00F02279"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0" w:line="240" w:lineRule="auto"/>
        <w:rPr>
          <w:rFonts w:ascii="Arial Narrow" w:hAnsi="Arial Narrow"/>
          <w:b/>
          <w:bCs/>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34.16</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25.62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29.04</w:t>
      </w:r>
    </w:p>
    <w:p w14:paraId="5CEDE839"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6072</w:t>
      </w:r>
    </w:p>
    <w:p w14:paraId="2DF2B3D1" w14:textId="77777777" w:rsidR="00017202" w:rsidRPr="00676763" w:rsidRDefault="00017202"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cs="Calibri"/>
          <w:sz w:val="20"/>
          <w:szCs w:val="20"/>
        </w:rPr>
      </w:pPr>
      <w:r w:rsidRPr="0094013A">
        <w:rPr>
          <w:rFonts w:ascii="Arial Narrow" w:hAnsi="Arial Narrow"/>
          <w:sz w:val="20"/>
          <w:szCs w:val="20"/>
        </w:rPr>
        <w:lastRenderedPageBreak/>
        <w:t xml:space="preserve">Attendance by </w:t>
      </w:r>
      <w:r>
        <w:rPr>
          <w:rFonts w:ascii="Arial Narrow" w:hAnsi="Arial Narrow"/>
          <w:sz w:val="20"/>
          <w:szCs w:val="20"/>
        </w:rPr>
        <w:t xml:space="preserve">an </w:t>
      </w:r>
      <w:r w:rsidRPr="00D270B7">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PARTICIPATE IN A COMMUNITY CASE CONFERENCE</w:t>
      </w:r>
      <w:r w:rsidRPr="0094013A">
        <w:rPr>
          <w:rFonts w:ascii="Arial Narrow" w:hAnsi="Arial Narrow"/>
          <w:sz w:val="20"/>
          <w:szCs w:val="20"/>
        </w:rPr>
        <w:t xml:space="preserve"> (other than to organise and to coordinate the conference) of a least 15 minutes but less than 30 minutes, with a multidisciplinary team of at least two other formal care pro</w:t>
      </w:r>
      <w:r>
        <w:rPr>
          <w:rFonts w:ascii="Arial Narrow" w:hAnsi="Arial Narrow"/>
          <w:sz w:val="20"/>
          <w:szCs w:val="20"/>
        </w:rPr>
        <w:t>viders of different disciplines.</w:t>
      </w:r>
    </w:p>
    <w:p w14:paraId="52E91BFC" w14:textId="77777777" w:rsidR="00017202" w:rsidRPr="00676763"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60.42</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45.32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51.36</w:t>
      </w:r>
    </w:p>
    <w:p w14:paraId="53E38230" w14:textId="77777777" w:rsidR="00017202" w:rsidRPr="00F02279"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6074</w:t>
      </w:r>
    </w:p>
    <w:p w14:paraId="5A065E00" w14:textId="77777777" w:rsidR="00017202" w:rsidRPr="00676763"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A57A0D">
        <w:rPr>
          <w:rFonts w:ascii="Arial Narrow" w:hAnsi="Arial Narrow"/>
          <w:color w:val="000000"/>
          <w:sz w:val="20"/>
          <w:lang w:eastAsia="en-AU"/>
        </w:rPr>
        <w:t xml:space="preserve">Attendance by a consultant physician in the practice of his or her specialty, as a member of a case conference team, to </w:t>
      </w:r>
      <w:r w:rsidRPr="00A57A0D">
        <w:rPr>
          <w:rFonts w:ascii="Arial Narrow" w:hAnsi="Arial Narrow"/>
          <w:b/>
          <w:bCs/>
          <w:color w:val="000000"/>
          <w:sz w:val="20"/>
          <w:lang w:eastAsia="en-AU"/>
        </w:rPr>
        <w:t xml:space="preserve">PARTICIPATE IN A COMMUNITY CASE CONFERENCE </w:t>
      </w:r>
      <w:r w:rsidRPr="00A57A0D">
        <w:rPr>
          <w:rFonts w:ascii="Arial Narrow" w:hAnsi="Arial Narrow"/>
          <w:color w:val="000000"/>
          <w:sz w:val="20"/>
          <w:lang w:eastAsia="en-AU"/>
        </w:rPr>
        <w:t>(other than to organise and to coordinate the conference) of at least 30 minutes but less than 45 minutes, with a multidisciplinary team of at least two other formal care providers of different disciplines</w:t>
      </w:r>
      <w:r>
        <w:rPr>
          <w:rFonts w:ascii="Arial Narrow" w:hAnsi="Arial Narrow"/>
          <w:color w:val="000000"/>
          <w:sz w:val="20"/>
          <w:lang w:eastAsia="en-AU"/>
        </w:rPr>
        <w:t>.</w:t>
      </w:r>
    </w:p>
    <w:p w14:paraId="41511BCA" w14:textId="77777777" w:rsidR="00017202" w:rsidRPr="00676763"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90.63</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67.98</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77.04</w:t>
      </w:r>
    </w:p>
    <w:p w14:paraId="5FA3DC8A" w14:textId="77777777" w:rsidR="0001720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6075</w:t>
      </w:r>
    </w:p>
    <w:p w14:paraId="2C5070E7" w14:textId="77777777" w:rsidR="00017202" w:rsidRPr="00A57A0D" w:rsidRDefault="00017202"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A57A0D">
        <w:rPr>
          <w:rFonts w:ascii="Arial Narrow" w:hAnsi="Arial Narrow"/>
          <w:sz w:val="20"/>
          <w:szCs w:val="20"/>
        </w:rPr>
        <w:t xml:space="preserve">Attendance by a consultant physician in the practice of his or her specialty, as a member of a case conference team, to </w:t>
      </w:r>
      <w:r w:rsidRPr="00A57A0D">
        <w:rPr>
          <w:rFonts w:ascii="Arial Narrow" w:hAnsi="Arial Narrow"/>
          <w:b/>
          <w:bCs/>
          <w:sz w:val="20"/>
          <w:szCs w:val="20"/>
        </w:rPr>
        <w:t>PARTICIPATE IN A COMMUNITY CASE CONFERENCE</w:t>
      </w:r>
      <w:r w:rsidRPr="00A57A0D">
        <w:rPr>
          <w:rFonts w:ascii="Arial Narrow" w:hAnsi="Arial Narrow"/>
          <w:sz w:val="20"/>
          <w:szCs w:val="20"/>
        </w:rPr>
        <w:t xml:space="preserve"> (other than to organise and to coordinate the conference) of at least 45 minutes, with a multidisciplinary team of at least two other formal care providers of different disciplines</w:t>
      </w:r>
      <w:r>
        <w:rPr>
          <w:rFonts w:ascii="Arial Narrow" w:hAnsi="Arial Narrow"/>
          <w:sz w:val="20"/>
          <w:szCs w:val="20"/>
        </w:rPr>
        <w:t>.</w:t>
      </w:r>
    </w:p>
    <w:p w14:paraId="25080E6F" w14:textId="77777777" w:rsidR="00017202" w:rsidRPr="00676763"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120.75</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90.56</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102.64</w:t>
      </w:r>
    </w:p>
    <w:p w14:paraId="2FBE7755" w14:textId="4F7D3633" w:rsidR="00A04EB1" w:rsidRPr="00C875BE" w:rsidRDefault="00A04EB1" w:rsidP="00C875BE">
      <w:pPr>
        <w:pStyle w:val="AspexBodyStandard"/>
        <w:rPr>
          <w:b/>
        </w:rPr>
      </w:pPr>
      <w:r w:rsidRPr="00C875BE">
        <w:rPr>
          <w:b/>
        </w:rPr>
        <w:t xml:space="preserve">Proposed </w:t>
      </w:r>
      <w:r w:rsidR="00490E3F" w:rsidRPr="00490E3F">
        <w:rPr>
          <w:b/>
        </w:rPr>
        <w:t>descriptors for residential care/home visits items</w:t>
      </w:r>
      <w:r w:rsidR="00490E3F">
        <w:rPr>
          <w:b/>
        </w:rPr>
        <w:t xml:space="preserve"> </w:t>
      </w:r>
      <w:r w:rsidR="0067099E">
        <w:rPr>
          <w:b/>
        </w:rPr>
        <w:t>which would sit under Option 1 or 2 above)</w:t>
      </w:r>
    </w:p>
    <w:p w14:paraId="65EF95ED" w14:textId="77777777" w:rsidR="00017202" w:rsidRPr="0073553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7B771B">
        <w:rPr>
          <w:rFonts w:ascii="Arial Narrow" w:hAnsi="Arial Narrow"/>
          <w:b/>
          <w:color w:val="000000"/>
          <w:sz w:val="20"/>
          <w:lang w:eastAsia="en-AU"/>
        </w:rPr>
        <w:t>SEXUAL HEALTH MEDICINE SPECIALIST - REFERRED CONSULTATION - HOME VISITS</w:t>
      </w:r>
    </w:p>
    <w:p w14:paraId="3357A4A0" w14:textId="77777777" w:rsidR="00017202" w:rsidRPr="00AF7A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735532">
        <w:rPr>
          <w:rFonts w:ascii="Arial Narrow" w:hAnsi="Arial Narrow" w:cs="Calibri"/>
          <w:color w:val="000000"/>
          <w:sz w:val="20"/>
          <w:u w:val="single"/>
          <w:lang w:eastAsia="en-AU"/>
        </w:rPr>
        <w:t xml:space="preserve">MBS </w:t>
      </w:r>
      <w:r>
        <w:rPr>
          <w:rFonts w:ascii="Arial Narrow" w:hAnsi="Arial Narrow" w:cs="Calibri"/>
          <w:color w:val="000000"/>
          <w:sz w:val="20"/>
          <w:u w:val="single"/>
          <w:lang w:eastAsia="en-AU"/>
        </w:rPr>
        <w:t>Item 6057</w:t>
      </w:r>
    </w:p>
    <w:p w14:paraId="44536DCF" w14:textId="77777777" w:rsidR="00017202" w:rsidRPr="00AF7A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sidRPr="00AF7AFD">
        <w:rPr>
          <w:rFonts w:ascii="Arial Narrow" w:hAnsi="Arial Narrow"/>
          <w:color w:val="000000"/>
          <w:sz w:val="20"/>
          <w:lang w:eastAsia="en-AU"/>
        </w:rPr>
        <w:t xml:space="preserve">Professional attendance at a place other than consulting rooms or hospital by a consultant physician in the practice of his or her specialty (other than in psychiatry) where the patient is referred to him or </w:t>
      </w:r>
      <w:r>
        <w:rPr>
          <w:rFonts w:ascii="Arial Narrow" w:hAnsi="Arial Narrow"/>
          <w:color w:val="000000"/>
          <w:sz w:val="20"/>
          <w:lang w:eastAsia="en-AU"/>
        </w:rPr>
        <w:t>her by a referring practitioner</w:t>
      </w:r>
    </w:p>
    <w:p w14:paraId="4FA87650" w14:textId="77777777" w:rsidR="00017202" w:rsidRPr="00AF7A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sidRPr="00AF7AFD">
        <w:rPr>
          <w:rFonts w:ascii="Arial Narrow" w:hAnsi="Arial Narrow"/>
          <w:color w:val="000000"/>
          <w:sz w:val="20"/>
          <w:lang w:eastAsia="en-AU"/>
        </w:rPr>
        <w:t>- INITIAL attendance in a single course of treatment</w:t>
      </w:r>
    </w:p>
    <w:p w14:paraId="0CCFCC48" w14:textId="0B53E4DC" w:rsidR="00017202" w:rsidRPr="00AF7AFD"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before="100" w:beforeAutospacing="1" w:after="120" w:line="240" w:lineRule="auto"/>
        <w:rPr>
          <w:rFonts w:ascii="Arial Narrow" w:hAnsi="Arial Narrow"/>
          <w:b/>
          <w:color w:val="000000"/>
          <w:sz w:val="20"/>
          <w:lang w:eastAsia="en-AU"/>
        </w:rPr>
      </w:pPr>
      <w:r w:rsidRPr="00AF7AFD">
        <w:rPr>
          <w:rFonts w:ascii="Arial Narrow" w:hAnsi="Arial Narrow"/>
          <w:b/>
          <w:color w:val="000000"/>
          <w:sz w:val="20"/>
          <w:lang w:eastAsia="en-AU"/>
        </w:rPr>
        <w:t>Fee: $183.10</w:t>
      </w:r>
      <w:r w:rsidR="0033254C">
        <w:rPr>
          <w:rFonts w:ascii="Arial Narrow" w:hAnsi="Arial Narrow"/>
          <w:b/>
          <w:color w:val="000000"/>
          <w:sz w:val="20"/>
          <w:lang w:eastAsia="en-AU"/>
        </w:rPr>
        <w:tab/>
      </w:r>
      <w:r w:rsidRPr="00AF7AFD">
        <w:rPr>
          <w:rFonts w:ascii="Arial Narrow" w:hAnsi="Arial Narrow"/>
          <w:b/>
          <w:color w:val="000000"/>
          <w:sz w:val="20"/>
          <w:lang w:eastAsia="en-AU"/>
        </w:rPr>
        <w:t>Benefit: 75% = $137.35</w:t>
      </w:r>
      <w:r w:rsidR="0033254C">
        <w:rPr>
          <w:rFonts w:ascii="Arial Narrow" w:hAnsi="Arial Narrow"/>
          <w:b/>
          <w:color w:val="000000"/>
          <w:sz w:val="20"/>
          <w:lang w:eastAsia="en-AU"/>
        </w:rPr>
        <w:tab/>
      </w:r>
      <w:r>
        <w:rPr>
          <w:rFonts w:ascii="Arial Narrow" w:hAnsi="Arial Narrow"/>
          <w:b/>
          <w:color w:val="000000"/>
          <w:sz w:val="20"/>
          <w:lang w:eastAsia="en-AU"/>
        </w:rPr>
        <w:t xml:space="preserve"> </w:t>
      </w:r>
      <w:r w:rsidRPr="00AF7AFD">
        <w:rPr>
          <w:rFonts w:ascii="Arial Narrow" w:hAnsi="Arial Narrow"/>
          <w:b/>
          <w:color w:val="000000"/>
          <w:sz w:val="20"/>
          <w:lang w:eastAsia="en-AU"/>
        </w:rPr>
        <w:t>85% = $155.65</w:t>
      </w:r>
    </w:p>
    <w:p w14:paraId="1ADCAB3E" w14:textId="77777777" w:rsidR="00017202" w:rsidRPr="00735532"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AF7AFD">
        <w:rPr>
          <w:rFonts w:ascii="Arial Narrow" w:hAnsi="Arial Narrow"/>
          <w:b/>
          <w:color w:val="000000"/>
          <w:sz w:val="20"/>
          <w:lang w:eastAsia="en-AU"/>
        </w:rPr>
        <w:t>SEXUAL HEALTH MEDICINE SPECIALIST - REFERRED CONSULTATION - HOME VISITS</w:t>
      </w:r>
    </w:p>
    <w:p w14:paraId="1EA22F22" w14:textId="77777777" w:rsidR="00017202" w:rsidRPr="00AF7A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735532">
        <w:rPr>
          <w:rFonts w:ascii="Arial Narrow" w:hAnsi="Arial Narrow" w:cs="Calibri"/>
          <w:color w:val="000000"/>
          <w:sz w:val="20"/>
          <w:u w:val="single"/>
          <w:lang w:eastAsia="en-AU"/>
        </w:rPr>
        <w:t xml:space="preserve">MBS </w:t>
      </w:r>
      <w:r>
        <w:rPr>
          <w:rFonts w:ascii="Arial Narrow" w:hAnsi="Arial Narrow" w:cs="Calibri"/>
          <w:color w:val="000000"/>
          <w:sz w:val="20"/>
          <w:u w:val="single"/>
          <w:lang w:eastAsia="en-AU"/>
        </w:rPr>
        <w:t>Item 6058</w:t>
      </w:r>
    </w:p>
    <w:p w14:paraId="4EF6FB60" w14:textId="77777777" w:rsidR="00017202" w:rsidRPr="00AF7AFD" w:rsidRDefault="00017202"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Pr>
          <w:rFonts w:ascii="Arial Narrow" w:hAnsi="Arial Narrow"/>
          <w:color w:val="000000"/>
          <w:sz w:val="20"/>
          <w:lang w:eastAsia="en-AU"/>
        </w:rPr>
        <w:t xml:space="preserve">- Each attendance </w:t>
      </w:r>
      <w:r w:rsidRPr="00AF7AFD">
        <w:rPr>
          <w:rFonts w:ascii="Arial Narrow" w:hAnsi="Arial Narrow"/>
          <w:color w:val="000000"/>
          <w:sz w:val="20"/>
          <w:lang w:eastAsia="en-AU"/>
        </w:rPr>
        <w:t>SUBSEQUENT to the first in a single course of treatment</w:t>
      </w:r>
    </w:p>
    <w:p w14:paraId="74166B69" w14:textId="77777777" w:rsidR="00017202" w:rsidRPr="00AF7AFD" w:rsidRDefault="00017202"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before="100" w:beforeAutospacing="1" w:after="120" w:line="240" w:lineRule="auto"/>
        <w:rPr>
          <w:rFonts w:ascii="Arial Narrow" w:hAnsi="Arial Narrow"/>
          <w:b/>
          <w:color w:val="000000"/>
          <w:sz w:val="20"/>
          <w:lang w:eastAsia="en-AU"/>
        </w:rPr>
      </w:pPr>
      <w:r w:rsidRPr="00AF7AFD">
        <w:rPr>
          <w:rFonts w:ascii="Arial Narrow" w:hAnsi="Arial Narrow"/>
          <w:b/>
          <w:color w:val="000000"/>
          <w:sz w:val="20"/>
          <w:lang w:eastAsia="en-AU"/>
        </w:rPr>
        <w:t>Fee: $110.75 Benefit: 75% = $83.10 85% = $94.15</w:t>
      </w:r>
    </w:p>
    <w:p w14:paraId="70E3F917" w14:textId="1A965415" w:rsidR="00C875BE" w:rsidRDefault="00C875BE" w:rsidP="00C875BE">
      <w:pPr>
        <w:pStyle w:val="AspexBodyStandard"/>
        <w:rPr>
          <w:b/>
        </w:rPr>
      </w:pPr>
      <w:r w:rsidRPr="00C875BE">
        <w:rPr>
          <w:b/>
        </w:rPr>
        <w:t>Proposed descriptors for short and long tele</w:t>
      </w:r>
      <w:r w:rsidR="0067099E">
        <w:rPr>
          <w:b/>
        </w:rPr>
        <w:t xml:space="preserve">health </w:t>
      </w:r>
      <w:r w:rsidRPr="00C875BE">
        <w:rPr>
          <w:b/>
        </w:rPr>
        <w:t>items</w:t>
      </w:r>
      <w:r w:rsidR="0067099E">
        <w:rPr>
          <w:b/>
        </w:rPr>
        <w:t xml:space="preserve"> (which would sit under Option 1 or 2 above)</w:t>
      </w:r>
    </w:p>
    <w:p w14:paraId="54C56CF4" w14:textId="010654DA" w:rsidR="005E6C07" w:rsidRPr="00C875BE" w:rsidRDefault="005E6C07" w:rsidP="00C875BE">
      <w:pPr>
        <w:pStyle w:val="AspexBodyStandard"/>
        <w:rPr>
          <w:b/>
        </w:rPr>
      </w:pPr>
      <w:r>
        <w:rPr>
          <w:b/>
        </w:rPr>
        <w:t>OPTION 1 – Physician</w:t>
      </w:r>
      <w:r w:rsidR="00CA43F0">
        <w:rPr>
          <w:b/>
        </w:rPr>
        <w:t>-</w:t>
      </w:r>
      <w:r>
        <w:rPr>
          <w:b/>
        </w:rPr>
        <w:t>equivalent items for telehealth</w:t>
      </w:r>
    </w:p>
    <w:p w14:paraId="3C2AE9A4" w14:textId="77777777" w:rsidR="00E44FE5" w:rsidRPr="00F330FD" w:rsidRDefault="00E44FE5" w:rsidP="005F47B7">
      <w:pPr>
        <w:pBdr>
          <w:top w:val="single" w:sz="2" w:space="1" w:color="auto"/>
          <w:left w:val="single" w:sz="2" w:space="4"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90EC6">
        <w:rPr>
          <w:rFonts w:ascii="Arial Narrow" w:hAnsi="Arial Narrow" w:cs="Calibri"/>
          <w:b/>
          <w:color w:val="000000"/>
          <w:sz w:val="20"/>
          <w:lang w:eastAsia="en-AU"/>
        </w:rPr>
        <w:t xml:space="preserve">PROFESSIONAL ATTENDANCE </w:t>
      </w:r>
      <w:r>
        <w:rPr>
          <w:rFonts w:ascii="Arial Narrow" w:hAnsi="Arial Narrow" w:cs="Calibri"/>
          <w:b/>
          <w:color w:val="000000"/>
          <w:sz w:val="20"/>
          <w:lang w:eastAsia="en-AU"/>
        </w:rPr>
        <w:t xml:space="preserve">– </w:t>
      </w:r>
      <w:r w:rsidRPr="00690EC6">
        <w:rPr>
          <w:rFonts w:ascii="Arial Narrow" w:hAnsi="Arial Narrow" w:cs="Calibri"/>
          <w:b/>
          <w:color w:val="000000"/>
          <w:sz w:val="20"/>
          <w:lang w:eastAsia="en-AU"/>
        </w:rPr>
        <w:t>TELEHEALTH</w:t>
      </w:r>
      <w:r>
        <w:rPr>
          <w:rFonts w:ascii="Arial Narrow" w:hAnsi="Arial Narrow" w:cs="Calibri"/>
          <w:b/>
          <w:color w:val="000000"/>
          <w:sz w:val="20"/>
          <w:lang w:eastAsia="en-AU"/>
        </w:rPr>
        <w:t xml:space="preserve"> (SHORT)</w:t>
      </w:r>
    </w:p>
    <w:p w14:paraId="55520F1F" w14:textId="77777777" w:rsidR="00E44FE5" w:rsidRPr="00DB31F1" w:rsidRDefault="00E44FE5" w:rsidP="005F47B7">
      <w:pPr>
        <w:pBdr>
          <w:top w:val="single" w:sz="2" w:space="1" w:color="auto"/>
          <w:left w:val="single" w:sz="2" w:space="4"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DB31F1">
        <w:rPr>
          <w:rFonts w:ascii="Arial Narrow" w:hAnsi="Arial Narrow" w:cs="Calibri"/>
          <w:color w:val="000000"/>
          <w:sz w:val="20"/>
          <w:u w:val="single"/>
          <w:lang w:eastAsia="en-AU"/>
        </w:rPr>
        <w:t>MBS Item 6062</w:t>
      </w:r>
    </w:p>
    <w:p w14:paraId="481AEA3C" w14:textId="77777777" w:rsidR="00E44FE5" w:rsidRPr="00867BFB" w:rsidRDefault="00E44FE5" w:rsidP="005F47B7">
      <w:pPr>
        <w:pBdr>
          <w:top w:val="single" w:sz="2" w:space="1" w:color="auto"/>
          <w:left w:val="single" w:sz="2" w:space="4"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p>
    <w:p w14:paraId="4B98CEB2" w14:textId="77777777" w:rsidR="00E44FE5" w:rsidRPr="00867BFB" w:rsidRDefault="00E44FE5" w:rsidP="005F47B7">
      <w:pPr>
        <w:pBdr>
          <w:top w:val="single" w:sz="2" w:space="1" w:color="auto"/>
          <w:left w:val="single" w:sz="2" w:space="4"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Initial professional attendance of 10 minutes or less in duration on a patient by an </w:t>
      </w:r>
      <w:r w:rsidRPr="00D270B7">
        <w:rPr>
          <w:rFonts w:ascii="Arial Narrow" w:hAnsi="Arial Narrow" w:cs="Calibri"/>
          <w:color w:val="000000"/>
          <w:sz w:val="20"/>
          <w:lang w:eastAsia="en-AU"/>
        </w:rPr>
        <w:t xml:space="preserve">sexual health medicine </w:t>
      </w:r>
      <w:r w:rsidRPr="00867BFB">
        <w:rPr>
          <w:rFonts w:ascii="Arial Narrow" w:hAnsi="Arial Narrow" w:cs="Calibri"/>
          <w:color w:val="000000"/>
          <w:sz w:val="20"/>
          <w:lang w:eastAsia="en-AU"/>
        </w:rPr>
        <w:t xml:space="preserve">specialist practising in his or her specialty if: </w:t>
      </w:r>
    </w:p>
    <w:p w14:paraId="403E66C5" w14:textId="77777777" w:rsidR="00E44FE5" w:rsidRPr="00867BFB" w:rsidRDefault="00E44FE5" w:rsidP="005F47B7">
      <w:pPr>
        <w:pBdr>
          <w:top w:val="single" w:sz="2" w:space="1" w:color="auto"/>
          <w:left w:val="single" w:sz="2" w:space="4"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(a) the attendance is by video conference; and </w:t>
      </w:r>
    </w:p>
    <w:p w14:paraId="0105BC86" w14:textId="085D96E5" w:rsidR="005F47B7" w:rsidRPr="005F47B7" w:rsidRDefault="00E44FE5" w:rsidP="005F47B7">
      <w:pPr>
        <w:pBdr>
          <w:top w:val="single" w:sz="2" w:space="1" w:color="auto"/>
          <w:left w:val="single" w:sz="2" w:space="4" w:color="auto"/>
          <w:right w:val="single" w:sz="2" w:space="4" w:color="auto"/>
        </w:pBdr>
        <w:shd w:val="clear" w:color="auto" w:fill="F2F2F2" w:themeFill="background1" w:themeFillShade="F2"/>
        <w:spacing w:before="0" w:after="0" w:line="240" w:lineRule="auto"/>
        <w:rPr>
          <w:lang w:eastAsia="en-AU"/>
        </w:rPr>
      </w:pPr>
      <w:r w:rsidRPr="00867BFB">
        <w:rPr>
          <w:rFonts w:ascii="Arial Narrow" w:hAnsi="Arial Narrow" w:cs="Calibri"/>
          <w:color w:val="000000"/>
          <w:sz w:val="20"/>
          <w:lang w:eastAsia="en-AU"/>
        </w:rPr>
        <w:t xml:space="preserve">(b) the patient is not an admitted patient; and </w:t>
      </w:r>
    </w:p>
    <w:p w14:paraId="5E04162E" w14:textId="77777777" w:rsidR="00E44FE5" w:rsidRPr="00867BFB" w:rsidRDefault="00E44FE5" w:rsidP="005F47B7">
      <w:pPr>
        <w:pBdr>
          <w:top w:val="single" w:sz="2" w:space="1" w:color="auto"/>
          <w:left w:val="single" w:sz="2" w:space="4"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(c) the patient: </w:t>
      </w:r>
    </w:p>
    <w:p w14:paraId="0A63F7CF" w14:textId="03E1ACCF" w:rsidR="00E44FE5"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lastRenderedPageBreak/>
        <w:tab/>
      </w:r>
      <w:r w:rsidRPr="00867BFB">
        <w:rPr>
          <w:rFonts w:ascii="Arial Narrow" w:hAnsi="Arial Narrow" w:cs="Calibri"/>
          <w:color w:val="000000"/>
          <w:sz w:val="20"/>
          <w:lang w:eastAsia="en-AU"/>
        </w:rPr>
        <w:t xml:space="preserve">(i) is located both: </w:t>
      </w:r>
    </w:p>
    <w:p w14:paraId="1F28FC92" w14:textId="03AF3BF2"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(A) within a telehealth eligible area; and </w:t>
      </w:r>
    </w:p>
    <w:p w14:paraId="5632B601" w14:textId="749B75F9"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(B) at the time of the attendance-at least 15 kms by road from the </w:t>
      </w:r>
      <w:r w:rsidRPr="00D270B7">
        <w:rPr>
          <w:rFonts w:ascii="Arial Narrow" w:hAnsi="Arial Narrow" w:cs="Calibri"/>
          <w:color w:val="000000"/>
          <w:sz w:val="20"/>
          <w:lang w:eastAsia="en-AU"/>
        </w:rPr>
        <w:t>sexual health medicine</w:t>
      </w:r>
      <w:r>
        <w:rPr>
          <w:rFonts w:ascii="Arial Narrow" w:hAnsi="Arial Narrow" w:cs="Calibri"/>
          <w:color w:val="000000"/>
          <w:sz w:val="20"/>
          <w:lang w:eastAsia="en-AU"/>
        </w:rPr>
        <w:t xml:space="preserve"> </w:t>
      </w:r>
      <w:r w:rsidRPr="00867BFB">
        <w:rPr>
          <w:rFonts w:ascii="Arial Narrow" w:hAnsi="Arial Narrow" w:cs="Calibri"/>
          <w:color w:val="000000"/>
          <w:sz w:val="20"/>
          <w:lang w:eastAsia="en-AU"/>
        </w:rPr>
        <w:t xml:space="preserve">specialist; or </w:t>
      </w:r>
    </w:p>
    <w:p w14:paraId="727D1D74" w14:textId="0B09C11B"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(ii) is a care recipient in a residential care service; or </w:t>
      </w:r>
    </w:p>
    <w:p w14:paraId="44DFDADC" w14:textId="1041CEA7"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(iii) is a patient of: </w:t>
      </w:r>
    </w:p>
    <w:p w14:paraId="5ADBFD2A" w14:textId="47A185BB"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(A) an Aboriginal Medical Service; or </w:t>
      </w:r>
    </w:p>
    <w:p w14:paraId="50A3119A" w14:textId="76B64C73"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ind w:left="567" w:hanging="567"/>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(B) an Aboriginal Community Controlle</w:t>
      </w:r>
      <w:r>
        <w:rPr>
          <w:rFonts w:ascii="Arial Narrow" w:hAnsi="Arial Narrow" w:cs="Calibri"/>
          <w:color w:val="000000"/>
          <w:sz w:val="20"/>
          <w:lang w:eastAsia="en-AU"/>
        </w:rPr>
        <w:t xml:space="preserve">d Health Service; </w:t>
      </w:r>
      <w:r w:rsidRPr="00867BFB">
        <w:rPr>
          <w:rFonts w:ascii="Arial Narrow" w:hAnsi="Arial Narrow" w:cs="Calibri"/>
          <w:color w:val="000000"/>
          <w:sz w:val="20"/>
          <w:lang w:eastAsia="en-AU"/>
        </w:rPr>
        <w:t>for which a direction mad</w:t>
      </w:r>
      <w:r w:rsidR="00170A91">
        <w:rPr>
          <w:rFonts w:ascii="Arial Narrow" w:hAnsi="Arial Narrow" w:cs="Calibri"/>
          <w:color w:val="000000"/>
          <w:sz w:val="20"/>
          <w:lang w:eastAsia="en-AU"/>
        </w:rPr>
        <w:t xml:space="preserve">e under subsection 19 (2) of the </w:t>
      </w:r>
      <w:r w:rsidRPr="00867BFB">
        <w:rPr>
          <w:rFonts w:ascii="Arial Narrow" w:hAnsi="Arial Narrow" w:cs="Calibri"/>
          <w:color w:val="000000"/>
          <w:sz w:val="20"/>
          <w:lang w:eastAsia="en-AU"/>
        </w:rPr>
        <w:t xml:space="preserve">Act applies; and </w:t>
      </w:r>
    </w:p>
    <w:p w14:paraId="1AE71491" w14:textId="77777777" w:rsidR="00E44FE5" w:rsidRPr="00867BFB"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(d) no other initial consultation has taken place for a single course of treatment.</w:t>
      </w:r>
    </w:p>
    <w:p w14:paraId="2E0CCD6D" w14:textId="77777777" w:rsidR="00E44FE5" w:rsidRPr="00690EC6" w:rsidRDefault="00E44F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0" w:line="240" w:lineRule="auto"/>
        <w:rPr>
          <w:rFonts w:ascii="Arial Narrow" w:hAnsi="Arial Narrow" w:cs="Calibri"/>
          <w:b/>
          <w:color w:val="000000"/>
          <w:sz w:val="20"/>
          <w:lang w:eastAsia="en-AU"/>
        </w:rPr>
      </w:pPr>
      <w:r w:rsidRPr="00867BFB">
        <w:rPr>
          <w:rFonts w:ascii="Arial Narrow" w:hAnsi="Arial Narrow" w:cs="Calibri"/>
          <w:b/>
          <w:color w:val="000000"/>
          <w:sz w:val="20"/>
          <w:lang w:eastAsia="en-AU"/>
        </w:rPr>
        <w:t>Fee: $</w:t>
      </w:r>
      <w:r>
        <w:rPr>
          <w:rFonts w:ascii="Arial Narrow" w:hAnsi="Arial Narrow" w:cs="Calibri"/>
          <w:b/>
          <w:color w:val="000000"/>
          <w:sz w:val="20"/>
          <w:lang w:eastAsia="en-AU"/>
        </w:rPr>
        <w:t>113.20</w:t>
      </w:r>
      <w:r w:rsidRPr="00867BFB">
        <w:rPr>
          <w:rFonts w:ascii="Arial Narrow" w:hAnsi="Arial Narrow" w:cs="Calibri"/>
          <w:b/>
          <w:color w:val="000000"/>
          <w:sz w:val="20"/>
          <w:lang w:eastAsia="en-AU"/>
        </w:rPr>
        <w:tab/>
        <w:t>Benefit:</w:t>
      </w:r>
      <w:r w:rsidRPr="00867BFB">
        <w:rPr>
          <w:rFonts w:ascii="Arial Narrow" w:hAnsi="Arial Narrow" w:cs="Calibri"/>
          <w:b/>
          <w:color w:val="000000"/>
          <w:sz w:val="20"/>
          <w:lang w:eastAsia="en-AU"/>
        </w:rPr>
        <w:tab/>
        <w:t>85% = $</w:t>
      </w:r>
      <w:r>
        <w:rPr>
          <w:rFonts w:ascii="Arial Narrow" w:hAnsi="Arial Narrow" w:cs="Calibri"/>
          <w:b/>
          <w:color w:val="000000"/>
          <w:sz w:val="20"/>
          <w:lang w:eastAsia="en-AU"/>
        </w:rPr>
        <w:t>96.25</w:t>
      </w:r>
    </w:p>
    <w:p w14:paraId="3C31A4C4" w14:textId="77777777" w:rsidR="00E44FE5"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C62045">
        <w:rPr>
          <w:rFonts w:ascii="Arial Narrow" w:hAnsi="Arial Narrow" w:cs="Calibri"/>
          <w:b/>
          <w:color w:val="000000"/>
          <w:sz w:val="20"/>
          <w:u w:val="single"/>
          <w:lang w:eastAsia="en-AU"/>
        </w:rPr>
        <w:t>TELEHEALTH (</w:t>
      </w:r>
      <w:r>
        <w:rPr>
          <w:rFonts w:ascii="Arial Narrow" w:hAnsi="Arial Narrow" w:cs="Calibri"/>
          <w:b/>
          <w:color w:val="000000"/>
          <w:sz w:val="20"/>
          <w:u w:val="single"/>
          <w:lang w:eastAsia="en-AU"/>
        </w:rPr>
        <w:t>MORE THAN 10 MINS</w:t>
      </w:r>
      <w:r w:rsidRPr="00C62045">
        <w:rPr>
          <w:rFonts w:ascii="Arial Narrow" w:hAnsi="Arial Narrow" w:cs="Calibri"/>
          <w:b/>
          <w:color w:val="000000"/>
          <w:sz w:val="20"/>
          <w:u w:val="single"/>
          <w:lang w:eastAsia="en-AU"/>
        </w:rPr>
        <w:t>)</w:t>
      </w:r>
    </w:p>
    <w:p w14:paraId="578AC8B2" w14:textId="37DEDB27" w:rsidR="00E44FE5" w:rsidRPr="00676763" w:rsidRDefault="00E44F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sidR="006E69EE">
        <w:rPr>
          <w:rFonts w:ascii="Arial Narrow" w:hAnsi="Arial Narrow" w:cs="Calibri"/>
          <w:color w:val="000000"/>
          <w:sz w:val="20"/>
          <w:u w:val="single"/>
          <w:lang w:eastAsia="en-AU"/>
        </w:rPr>
        <w:t>606</w:t>
      </w:r>
      <w:r>
        <w:rPr>
          <w:rFonts w:ascii="Arial Narrow" w:hAnsi="Arial Narrow" w:cs="Calibri"/>
          <w:color w:val="000000"/>
          <w:sz w:val="20"/>
          <w:u w:val="single"/>
          <w:lang w:eastAsia="en-AU"/>
        </w:rPr>
        <w:t>3</w:t>
      </w:r>
    </w:p>
    <w:p w14:paraId="0242382C" w14:textId="77777777" w:rsidR="00E44FE5" w:rsidRDefault="00E44F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p>
    <w:p w14:paraId="4171ABDA" w14:textId="77777777" w:rsidR="00E44FE5" w:rsidRPr="008F187F" w:rsidRDefault="00E44F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Professional attendance on a patient by a </w:t>
      </w:r>
      <w:r w:rsidRPr="00D270B7">
        <w:rPr>
          <w:rFonts w:ascii="Arial Narrow" w:hAnsi="Arial Narrow"/>
          <w:sz w:val="20"/>
          <w:szCs w:val="20"/>
        </w:rPr>
        <w:t xml:space="preserve">sexual health medicine </w:t>
      </w:r>
      <w:r>
        <w:rPr>
          <w:rFonts w:ascii="Arial Narrow" w:hAnsi="Arial Narrow"/>
          <w:sz w:val="20"/>
          <w:szCs w:val="20"/>
        </w:rPr>
        <w:t>specialist</w:t>
      </w:r>
      <w:r w:rsidRPr="008F187F">
        <w:rPr>
          <w:rFonts w:ascii="Arial Narrow" w:hAnsi="Arial Narrow"/>
          <w:sz w:val="20"/>
          <w:szCs w:val="20"/>
        </w:rPr>
        <w:t xml:space="preserve"> practising in his or her specialty if: </w:t>
      </w:r>
    </w:p>
    <w:p w14:paraId="40DAA90F" w14:textId="77777777" w:rsidR="00E44FE5" w:rsidRPr="008F187F" w:rsidRDefault="00E44F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the attendance is by video conference; and </w:t>
      </w:r>
    </w:p>
    <w:p w14:paraId="1F946D48" w14:textId="77777777" w:rsidR="00E44FE5" w:rsidRPr="008F187F" w:rsidRDefault="00E44F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the attendance is for a service: </w:t>
      </w:r>
    </w:p>
    <w:p w14:paraId="1C312BEA" w14:textId="5045A5A6"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(i) provided with item </w:t>
      </w:r>
      <w:r w:rsidR="00E44FE5">
        <w:rPr>
          <w:rFonts w:ascii="Arial Narrow" w:hAnsi="Arial Narrow"/>
          <w:sz w:val="20"/>
          <w:szCs w:val="20"/>
        </w:rPr>
        <w:t>6051</w:t>
      </w:r>
      <w:r w:rsidR="00E44FE5" w:rsidRPr="008F187F">
        <w:rPr>
          <w:rFonts w:ascii="Arial Narrow" w:hAnsi="Arial Narrow"/>
          <w:sz w:val="20"/>
          <w:szCs w:val="20"/>
        </w:rPr>
        <w:t xml:space="preserve"> lasting more than 10 minutes; or </w:t>
      </w:r>
    </w:p>
    <w:p w14:paraId="256E71CC" w14:textId="1AF0B87C"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(ii) provided with item </w:t>
      </w:r>
      <w:r w:rsidR="00E44FE5">
        <w:rPr>
          <w:rFonts w:ascii="Arial Narrow" w:hAnsi="Arial Narrow"/>
          <w:sz w:val="20"/>
          <w:szCs w:val="20"/>
        </w:rPr>
        <w:t>6052,6059</w:t>
      </w:r>
      <w:r w:rsidR="00E44FE5" w:rsidRPr="008F187F">
        <w:rPr>
          <w:rFonts w:ascii="Arial Narrow" w:hAnsi="Arial Narrow"/>
          <w:sz w:val="20"/>
          <w:szCs w:val="20"/>
        </w:rPr>
        <w:t xml:space="preserve"> or </w:t>
      </w:r>
      <w:r w:rsidR="00E44FE5">
        <w:rPr>
          <w:rFonts w:ascii="Arial Narrow" w:hAnsi="Arial Narrow"/>
          <w:sz w:val="20"/>
          <w:szCs w:val="20"/>
        </w:rPr>
        <w:t>6060</w:t>
      </w:r>
      <w:r w:rsidR="00E44FE5" w:rsidRPr="008F187F">
        <w:rPr>
          <w:rFonts w:ascii="Arial Narrow" w:hAnsi="Arial Narrow"/>
          <w:sz w:val="20"/>
          <w:szCs w:val="20"/>
        </w:rPr>
        <w:t xml:space="preserve">; and </w:t>
      </w:r>
    </w:p>
    <w:p w14:paraId="19106505" w14:textId="77777777" w:rsidR="00E44FE5" w:rsidRPr="008F187F" w:rsidRDefault="00E44F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the patient is not an admitted patient; and </w:t>
      </w:r>
    </w:p>
    <w:p w14:paraId="2500365A" w14:textId="77777777" w:rsidR="00E44FE5" w:rsidRPr="008F187F" w:rsidRDefault="00E44F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the patient: </w:t>
      </w:r>
    </w:p>
    <w:p w14:paraId="1431E3C1" w14:textId="1FE22518"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(i) is located both: </w:t>
      </w:r>
    </w:p>
    <w:p w14:paraId="58FB1A69" w14:textId="41B5DE76"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(A) within a telehealth eligible area; and </w:t>
      </w:r>
    </w:p>
    <w:p w14:paraId="343109EF" w14:textId="79243F69"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(B) at the time of the attendance-at least 15 kms by road from the </w:t>
      </w:r>
      <w:r w:rsidR="00E44FE5" w:rsidRPr="00D270B7">
        <w:rPr>
          <w:rFonts w:ascii="Arial Narrow" w:hAnsi="Arial Narrow"/>
          <w:sz w:val="20"/>
          <w:szCs w:val="20"/>
        </w:rPr>
        <w:t xml:space="preserve">sexual health medicine </w:t>
      </w:r>
      <w:r w:rsidR="00E44FE5">
        <w:rPr>
          <w:rFonts w:ascii="Arial Narrow" w:hAnsi="Arial Narrow"/>
          <w:sz w:val="20"/>
          <w:szCs w:val="20"/>
        </w:rPr>
        <w:t>specialist</w:t>
      </w:r>
      <w:r w:rsidR="00E44FE5" w:rsidRPr="008F187F">
        <w:rPr>
          <w:rFonts w:ascii="Arial Narrow" w:hAnsi="Arial Narrow"/>
          <w:sz w:val="20"/>
          <w:szCs w:val="20"/>
        </w:rPr>
        <w:t xml:space="preserve">; or </w:t>
      </w:r>
    </w:p>
    <w:p w14:paraId="5856DCDB" w14:textId="7EA1AA95"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(ii) is a care recipient in a residential care service; or </w:t>
      </w:r>
    </w:p>
    <w:p w14:paraId="17639EE5" w14:textId="1B1A17AF"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(iii) is a patient of: </w:t>
      </w:r>
    </w:p>
    <w:p w14:paraId="63D368CB" w14:textId="27583204"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 xml:space="preserve">(A) an Aboriginal Medical Service; or </w:t>
      </w:r>
    </w:p>
    <w:p w14:paraId="744834DE" w14:textId="2CF3766E" w:rsidR="00E44FE5" w:rsidRPr="008F187F" w:rsidRDefault="00170A91"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E44FE5" w:rsidRPr="008F187F">
        <w:rPr>
          <w:rFonts w:ascii="Arial Narrow" w:hAnsi="Arial Narrow"/>
          <w:sz w:val="20"/>
          <w:szCs w:val="20"/>
        </w:rPr>
        <w:t>(B) an Aboriginal Commun</w:t>
      </w:r>
      <w:r>
        <w:rPr>
          <w:rFonts w:ascii="Arial Narrow" w:hAnsi="Arial Narrow"/>
          <w:sz w:val="20"/>
          <w:szCs w:val="20"/>
        </w:rPr>
        <w:t xml:space="preserve">ity Controlled Health Service; </w:t>
      </w:r>
      <w:r w:rsidR="00E44FE5" w:rsidRPr="008F187F">
        <w:rPr>
          <w:rFonts w:ascii="Arial Narrow" w:hAnsi="Arial Narrow"/>
          <w:sz w:val="20"/>
          <w:szCs w:val="20"/>
        </w:rPr>
        <w:t xml:space="preserve">for which a direction made under subsection 19 (2) of the </w:t>
      </w:r>
      <w:r>
        <w:rPr>
          <w:rFonts w:ascii="Arial Narrow" w:hAnsi="Arial Narrow"/>
          <w:sz w:val="20"/>
          <w:szCs w:val="20"/>
        </w:rPr>
        <w:br/>
      </w:r>
      <w:r>
        <w:rPr>
          <w:rFonts w:ascii="Arial Narrow" w:hAnsi="Arial Narrow"/>
          <w:sz w:val="20"/>
          <w:szCs w:val="20"/>
        </w:rPr>
        <w:tab/>
      </w:r>
      <w:r w:rsidR="00E44FE5" w:rsidRPr="008F187F">
        <w:rPr>
          <w:rFonts w:ascii="Arial Narrow" w:hAnsi="Arial Narrow"/>
          <w:sz w:val="20"/>
          <w:szCs w:val="20"/>
        </w:rPr>
        <w:t xml:space="preserve">Act applies </w:t>
      </w:r>
    </w:p>
    <w:p w14:paraId="112113E0" w14:textId="77777777" w:rsidR="00E44FE5" w:rsidRPr="00676763" w:rsidRDefault="00E44F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E11452">
        <w:rPr>
          <w:rFonts w:ascii="Arial Narrow" w:hAnsi="Arial Narrow" w:cs="Verdana"/>
          <w:b/>
          <w:sz w:val="20"/>
          <w:lang w:val="en-US" w:eastAsia="en-AU"/>
        </w:rPr>
        <w:t>50% of the fee for the associated item. Benefit: 85% of derived fee</w:t>
      </w:r>
    </w:p>
    <w:p w14:paraId="5EEB8DA3" w14:textId="6AF1E5BE" w:rsidR="005E6C07" w:rsidRPr="00C875BE" w:rsidRDefault="005E6C07" w:rsidP="005F47B7">
      <w:pPr>
        <w:pStyle w:val="AspexBodyStandard"/>
        <w:shd w:val="clear" w:color="auto" w:fill="F2F2F2" w:themeFill="background1" w:themeFillShade="F2"/>
        <w:rPr>
          <w:b/>
        </w:rPr>
      </w:pPr>
      <w:r>
        <w:rPr>
          <w:b/>
        </w:rPr>
        <w:t>OPTION 2 – Time-tiered item for telehealth</w:t>
      </w:r>
    </w:p>
    <w:p w14:paraId="13B34C67"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Pr>
          <w:rFonts w:ascii="Arial Narrow" w:hAnsi="Arial Narrow" w:cs="Calibri"/>
          <w:b/>
          <w:color w:val="000000"/>
          <w:sz w:val="20"/>
          <w:u w:val="single"/>
          <w:lang w:eastAsia="en-AU"/>
        </w:rPr>
        <w:t xml:space="preserve">PROFESSIONAL ATTENDANCE </w:t>
      </w:r>
      <w:r w:rsidRPr="00CA43F0">
        <w:rPr>
          <w:rFonts w:ascii="Arial Narrow" w:hAnsi="Arial Narrow" w:cs="Calibri"/>
          <w:b/>
          <w:color w:val="000000"/>
          <w:sz w:val="20"/>
          <w:u w:val="single"/>
          <w:lang w:eastAsia="en-AU"/>
        </w:rPr>
        <w:t>–</w:t>
      </w:r>
      <w:r>
        <w:rPr>
          <w:rFonts w:ascii="Arial Narrow" w:hAnsi="Arial Narrow" w:cs="Calibri"/>
          <w:b/>
          <w:color w:val="000000"/>
          <w:sz w:val="20"/>
          <w:u w:val="single"/>
          <w:lang w:eastAsia="en-AU"/>
        </w:rPr>
        <w:t xml:space="preserve"> </w:t>
      </w:r>
      <w:r w:rsidRPr="00C62045">
        <w:rPr>
          <w:rFonts w:ascii="Arial Narrow" w:hAnsi="Arial Narrow" w:cs="Calibri"/>
          <w:b/>
          <w:color w:val="000000"/>
          <w:sz w:val="20"/>
          <w:u w:val="single"/>
          <w:lang w:eastAsia="en-AU"/>
        </w:rPr>
        <w:t>TELEHEALTH</w:t>
      </w:r>
    </w:p>
    <w:p w14:paraId="6086CF00" w14:textId="7A325C21"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sidR="00354FBF">
        <w:rPr>
          <w:rFonts w:ascii="Arial Narrow" w:hAnsi="Arial Narrow" w:cs="Calibri"/>
          <w:color w:val="000000"/>
          <w:sz w:val="20"/>
          <w:u w:val="single"/>
          <w:lang w:eastAsia="en-AU"/>
        </w:rPr>
        <w:t>606</w:t>
      </w:r>
      <w:r>
        <w:rPr>
          <w:rFonts w:ascii="Arial Narrow" w:hAnsi="Arial Narrow" w:cs="Calibri"/>
          <w:color w:val="000000"/>
          <w:sz w:val="20"/>
          <w:u w:val="single"/>
          <w:lang w:eastAsia="en-AU"/>
        </w:rPr>
        <w:t>3</w:t>
      </w:r>
    </w:p>
    <w:p w14:paraId="2EC02D0F" w14:textId="77777777" w:rsidR="00F63DE5"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p>
    <w:p w14:paraId="1D8D6E2B" w14:textId="777777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Professional attendance on a patient by a </w:t>
      </w:r>
      <w:r w:rsidRPr="00D270B7">
        <w:rPr>
          <w:rFonts w:ascii="Arial Narrow" w:hAnsi="Arial Narrow"/>
          <w:sz w:val="20"/>
          <w:szCs w:val="20"/>
        </w:rPr>
        <w:t xml:space="preserve">sexual health medicine </w:t>
      </w:r>
      <w:r>
        <w:rPr>
          <w:rFonts w:ascii="Arial Narrow" w:hAnsi="Arial Narrow"/>
          <w:sz w:val="20"/>
          <w:szCs w:val="20"/>
        </w:rPr>
        <w:t>specialist</w:t>
      </w:r>
      <w:r w:rsidRPr="008F187F">
        <w:rPr>
          <w:rFonts w:ascii="Arial Narrow" w:hAnsi="Arial Narrow"/>
          <w:sz w:val="20"/>
          <w:szCs w:val="20"/>
        </w:rPr>
        <w:t xml:space="preserve"> practising in his or her specialty if: </w:t>
      </w:r>
    </w:p>
    <w:p w14:paraId="55C839AB" w14:textId="777777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the attendance is by video conference; and </w:t>
      </w:r>
    </w:p>
    <w:p w14:paraId="7D592AFC" w14:textId="777777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the attendance is for a service provided with item </w:t>
      </w:r>
      <w:r>
        <w:rPr>
          <w:rFonts w:ascii="Arial Narrow" w:hAnsi="Arial Narrow"/>
          <w:sz w:val="20"/>
          <w:szCs w:val="20"/>
        </w:rPr>
        <w:t>6051, 6052, 6054, 6055, 6059</w:t>
      </w:r>
      <w:r w:rsidRPr="008F187F">
        <w:rPr>
          <w:rFonts w:ascii="Arial Narrow" w:hAnsi="Arial Narrow"/>
          <w:sz w:val="20"/>
          <w:szCs w:val="20"/>
        </w:rPr>
        <w:t xml:space="preserve"> or </w:t>
      </w:r>
      <w:r>
        <w:rPr>
          <w:rFonts w:ascii="Arial Narrow" w:hAnsi="Arial Narrow"/>
          <w:sz w:val="20"/>
          <w:szCs w:val="20"/>
        </w:rPr>
        <w:t>6060</w:t>
      </w:r>
      <w:r w:rsidRPr="008F187F">
        <w:rPr>
          <w:rFonts w:ascii="Arial Narrow" w:hAnsi="Arial Narrow"/>
          <w:sz w:val="20"/>
          <w:szCs w:val="20"/>
        </w:rPr>
        <w:t xml:space="preserve">; and </w:t>
      </w:r>
    </w:p>
    <w:p w14:paraId="60D30BE4" w14:textId="777777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the patient is not an admitted patient; and </w:t>
      </w:r>
    </w:p>
    <w:p w14:paraId="1B7C1DE5" w14:textId="777777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the patient: </w:t>
      </w:r>
    </w:p>
    <w:p w14:paraId="03939B88" w14:textId="1245091D"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 is located both: </w:t>
      </w:r>
    </w:p>
    <w:p w14:paraId="50C272DE" w14:textId="7D7B51C2"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within a telehealth eligible area; and </w:t>
      </w:r>
    </w:p>
    <w:p w14:paraId="4EBD8CE8" w14:textId="7EFC70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at the time of the attendance-at least 15 kms by road from the </w:t>
      </w:r>
      <w:r w:rsidRPr="00D270B7">
        <w:rPr>
          <w:rFonts w:ascii="Arial Narrow" w:hAnsi="Arial Narrow"/>
          <w:sz w:val="20"/>
          <w:szCs w:val="20"/>
        </w:rPr>
        <w:t xml:space="preserve">sexual health medicine </w:t>
      </w:r>
      <w:r>
        <w:rPr>
          <w:rFonts w:ascii="Arial Narrow" w:hAnsi="Arial Narrow"/>
          <w:sz w:val="20"/>
          <w:szCs w:val="20"/>
        </w:rPr>
        <w:t>specialist</w:t>
      </w:r>
      <w:r w:rsidRPr="008F187F">
        <w:rPr>
          <w:rFonts w:ascii="Arial Narrow" w:hAnsi="Arial Narrow"/>
          <w:sz w:val="20"/>
          <w:szCs w:val="20"/>
        </w:rPr>
        <w:t xml:space="preserve">; or </w:t>
      </w:r>
    </w:p>
    <w:p w14:paraId="58D38D73" w14:textId="35738223"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is a care recipient in a residential care service; or </w:t>
      </w:r>
    </w:p>
    <w:p w14:paraId="46E66791" w14:textId="2B544AC3"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(iii) is a patient of: </w:t>
      </w:r>
    </w:p>
    <w:p w14:paraId="10200A02" w14:textId="5BC4F0B5"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an Aboriginal Medical Service; or </w:t>
      </w:r>
    </w:p>
    <w:p w14:paraId="382CAA85" w14:textId="24CB5841"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an Aboriginal Community Controlled Health Service; </w:t>
      </w:r>
    </w:p>
    <w:p w14:paraId="24968836" w14:textId="77777777" w:rsidR="00F63DE5" w:rsidRPr="008F187F"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ind w:firstLine="720"/>
        <w:rPr>
          <w:rFonts w:ascii="Arial Narrow" w:hAnsi="Arial Narrow"/>
          <w:sz w:val="20"/>
          <w:szCs w:val="20"/>
        </w:rPr>
      </w:pPr>
      <w:r w:rsidRPr="008F187F">
        <w:rPr>
          <w:rFonts w:ascii="Arial Narrow" w:hAnsi="Arial Narrow"/>
          <w:sz w:val="20"/>
          <w:szCs w:val="20"/>
        </w:rPr>
        <w:t xml:space="preserve">for which a direction made under subsection 19 (2) of the Act applies </w:t>
      </w:r>
    </w:p>
    <w:p w14:paraId="3DF43591"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E11452">
        <w:rPr>
          <w:rFonts w:ascii="Arial Narrow" w:hAnsi="Arial Narrow" w:cs="Verdana"/>
          <w:b/>
          <w:sz w:val="20"/>
          <w:lang w:val="en-US" w:eastAsia="en-AU"/>
        </w:rPr>
        <w:t xml:space="preserve">50% of the fee for the associated item. </w:t>
      </w:r>
      <w:r>
        <w:rPr>
          <w:rFonts w:ascii="Arial Narrow" w:hAnsi="Arial Narrow" w:cs="Verdana"/>
          <w:b/>
          <w:sz w:val="20"/>
          <w:lang w:val="en-US" w:eastAsia="en-AU"/>
        </w:rPr>
        <w:t xml:space="preserve">  </w:t>
      </w:r>
      <w:r w:rsidRPr="00E11452">
        <w:rPr>
          <w:rFonts w:ascii="Arial Narrow" w:hAnsi="Arial Narrow" w:cs="Verdana"/>
          <w:b/>
          <w:sz w:val="20"/>
          <w:lang w:val="en-US" w:eastAsia="en-AU"/>
        </w:rPr>
        <w:t>Benefit: 85% of derived fee</w:t>
      </w:r>
    </w:p>
    <w:p w14:paraId="2FD7B4F3" w14:textId="77777777" w:rsidR="009F5356" w:rsidRDefault="009F5356" w:rsidP="007333CE">
      <w:pPr>
        <w:pStyle w:val="Heading2"/>
      </w:pPr>
      <w:bookmarkStart w:id="20" w:name="_Toc351480510"/>
      <w:r>
        <w:lastRenderedPageBreak/>
        <w:t>Applicant’s response to the Public Summary Document</w:t>
      </w:r>
      <w:bookmarkEnd w:id="20"/>
    </w:p>
    <w:p w14:paraId="0145996F" w14:textId="77777777" w:rsidR="005E19FF" w:rsidRPr="005E19FF" w:rsidRDefault="005E19FF" w:rsidP="005E19FF">
      <w:pPr>
        <w:pStyle w:val="AspexBodyStandard"/>
      </w:pPr>
      <w:r>
        <w:t>Nil</w:t>
      </w:r>
    </w:p>
    <w:p w14:paraId="661BF1EB" w14:textId="77777777" w:rsidR="009F5356" w:rsidRDefault="009F5356" w:rsidP="007333CE">
      <w:pPr>
        <w:pStyle w:val="Heading2"/>
      </w:pPr>
      <w:bookmarkStart w:id="21" w:name="_Toc351480511"/>
      <w:r>
        <w:t>Context for decision</w:t>
      </w:r>
      <w:bookmarkEnd w:id="21"/>
    </w:p>
    <w:p w14:paraId="591C9FDC" w14:textId="77777777" w:rsidR="005E19FF" w:rsidRPr="005E19FF" w:rsidRDefault="00C875BE" w:rsidP="005E19FF">
      <w:pPr>
        <w:pStyle w:val="AspexBodyStandard"/>
      </w:pPr>
      <w:r>
        <w:t>See MSAC terms of reference.</w:t>
      </w:r>
    </w:p>
    <w:p w14:paraId="3A2D97E9" w14:textId="77777777" w:rsidR="009F5356" w:rsidRDefault="009F5356" w:rsidP="007333CE">
      <w:pPr>
        <w:pStyle w:val="Heading2"/>
      </w:pPr>
      <w:bookmarkStart w:id="22" w:name="_Toc351480512"/>
      <w:r>
        <w:t>Linkages to other documents</w:t>
      </w:r>
      <w:bookmarkEnd w:id="22"/>
    </w:p>
    <w:p w14:paraId="02298916" w14:textId="2E54754B" w:rsidR="005313B1" w:rsidRDefault="0043083E" w:rsidP="00052019">
      <w:pPr>
        <w:pStyle w:val="AspexBodyStandard"/>
      </w:pPr>
      <w:r>
        <w:t xml:space="preserve">Australian Medical Council Report on Recognition of the Specialty of </w:t>
      </w:r>
      <w:r w:rsidR="008C29C6">
        <w:t>Sexual Health Medicine</w:t>
      </w:r>
      <w:r w:rsidR="00CD1C41">
        <w:t>.</w:t>
      </w:r>
    </w:p>
    <w:p w14:paraId="0E7CB064" w14:textId="79249B27" w:rsidR="0043083E" w:rsidRDefault="0043083E" w:rsidP="00052019">
      <w:pPr>
        <w:pStyle w:val="AspexBodyStandard"/>
      </w:pPr>
      <w:r>
        <w:t xml:space="preserve">Australian Government Gazette recognising the specialty of </w:t>
      </w:r>
      <w:r w:rsidR="008C29C6">
        <w:t>Sexual Health Medicine</w:t>
      </w:r>
      <w:r w:rsidR="00CD1C41">
        <w:t>.</w:t>
      </w:r>
    </w:p>
    <w:p w14:paraId="6087A3ED" w14:textId="1A9A6E47" w:rsidR="0043083E" w:rsidRDefault="005E19FF" w:rsidP="00052019">
      <w:pPr>
        <w:pStyle w:val="AspexBodyStandard"/>
      </w:pPr>
      <w:r>
        <w:t xml:space="preserve">MSAC’s processes are detailed on the MSAC Website at: </w:t>
      </w:r>
      <w:hyperlink r:id="rId17" w:history="1">
        <w:r w:rsidR="0033254C">
          <w:rPr>
            <w:rStyle w:val="Hyperlink"/>
            <w:rFonts w:cs="Times New Roman"/>
            <w:szCs w:val="20"/>
          </w:rPr>
          <w:t>www.msac.gov.au (home page)</w:t>
        </w:r>
      </w:hyperlink>
      <w:r w:rsidR="0033254C">
        <w:rPr>
          <w:rStyle w:val="Hyperlink"/>
          <w:rFonts w:cs="Times New Roman"/>
          <w:szCs w:val="20"/>
        </w:rPr>
        <w:t xml:space="preserve"> </w:t>
      </w:r>
    </w:p>
    <w:p w14:paraId="4EA8A366" w14:textId="77777777" w:rsidR="005E19FF" w:rsidRDefault="005E19FF" w:rsidP="00052019">
      <w:pPr>
        <w:pStyle w:val="AspexBodyStandard"/>
      </w:pPr>
    </w:p>
    <w:p w14:paraId="369153E6" w14:textId="77777777" w:rsidR="005E19FF" w:rsidRDefault="00E178A4" w:rsidP="007333CE">
      <w:pPr>
        <w:pStyle w:val="Heading1"/>
      </w:pPr>
      <w:bookmarkStart w:id="23" w:name="_Toc351480513"/>
      <w:r>
        <w:lastRenderedPageBreak/>
        <w:t>P</w:t>
      </w:r>
      <w:r w:rsidR="005E19FF">
        <w:t>opulation demand</w:t>
      </w:r>
      <w:r w:rsidR="00486974">
        <w:t>,</w:t>
      </w:r>
      <w:r w:rsidR="005E19FF">
        <w:t xml:space="preserve"> </w:t>
      </w:r>
      <w:r>
        <w:t>and supply of</w:t>
      </w:r>
      <w:r w:rsidR="005E19FF">
        <w:t xml:space="preserve"> </w:t>
      </w:r>
      <w:r>
        <w:t xml:space="preserve">clinical </w:t>
      </w:r>
      <w:r w:rsidR="005E19FF">
        <w:t>services</w:t>
      </w:r>
      <w:bookmarkEnd w:id="23"/>
    </w:p>
    <w:p w14:paraId="004C8237" w14:textId="77777777" w:rsidR="00E32D5F" w:rsidRDefault="00E32D5F" w:rsidP="007333CE">
      <w:pPr>
        <w:pStyle w:val="Heading2"/>
      </w:pPr>
      <w:bookmarkStart w:id="24" w:name="_Toc351480514"/>
      <w:r>
        <w:t>The clinical population</w:t>
      </w:r>
      <w:bookmarkEnd w:id="24"/>
    </w:p>
    <w:p w14:paraId="122C1B6D" w14:textId="24DED531" w:rsidR="000151EF" w:rsidRPr="000151EF" w:rsidRDefault="00D270B7" w:rsidP="000151EF">
      <w:pPr>
        <w:pStyle w:val="AspexBodyStandard"/>
      </w:pPr>
      <w:r>
        <w:t>Sexual health medicine</w:t>
      </w:r>
      <w:r w:rsidR="0078455B">
        <w:t xml:space="preserve"> </w:t>
      </w:r>
      <w:r w:rsidR="000151EF">
        <w:t>is defined as a “…</w:t>
      </w:r>
      <w:r w:rsidR="000151EF">
        <w:rPr>
          <w:lang w:val="en-US" w:eastAsia="en-AU"/>
        </w:rPr>
        <w:t xml:space="preserve">specialized area of medical practice concerned with healthy sexual relations, including freedom from sexually </w:t>
      </w:r>
      <w:r w:rsidR="002C0139" w:rsidRPr="0014785D">
        <w:t>transmi</w:t>
      </w:r>
      <w:r w:rsidR="002C0139">
        <w:t>ssible</w:t>
      </w:r>
      <w:r w:rsidR="002C0139" w:rsidRPr="0014785D">
        <w:t xml:space="preserve"> </w:t>
      </w:r>
      <w:r w:rsidR="000151EF">
        <w:rPr>
          <w:lang w:val="en-US" w:eastAsia="en-AU"/>
        </w:rPr>
        <w:t>infections, unplanned pregnancy, coercion and physical or psychological discomfort associated with sexuality. Its practice encompasses the individual, population, social, interpersonal, microbial and immunological factors that contribute to Sexually Transmissible Infections (STIs), sexual assault, sexual dysfunction and fertility regulation.”</w:t>
      </w:r>
      <w:r w:rsidR="000151EF">
        <w:rPr>
          <w:rStyle w:val="FootnoteReference"/>
          <w:lang w:val="en-US" w:eastAsia="en-AU"/>
        </w:rPr>
        <w:footnoteReference w:id="2"/>
      </w:r>
    </w:p>
    <w:p w14:paraId="4124D4DA" w14:textId="77777777" w:rsidR="001510C7" w:rsidRDefault="001510C7" w:rsidP="001510C7">
      <w:pPr>
        <w:pStyle w:val="AspexBodyStandard"/>
      </w:pPr>
      <w:r>
        <w:t>The STIs and BBVs which the Chapter has identified as a current focus of sexual health medicine include:</w:t>
      </w:r>
    </w:p>
    <w:p w14:paraId="3D069681" w14:textId="77777777" w:rsidR="001510C7" w:rsidRDefault="001510C7" w:rsidP="001510C7">
      <w:pPr>
        <w:pStyle w:val="AspexBullet1"/>
      </w:pPr>
      <w:r>
        <w:t>Neisseria gonorrhoeae;</w:t>
      </w:r>
    </w:p>
    <w:p w14:paraId="40C8A0B7" w14:textId="77777777" w:rsidR="001510C7" w:rsidRDefault="001510C7" w:rsidP="001510C7">
      <w:pPr>
        <w:pStyle w:val="AspexBullet1"/>
      </w:pPr>
      <w:r>
        <w:t>Non-gonococcal urethritis;</w:t>
      </w:r>
    </w:p>
    <w:p w14:paraId="6BCA5BC1" w14:textId="77777777" w:rsidR="001510C7" w:rsidRDefault="001510C7" w:rsidP="001510C7">
      <w:pPr>
        <w:pStyle w:val="AspexBullet1"/>
      </w:pPr>
      <w:r>
        <w:t>Chlamydia trachomatis;</w:t>
      </w:r>
    </w:p>
    <w:p w14:paraId="4D2EDBB2" w14:textId="77777777" w:rsidR="001510C7" w:rsidRDefault="001510C7" w:rsidP="001510C7">
      <w:pPr>
        <w:pStyle w:val="AspexBullet1"/>
      </w:pPr>
      <w:r>
        <w:t>Trichomonas vaginalis;</w:t>
      </w:r>
    </w:p>
    <w:p w14:paraId="19AF1AC0" w14:textId="77777777" w:rsidR="001510C7" w:rsidRDefault="001510C7" w:rsidP="001510C7">
      <w:pPr>
        <w:pStyle w:val="AspexBullet1"/>
      </w:pPr>
      <w:r>
        <w:t>Donovanosis;</w:t>
      </w:r>
    </w:p>
    <w:p w14:paraId="6DA1FE7B" w14:textId="77777777" w:rsidR="001510C7" w:rsidRDefault="001510C7" w:rsidP="001510C7">
      <w:pPr>
        <w:pStyle w:val="AspexBullet1"/>
      </w:pPr>
      <w:r>
        <w:t>Lymphogranuloma venereum;</w:t>
      </w:r>
    </w:p>
    <w:p w14:paraId="7AACA081" w14:textId="77777777" w:rsidR="001510C7" w:rsidRDefault="001510C7" w:rsidP="001510C7">
      <w:pPr>
        <w:pStyle w:val="AspexBullet1"/>
      </w:pPr>
      <w:r>
        <w:t>Chancroid;</w:t>
      </w:r>
    </w:p>
    <w:p w14:paraId="4B965D63" w14:textId="77777777" w:rsidR="001510C7" w:rsidRDefault="001510C7" w:rsidP="001510C7">
      <w:pPr>
        <w:pStyle w:val="AspexBullet1"/>
      </w:pPr>
      <w:r>
        <w:t>Syphilis;</w:t>
      </w:r>
    </w:p>
    <w:p w14:paraId="628987CA" w14:textId="77777777" w:rsidR="001510C7" w:rsidRDefault="001510C7" w:rsidP="001510C7">
      <w:pPr>
        <w:pStyle w:val="AspexBullet1"/>
      </w:pPr>
      <w:r>
        <w:t>Human immunodeficiency virus (HIV);</w:t>
      </w:r>
    </w:p>
    <w:p w14:paraId="512B2EA4" w14:textId="77777777" w:rsidR="001510C7" w:rsidRDefault="001510C7" w:rsidP="001510C7">
      <w:pPr>
        <w:pStyle w:val="AspexBullet1"/>
      </w:pPr>
      <w:r>
        <w:t>Human papilloma virus (HPV);</w:t>
      </w:r>
    </w:p>
    <w:p w14:paraId="00A936C1" w14:textId="77777777" w:rsidR="001510C7" w:rsidRDefault="001510C7" w:rsidP="001510C7">
      <w:pPr>
        <w:pStyle w:val="AspexBullet1"/>
      </w:pPr>
      <w:r>
        <w:t>Herpes Simplex Virus (HSV 1 and 2); and</w:t>
      </w:r>
    </w:p>
    <w:p w14:paraId="76A6302D" w14:textId="77777777" w:rsidR="001510C7" w:rsidRDefault="001510C7" w:rsidP="001510C7">
      <w:pPr>
        <w:pStyle w:val="AspexBullet1"/>
      </w:pPr>
      <w:r>
        <w:t xml:space="preserve">Hepatitis A, B, C &amp; D. </w:t>
      </w:r>
    </w:p>
    <w:p w14:paraId="609312AD" w14:textId="4333DD76" w:rsidR="006D7C26" w:rsidRDefault="00284217" w:rsidP="00284217">
      <w:pPr>
        <w:pStyle w:val="AspexBodyStandard"/>
      </w:pPr>
      <w:r>
        <w:t xml:space="preserve">The most </w:t>
      </w:r>
      <w:r w:rsidR="000151EF">
        <w:t xml:space="preserve">reliable data on the population incidence and prevalence of sexual health conditions can be identified from </w:t>
      </w:r>
      <w:r w:rsidR="007E02CC">
        <w:t>notifications of reportable STI</w:t>
      </w:r>
      <w:r w:rsidR="000151EF">
        <w:t>s in Australia</w:t>
      </w:r>
      <w:r w:rsidR="006D7C26">
        <w:rPr>
          <w:rStyle w:val="FootnoteReference"/>
        </w:rPr>
        <w:footnoteReference w:id="3"/>
      </w:r>
      <w:r w:rsidR="006D7C26">
        <w:t>, relating to:</w:t>
      </w:r>
    </w:p>
    <w:p w14:paraId="0540649F" w14:textId="77777777" w:rsidR="00284217" w:rsidRDefault="006D7C26" w:rsidP="00284217">
      <w:pPr>
        <w:pStyle w:val="AspexBullet1"/>
      </w:pPr>
      <w:r>
        <w:t>Chlamydia;</w:t>
      </w:r>
    </w:p>
    <w:p w14:paraId="1260DF36" w14:textId="77777777" w:rsidR="006D7C26" w:rsidRDefault="006D7C26" w:rsidP="00284217">
      <w:pPr>
        <w:pStyle w:val="AspexBullet1"/>
      </w:pPr>
      <w:r>
        <w:t>Gonorrhoea;</w:t>
      </w:r>
    </w:p>
    <w:p w14:paraId="295FDDFB" w14:textId="77777777" w:rsidR="006D7C26" w:rsidRDefault="006D7C26" w:rsidP="00284217">
      <w:pPr>
        <w:pStyle w:val="AspexBullet1"/>
      </w:pPr>
      <w:r>
        <w:t xml:space="preserve">Syphilis; </w:t>
      </w:r>
      <w:r w:rsidR="001510C7">
        <w:t>and</w:t>
      </w:r>
    </w:p>
    <w:p w14:paraId="5DD3A4F9" w14:textId="77777777" w:rsidR="001510C7" w:rsidRDefault="006D7C26" w:rsidP="00E32D5F">
      <w:pPr>
        <w:pStyle w:val="AspexBullet1"/>
      </w:pPr>
      <w:r>
        <w:t>Hum</w:t>
      </w:r>
      <w:r w:rsidR="001510C7">
        <w:t>an Immunodeficiency Virus (HIV).</w:t>
      </w:r>
    </w:p>
    <w:p w14:paraId="1B6CC68A" w14:textId="77777777" w:rsidR="00E32D5F" w:rsidRDefault="00F3564A" w:rsidP="007333CE">
      <w:pPr>
        <w:pStyle w:val="Heading2"/>
      </w:pPr>
      <w:bookmarkStart w:id="25" w:name="_Toc351480515"/>
      <w:r>
        <w:lastRenderedPageBreak/>
        <w:t>Community</w:t>
      </w:r>
      <w:r w:rsidR="00E32D5F">
        <w:t xml:space="preserve"> demand for services</w:t>
      </w:r>
      <w:bookmarkEnd w:id="25"/>
    </w:p>
    <w:p w14:paraId="37096D0E" w14:textId="77777777" w:rsidR="0013794C" w:rsidRDefault="0013794C" w:rsidP="0013794C">
      <w:pPr>
        <w:pStyle w:val="AspexBodyStandard"/>
      </w:pPr>
      <w:r>
        <w:t>It should be noted that the true prevalence of STIs in Australia is unknown and in fact under-estimated, due to factors such as:</w:t>
      </w:r>
    </w:p>
    <w:p w14:paraId="7FA99284" w14:textId="77777777" w:rsidR="0013794C" w:rsidRDefault="0013794C" w:rsidP="0013794C">
      <w:pPr>
        <w:pStyle w:val="AspexBullet1"/>
      </w:pPr>
      <w:r>
        <w:t>Some infections fail to produce symptoms, or are asymptomatic in certain settings (e.g. pharyngeal gonorrhoea) (Templeton et al 2010), and detection depends on screening programs (Bowden et al 1999);</w:t>
      </w:r>
    </w:p>
    <w:p w14:paraId="2766C964" w14:textId="77777777" w:rsidR="0013794C" w:rsidRDefault="0013794C" w:rsidP="0013794C">
      <w:pPr>
        <w:pStyle w:val="AspexBullet1"/>
      </w:pPr>
      <w:r>
        <w:t>Non-population-based studies to determine prevalence frequently suffer from sampling bias and low participation rates (Macleod et al 2005);</w:t>
      </w:r>
    </w:p>
    <w:p w14:paraId="2D48C97C" w14:textId="77777777" w:rsidR="0013794C" w:rsidRDefault="0013794C" w:rsidP="0013794C">
      <w:pPr>
        <w:pStyle w:val="AspexBullet1"/>
      </w:pPr>
      <w:r>
        <w:t>Not all infectious agents are notifiable;</w:t>
      </w:r>
    </w:p>
    <w:p w14:paraId="5C6670D0" w14:textId="2C68FEA3" w:rsidR="0013794C" w:rsidRDefault="0013794C" w:rsidP="0013794C">
      <w:pPr>
        <w:pStyle w:val="AspexBullet1"/>
      </w:pPr>
      <w:r>
        <w:t xml:space="preserve">Relying on patient self-report to determine prevalence can be unreliable (Khan et al 2005). For example, </w:t>
      </w:r>
    </w:p>
    <w:p w14:paraId="6102C270" w14:textId="77777777" w:rsidR="0013794C" w:rsidRDefault="0013794C" w:rsidP="00F333A1">
      <w:pPr>
        <w:pStyle w:val="AspexBullet2"/>
      </w:pPr>
      <w:r>
        <w:t>Clinician based reporting systems may be unreliable (Bowden et al 1999);</w:t>
      </w:r>
    </w:p>
    <w:p w14:paraId="41EA2B96" w14:textId="34131C37" w:rsidR="0013794C" w:rsidRDefault="0013794C" w:rsidP="00F333A1">
      <w:pPr>
        <w:pStyle w:val="AspexBullet2"/>
      </w:pPr>
      <w:r>
        <w:t>Different diagnostic methods can lead to different detection rates (Lusk et al 2010);</w:t>
      </w:r>
      <w:r w:rsidR="00CD1C41">
        <w:t xml:space="preserve"> and</w:t>
      </w:r>
    </w:p>
    <w:p w14:paraId="4F96FEB8" w14:textId="4EB6DA19" w:rsidR="0013794C" w:rsidRDefault="0013794C" w:rsidP="00F333A1">
      <w:pPr>
        <w:pStyle w:val="AspexBullet2"/>
      </w:pPr>
      <w:r>
        <w:t>“Social desirability” bias may prevent infected persons from seeking treatment (e.g. those living in small communities) (Bowden et al 1999).</w:t>
      </w:r>
    </w:p>
    <w:p w14:paraId="6EB6C1E4" w14:textId="77777777" w:rsidR="0013794C" w:rsidRPr="0013794C" w:rsidRDefault="0013794C" w:rsidP="0013794C">
      <w:pPr>
        <w:pStyle w:val="AspexBodyStandard"/>
      </w:pPr>
      <w:r>
        <w:t>Bearing these caveats in mind, the following section presents known and estimated projections of a selection of notifiable STIs in Australia</w:t>
      </w:r>
    </w:p>
    <w:p w14:paraId="74393AFD" w14:textId="216B13B9" w:rsidR="00E32D5F" w:rsidRDefault="00E32D5F" w:rsidP="00F44503">
      <w:pPr>
        <w:pStyle w:val="Heading3"/>
      </w:pPr>
      <w:bookmarkStart w:id="26" w:name="_Toc224038081"/>
      <w:r>
        <w:t>National Estimates of s</w:t>
      </w:r>
      <w:r w:rsidR="00F80C24">
        <w:t>exually</w:t>
      </w:r>
      <w:bookmarkEnd w:id="26"/>
      <w:r w:rsidR="00F80C24">
        <w:t xml:space="preserve"> transmissible infection</w:t>
      </w:r>
    </w:p>
    <w:p w14:paraId="52990328" w14:textId="77777777" w:rsidR="00E7483D" w:rsidRDefault="00E769C1" w:rsidP="008635AE">
      <w:pPr>
        <w:pStyle w:val="AspexBodyStandard"/>
      </w:pPr>
      <w:r>
        <w:t xml:space="preserve">The proportion </w:t>
      </w:r>
      <w:r w:rsidR="00E32D5F">
        <w:t xml:space="preserve">of Australians </w:t>
      </w:r>
      <w:r w:rsidR="009300B2">
        <w:t>with a notifiable STI</w:t>
      </w:r>
      <w:r>
        <w:t xml:space="preserve"> been estimated</w:t>
      </w:r>
      <w:r w:rsidR="009300B2">
        <w:rPr>
          <w:rStyle w:val="FootnoteReference"/>
        </w:rPr>
        <w:footnoteReference w:id="4"/>
      </w:r>
      <w:r>
        <w:t xml:space="preserve"> </w:t>
      </w:r>
      <w:r w:rsidR="008635AE">
        <w:t xml:space="preserve">from data reported to the Australian Government </w:t>
      </w:r>
      <w:r w:rsidR="008635AE" w:rsidRPr="008635AE">
        <w:t>National Notifiable Diseases Surveillance System</w:t>
      </w:r>
      <w:r w:rsidR="008635AE">
        <w:t>, and National HIV Surveillance Centre</w:t>
      </w:r>
      <w:r w:rsidR="008635AE">
        <w:rPr>
          <w:rStyle w:val="FootnoteReference"/>
        </w:rPr>
        <w:footnoteReference w:id="5"/>
      </w:r>
      <w:r w:rsidR="008635AE">
        <w:t xml:space="preserve">. </w:t>
      </w:r>
    </w:p>
    <w:p w14:paraId="531AEA20" w14:textId="513B3BC0" w:rsidR="00E7483D" w:rsidRDefault="003D0FA5" w:rsidP="00E7483D">
      <w:pPr>
        <w:pStyle w:val="IntenseQuote"/>
      </w:pPr>
      <w:r>
        <w:t>B</w:t>
      </w:r>
      <w:r w:rsidR="006D7C26">
        <w:t>y 2015</w:t>
      </w:r>
      <w:r w:rsidR="00B260DD">
        <w:t>, i</w:t>
      </w:r>
      <w:r w:rsidR="00E32D5F" w:rsidRPr="00E7483D">
        <w:t>t is estimated that</w:t>
      </w:r>
      <w:r w:rsidR="00E769C1" w:rsidRPr="00E7483D">
        <w:t xml:space="preserve"> </w:t>
      </w:r>
      <w:r w:rsidR="006D7C26">
        <w:rPr>
          <w:rStyle w:val="IntenseEmphasis"/>
          <w:b/>
          <w:i/>
        </w:rPr>
        <w:t>at least</w:t>
      </w:r>
      <w:r w:rsidR="00940C33">
        <w:t xml:space="preserve"> </w:t>
      </w:r>
      <w:r w:rsidR="006D7C26">
        <w:t>155,000 Australians</w:t>
      </w:r>
      <w:r w:rsidR="00940C33">
        <w:t xml:space="preserve"> (</w:t>
      </w:r>
      <w:r w:rsidR="00FC334F">
        <w:t xml:space="preserve">Estimate: </w:t>
      </w:r>
      <w:r w:rsidR="006D7C26">
        <w:t>153,356</w:t>
      </w:r>
      <w:r w:rsidR="00FC334F">
        <w:t xml:space="preserve">; </w:t>
      </w:r>
      <w:r w:rsidR="00940C33">
        <w:t>95</w:t>
      </w:r>
      <w:r w:rsidR="00290886">
        <w:t>%CI: 0.9-1.1)</w:t>
      </w:r>
      <w:r w:rsidR="00E32D5F" w:rsidRPr="00E7483D">
        <w:t xml:space="preserve"> will </w:t>
      </w:r>
      <w:r w:rsidR="006D7C26">
        <w:t xml:space="preserve">experience a </w:t>
      </w:r>
      <w:r w:rsidR="009C4047">
        <w:t xml:space="preserve">notifiable </w:t>
      </w:r>
      <w:r w:rsidR="006D7C26">
        <w:t xml:space="preserve">sexually </w:t>
      </w:r>
      <w:r w:rsidR="002C0139" w:rsidRPr="0014785D">
        <w:t>transmi</w:t>
      </w:r>
      <w:r w:rsidR="002C0139">
        <w:t>ssible</w:t>
      </w:r>
      <w:r w:rsidR="002C0139" w:rsidRPr="0014785D">
        <w:t xml:space="preserve"> </w:t>
      </w:r>
      <w:r w:rsidR="006D7C26">
        <w:t>infection each year</w:t>
      </w:r>
      <w:r w:rsidR="00732EE8">
        <w:rPr>
          <w:rStyle w:val="FootnoteReference"/>
        </w:rPr>
        <w:footnoteReference w:id="6"/>
      </w:r>
      <w:r w:rsidR="00E32D5F" w:rsidRPr="00E7483D">
        <w:t xml:space="preserve">.  </w:t>
      </w:r>
    </w:p>
    <w:p w14:paraId="4F6C5152" w14:textId="0DED73E0" w:rsidR="00DE04C1" w:rsidRDefault="003C7094" w:rsidP="00DE04C1">
      <w:pPr>
        <w:pStyle w:val="AspexBodyStandard"/>
      </w:pPr>
      <w:r>
        <w:t>The predicted number of Australians with Chlamydia, Gonorrhoea, Syphilis and/or HIV in Australia is presented in</w:t>
      </w:r>
      <w:r w:rsidR="00DE04C1">
        <w:t xml:space="preserve"> </w:t>
      </w:r>
      <w:r w:rsidR="00DE04C1">
        <w:fldChar w:fldCharType="begin"/>
      </w:r>
      <w:r w:rsidR="00DE04C1">
        <w:instrText xml:space="preserve"> REF _Ref350872996 \h </w:instrText>
      </w:r>
      <w:r w:rsidR="00DE04C1">
        <w:fldChar w:fldCharType="separate"/>
      </w:r>
      <w:r w:rsidR="008E6665" w:rsidRPr="003567D2">
        <w:t xml:space="preserve">Figure </w:t>
      </w:r>
      <w:r w:rsidR="008E6665">
        <w:rPr>
          <w:noProof/>
        </w:rPr>
        <w:t>2</w:t>
      </w:r>
      <w:r w:rsidR="008E6665">
        <w:noBreakHyphen/>
      </w:r>
      <w:r w:rsidR="008E6665">
        <w:rPr>
          <w:noProof/>
        </w:rPr>
        <w:t>1</w:t>
      </w:r>
      <w:r w:rsidR="00DE04C1">
        <w:fldChar w:fldCharType="end"/>
      </w:r>
      <w:r w:rsidR="00DE04C1">
        <w:t>.</w:t>
      </w:r>
    </w:p>
    <w:p w14:paraId="59253243" w14:textId="77777777" w:rsidR="0013794C" w:rsidRDefault="0013794C" w:rsidP="003C7094">
      <w:pPr>
        <w:pStyle w:val="AspexBodyStandard"/>
      </w:pPr>
    </w:p>
    <w:p w14:paraId="739AE165" w14:textId="2C7F7429" w:rsidR="0033254C" w:rsidRDefault="0033254C">
      <w:pPr>
        <w:spacing w:before="0" w:after="0" w:line="240" w:lineRule="auto"/>
        <w:rPr>
          <w:b/>
          <w:bCs/>
        </w:rPr>
      </w:pPr>
      <w:bookmarkStart w:id="27" w:name="_Ref222809929"/>
      <w:r>
        <w:br w:type="page"/>
      </w:r>
    </w:p>
    <w:p w14:paraId="1AB10881" w14:textId="53A1C679" w:rsidR="00E32D5F" w:rsidRDefault="00E32D5F" w:rsidP="00CF3A3C">
      <w:pPr>
        <w:pStyle w:val="Caption"/>
      </w:pPr>
      <w:bookmarkStart w:id="28" w:name="_Ref350872996"/>
      <w:bookmarkStart w:id="29" w:name="_Toc351129604"/>
      <w:r w:rsidRPr="003567D2">
        <w:lastRenderedPageBreak/>
        <w:t xml:space="preserve">Figure </w:t>
      </w:r>
      <w:r w:rsidR="008E6665">
        <w:fldChar w:fldCharType="begin"/>
      </w:r>
      <w:r w:rsidR="008E6665">
        <w:instrText xml:space="preserve"> STYLEREF 1 \s </w:instrText>
      </w:r>
      <w:r w:rsidR="008E6665">
        <w:fldChar w:fldCharType="separate"/>
      </w:r>
      <w:r w:rsidR="008E6665">
        <w:rPr>
          <w:noProof/>
        </w:rPr>
        <w:t>2</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w:t>
      </w:r>
      <w:r w:rsidR="008E6665">
        <w:rPr>
          <w:noProof/>
        </w:rPr>
        <w:fldChar w:fldCharType="end"/>
      </w:r>
      <w:bookmarkEnd w:id="27"/>
      <w:bookmarkEnd w:id="28"/>
      <w:r w:rsidR="00AE66EA">
        <w:rPr>
          <w:noProof/>
        </w:rPr>
        <w:t>:</w:t>
      </w:r>
      <w:r w:rsidRPr="003567D2">
        <w:tab/>
        <w:t xml:space="preserve">National estimates of </w:t>
      </w:r>
      <w:r w:rsidR="003C7094">
        <w:t>reportable STIs</w:t>
      </w:r>
      <w:r w:rsidRPr="003567D2">
        <w:t xml:space="preserve"> in Australia</w:t>
      </w:r>
      <w:r w:rsidR="006A7150">
        <w:t xml:space="preserve"> per annum</w:t>
      </w:r>
      <w:bookmarkEnd w:id="29"/>
    </w:p>
    <w:p w14:paraId="14A00DB7" w14:textId="01E5CCEE" w:rsidR="003C7094" w:rsidRDefault="004A434E" w:rsidP="00FE683C">
      <w:pPr>
        <w:pStyle w:val="AspexBodyStandard"/>
        <w:jc w:val="left"/>
      </w:pPr>
      <w:r w:rsidRPr="004A434E">
        <w:rPr>
          <w:noProof/>
          <w:lang w:eastAsia="en-AU"/>
        </w:rPr>
        <w:drawing>
          <wp:inline distT="0" distB="0" distL="0" distR="0" wp14:anchorId="67EF00DD" wp14:editId="409BEB82">
            <wp:extent cx="5723890" cy="2251397"/>
            <wp:effectExtent l="0" t="0" r="0" b="0"/>
            <wp:docPr id="3" name="Picture 2" title="National estimates of reportable STIs in Australia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2251397"/>
                    </a:xfrm>
                    <a:prstGeom prst="rect">
                      <a:avLst/>
                    </a:prstGeom>
                    <a:noFill/>
                    <a:ln>
                      <a:noFill/>
                    </a:ln>
                  </pic:spPr>
                </pic:pic>
              </a:graphicData>
            </a:graphic>
          </wp:inline>
        </w:drawing>
      </w:r>
    </w:p>
    <w:p w14:paraId="5B3AEF95" w14:textId="70EFA0C9" w:rsidR="003C7094" w:rsidRDefault="004A434E" w:rsidP="00B669B4">
      <w:pPr>
        <w:pStyle w:val="AspexBodyStandard"/>
      </w:pPr>
      <w:r w:rsidRPr="004A434E">
        <w:rPr>
          <w:noProof/>
          <w:lang w:eastAsia="en-AU"/>
        </w:rPr>
        <w:drawing>
          <wp:inline distT="0" distB="0" distL="0" distR="0" wp14:anchorId="193B2138" wp14:editId="6DD287CB">
            <wp:extent cx="5723890" cy="2251397"/>
            <wp:effectExtent l="0" t="0" r="0" b="0"/>
            <wp:docPr id="5" name="Picture 3" title="National estimates of reportable STIs in Australia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2251397"/>
                    </a:xfrm>
                    <a:prstGeom prst="rect">
                      <a:avLst/>
                    </a:prstGeom>
                    <a:noFill/>
                    <a:ln>
                      <a:noFill/>
                    </a:ln>
                  </pic:spPr>
                </pic:pic>
              </a:graphicData>
            </a:graphic>
          </wp:inline>
        </w:drawing>
      </w:r>
    </w:p>
    <w:p w14:paraId="7F06199E" w14:textId="6EF24B4C" w:rsidR="003C7094" w:rsidRDefault="004A434E" w:rsidP="00B669B4">
      <w:pPr>
        <w:pStyle w:val="AspexBodyStandard"/>
      </w:pPr>
      <w:r w:rsidRPr="004A434E">
        <w:rPr>
          <w:noProof/>
          <w:lang w:eastAsia="en-AU"/>
        </w:rPr>
        <w:drawing>
          <wp:inline distT="0" distB="0" distL="0" distR="0" wp14:anchorId="1ADB8788" wp14:editId="4C689EAE">
            <wp:extent cx="5723890" cy="2251397"/>
            <wp:effectExtent l="0" t="0" r="0" b="0"/>
            <wp:docPr id="6" name="Picture 4" title="National estimates of reportable STIs in Australia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2251397"/>
                    </a:xfrm>
                    <a:prstGeom prst="rect">
                      <a:avLst/>
                    </a:prstGeom>
                    <a:noFill/>
                    <a:ln>
                      <a:noFill/>
                    </a:ln>
                  </pic:spPr>
                </pic:pic>
              </a:graphicData>
            </a:graphic>
          </wp:inline>
        </w:drawing>
      </w:r>
    </w:p>
    <w:p w14:paraId="2811B138" w14:textId="5BEFBCA9" w:rsidR="003C7094" w:rsidRDefault="004A434E" w:rsidP="00B669B4">
      <w:pPr>
        <w:pStyle w:val="AspexBodyStandard"/>
      </w:pPr>
      <w:r w:rsidRPr="004A434E">
        <w:rPr>
          <w:noProof/>
          <w:lang w:eastAsia="en-AU"/>
        </w:rPr>
        <w:lastRenderedPageBreak/>
        <w:drawing>
          <wp:inline distT="0" distB="0" distL="0" distR="0" wp14:anchorId="38CF196D" wp14:editId="5C6188F0">
            <wp:extent cx="5723890" cy="2251397"/>
            <wp:effectExtent l="0" t="0" r="0" b="0"/>
            <wp:docPr id="28" name="Picture 6" title="National estimates of reportable STIs in Australia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2251397"/>
                    </a:xfrm>
                    <a:prstGeom prst="rect">
                      <a:avLst/>
                    </a:prstGeom>
                    <a:noFill/>
                    <a:ln>
                      <a:noFill/>
                    </a:ln>
                  </pic:spPr>
                </pic:pic>
              </a:graphicData>
            </a:graphic>
          </wp:inline>
        </w:drawing>
      </w:r>
    </w:p>
    <w:p w14:paraId="49C87DB2" w14:textId="2EB38770" w:rsidR="006A7150" w:rsidRDefault="004A434E" w:rsidP="00B669B4">
      <w:pPr>
        <w:pStyle w:val="AspexBodyStandard"/>
      </w:pPr>
      <w:r w:rsidRPr="004A434E">
        <w:rPr>
          <w:noProof/>
          <w:lang w:eastAsia="en-AU"/>
        </w:rPr>
        <w:drawing>
          <wp:inline distT="0" distB="0" distL="0" distR="0" wp14:anchorId="781E3354" wp14:editId="3C7DF6B5">
            <wp:extent cx="5723890" cy="2251397"/>
            <wp:effectExtent l="0" t="0" r="0" b="0"/>
            <wp:docPr id="29" name="Picture 7" title="National estimates of reportable STIs in Australia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90" cy="2251397"/>
                    </a:xfrm>
                    <a:prstGeom prst="rect">
                      <a:avLst/>
                    </a:prstGeom>
                    <a:noFill/>
                    <a:ln>
                      <a:noFill/>
                    </a:ln>
                  </pic:spPr>
                </pic:pic>
              </a:graphicData>
            </a:graphic>
          </wp:inline>
        </w:drawing>
      </w:r>
    </w:p>
    <w:p w14:paraId="2B8AF307" w14:textId="1AF5EEC0" w:rsidR="006A7150" w:rsidRDefault="004A434E" w:rsidP="00B669B4">
      <w:pPr>
        <w:pStyle w:val="AspexBodyStandard"/>
      </w:pPr>
      <w:r w:rsidRPr="004A434E">
        <w:rPr>
          <w:noProof/>
          <w:lang w:eastAsia="en-AU"/>
        </w:rPr>
        <w:drawing>
          <wp:inline distT="0" distB="0" distL="0" distR="0" wp14:anchorId="50ED0CDE" wp14:editId="6E7F5B42">
            <wp:extent cx="5723890" cy="2251397"/>
            <wp:effectExtent l="0" t="0" r="0" b="0"/>
            <wp:docPr id="30" name="Picture 8" title="National estimates of reportable STIs in Australia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2251397"/>
                    </a:xfrm>
                    <a:prstGeom prst="rect">
                      <a:avLst/>
                    </a:prstGeom>
                    <a:noFill/>
                    <a:ln>
                      <a:noFill/>
                    </a:ln>
                  </pic:spPr>
                </pic:pic>
              </a:graphicData>
            </a:graphic>
          </wp:inline>
        </w:drawing>
      </w:r>
    </w:p>
    <w:p w14:paraId="0C9A1376" w14:textId="77777777" w:rsidR="006A7150" w:rsidRDefault="006A7150" w:rsidP="00B669B4">
      <w:pPr>
        <w:pStyle w:val="AspexBodyStandard"/>
      </w:pPr>
    </w:p>
    <w:p w14:paraId="0DE94706" w14:textId="77777777" w:rsidR="00B669B4" w:rsidRDefault="00B669B4" w:rsidP="00B669B4">
      <w:pPr>
        <w:pStyle w:val="AspexBodyStandard"/>
      </w:pPr>
      <w:r>
        <w:t xml:space="preserve">The highest level of demand is anticipated for individuals </w:t>
      </w:r>
      <w:r w:rsidR="006A7150">
        <w:t xml:space="preserve">diagnosed </w:t>
      </w:r>
      <w:r>
        <w:t xml:space="preserve">with </w:t>
      </w:r>
      <w:r w:rsidR="006A7150">
        <w:t>chlamydia, followed by people living with HIV</w:t>
      </w:r>
      <w:r>
        <w:t xml:space="preserve">.  However, a trend towards increasing demand for services is apparent across all </w:t>
      </w:r>
      <w:r w:rsidR="006A7150">
        <w:t>reportable STIs</w:t>
      </w:r>
      <w:r>
        <w:t>.</w:t>
      </w:r>
    </w:p>
    <w:p w14:paraId="49566AA6" w14:textId="77777777" w:rsidR="006A7150" w:rsidRDefault="006A7150" w:rsidP="00B669B4">
      <w:pPr>
        <w:pStyle w:val="AspexBodyStandard"/>
      </w:pPr>
    </w:p>
    <w:p w14:paraId="1346485C" w14:textId="77777777" w:rsidR="00895CC3" w:rsidRPr="005F303B" w:rsidRDefault="00723826" w:rsidP="00F44503">
      <w:pPr>
        <w:pStyle w:val="Heading3"/>
      </w:pPr>
      <w:bookmarkStart w:id="30" w:name="_Toc224038082"/>
      <w:r w:rsidRPr="005F303B">
        <w:lastRenderedPageBreak/>
        <w:t>Influences upon estimation of community demand</w:t>
      </w:r>
      <w:bookmarkEnd w:id="30"/>
    </w:p>
    <w:p w14:paraId="0A52B409" w14:textId="77777777" w:rsidR="00895CC3" w:rsidRDefault="0013794C" w:rsidP="0013794C">
      <w:pPr>
        <w:pStyle w:val="AspexBodyStandard"/>
      </w:pPr>
      <w:r>
        <w:t xml:space="preserve">As previously identified, estimates of community demand for sexual health services are difficult to accurately estimate.  Whilst population trends in the number of reported cases of different STIs has varied over recent years, evidence of underreporting remains. </w:t>
      </w:r>
    </w:p>
    <w:p w14:paraId="21D1831B" w14:textId="77777777" w:rsidR="0013794C" w:rsidRDefault="0013794C" w:rsidP="00F44503">
      <w:pPr>
        <w:pStyle w:val="Heading4"/>
      </w:pPr>
      <w:r>
        <w:t>Gonorrhoea</w:t>
      </w:r>
    </w:p>
    <w:p w14:paraId="7D9F615F" w14:textId="5B9D96A2" w:rsidR="0013794C" w:rsidRPr="004B4A81" w:rsidRDefault="0013794C" w:rsidP="0013794C">
      <w:pPr>
        <w:pStyle w:val="AspexBodyStandard"/>
      </w:pPr>
      <w:r>
        <w:t>In recent years, t</w:t>
      </w:r>
      <w:r w:rsidRPr="004B4A81">
        <w:t>he rate of diagnosis of gonorrhoea increased by 45%, from 36.2 per 100</w:t>
      </w:r>
      <w:r w:rsidR="005973C7">
        <w:t>,</w:t>
      </w:r>
      <w:r w:rsidRPr="004B4A81">
        <w:t>000 population in 2007 to 52.5 in 2010</w:t>
      </w:r>
      <w:r>
        <w:t xml:space="preserve"> (Kirby Institute 2012). Over previous years (2004-2008) there was a </w:t>
      </w:r>
      <w:r w:rsidRPr="004B4A81">
        <w:t xml:space="preserve">5% decline in </w:t>
      </w:r>
      <w:r w:rsidR="00FA595E">
        <w:t xml:space="preserve">the rate for </w:t>
      </w:r>
      <w:r w:rsidRPr="004B4A81">
        <w:t>men</w:t>
      </w:r>
      <w:r w:rsidR="00FA595E">
        <w:t>,</w:t>
      </w:r>
      <w:r w:rsidRPr="004B4A81">
        <w:t xml:space="preserve"> but a 16% increase </w:t>
      </w:r>
      <w:r w:rsidR="00FA595E">
        <w:t>for</w:t>
      </w:r>
      <w:r w:rsidR="00FA595E" w:rsidRPr="004B4A81">
        <w:t xml:space="preserve"> </w:t>
      </w:r>
      <w:r w:rsidRPr="004B4A81">
        <w:t>women. In addition, notifications of rectal isolates of gonorrhoea in men decreased in New South Wales and Victoria in 2008 (Newman et al 2010)</w:t>
      </w:r>
      <w:r>
        <w:t xml:space="preserve">. Notwithstanding, it has been estimated that around half of all gonorrhoea infections are </w:t>
      </w:r>
      <w:r w:rsidR="00870548">
        <w:t xml:space="preserve">not </w:t>
      </w:r>
      <w:r>
        <w:t>reported</w:t>
      </w:r>
      <w:r w:rsidR="00870548">
        <w:t>,</w:t>
      </w:r>
      <w:r>
        <w:t xml:space="preserve"> due to the asymptomatic nature of the condition (Gewirtzman et al 2011).</w:t>
      </w:r>
    </w:p>
    <w:p w14:paraId="66676D0D" w14:textId="77777777" w:rsidR="0013794C" w:rsidRDefault="0013794C" w:rsidP="00F44503">
      <w:pPr>
        <w:pStyle w:val="Heading4"/>
      </w:pPr>
      <w:r>
        <w:t>Chlamydia trachomatis</w:t>
      </w:r>
    </w:p>
    <w:p w14:paraId="28CF6929" w14:textId="77777777" w:rsidR="0013794C" w:rsidRDefault="0013794C" w:rsidP="0013794C">
      <w:pPr>
        <w:pStyle w:val="AspexBodyStandard"/>
        <w:rPr>
          <w:lang w:eastAsia="en-AU"/>
        </w:rPr>
      </w:pPr>
      <w:r>
        <w:rPr>
          <w:lang w:eastAsia="en-AU"/>
        </w:rPr>
        <w:t xml:space="preserve">Chlamydia is the most frequently reported notifiable condition in Australia (Newman et al 2010). In 2011 there were 80,800 diagnoses (Kirby Institute 2012). </w:t>
      </w:r>
      <w:r>
        <w:t>Genital chlamydial infection became a notifiable disease in 1991 in all Australian States and Territories except for NSW, which introduced mandatory notification in 1997 (Newman et al 2010).</w:t>
      </w:r>
      <w:r>
        <w:rPr>
          <w:lang w:eastAsia="en-AU"/>
        </w:rPr>
        <w:t xml:space="preserve"> It accounts for 30% to 40% of cases of non-gonococcal urethritis (Horner et al 2001; Horner et al 2002). Chlamydia is also a significant cause of Pelvic Inflammatory Disease (PID) in women, with b</w:t>
      </w:r>
      <w:r w:rsidRPr="0084124E">
        <w:rPr>
          <w:lang w:eastAsia="en-AU"/>
        </w:rPr>
        <w:t>etween 10% and</w:t>
      </w:r>
      <w:r>
        <w:rPr>
          <w:lang w:eastAsia="en-AU"/>
        </w:rPr>
        <w:t xml:space="preserve"> </w:t>
      </w:r>
      <w:r w:rsidRPr="0084124E">
        <w:rPr>
          <w:lang w:eastAsia="en-AU"/>
        </w:rPr>
        <w:t>40% of women with untreated chlamydial infection developing symptomatic</w:t>
      </w:r>
      <w:r>
        <w:rPr>
          <w:lang w:eastAsia="en-AU"/>
        </w:rPr>
        <w:t xml:space="preserve"> </w:t>
      </w:r>
      <w:r w:rsidRPr="0084124E">
        <w:rPr>
          <w:lang w:eastAsia="en-AU"/>
        </w:rPr>
        <w:t>PID</w:t>
      </w:r>
      <w:r>
        <w:rPr>
          <w:lang w:eastAsia="en-AU"/>
        </w:rPr>
        <w:t xml:space="preserve"> (WHO 2006)</w:t>
      </w:r>
      <w:r w:rsidRPr="0084124E">
        <w:rPr>
          <w:lang w:eastAsia="en-AU"/>
        </w:rPr>
        <w:t>.</w:t>
      </w:r>
    </w:p>
    <w:p w14:paraId="380210C7" w14:textId="77777777" w:rsidR="0013794C" w:rsidRDefault="0013794C" w:rsidP="0013794C">
      <w:pPr>
        <w:pStyle w:val="AspexBodyStandard"/>
        <w:rPr>
          <w:lang w:eastAsia="en-AU"/>
        </w:rPr>
      </w:pPr>
      <w:r>
        <w:rPr>
          <w:lang w:eastAsia="en-AU"/>
        </w:rPr>
        <w:t xml:space="preserve">In the past 5 years, more than 75% of men and women seen for the first time through a network of sexual health services were tested for chlamydia. </w:t>
      </w:r>
      <w:r w:rsidRPr="00473430">
        <w:rPr>
          <w:lang w:eastAsia="en-AU"/>
        </w:rPr>
        <w:t>Rates were greatest between the ages of 20 and 29 years old</w:t>
      </w:r>
      <w:r>
        <w:rPr>
          <w:lang w:eastAsia="en-AU"/>
        </w:rPr>
        <w:t xml:space="preserve"> (</w:t>
      </w:r>
      <w:r w:rsidRPr="00473430">
        <w:t>National Centre for HIV Epidemiology and Clinical Research</w:t>
      </w:r>
      <w:r>
        <w:t xml:space="preserve"> 2009).</w:t>
      </w:r>
      <w:r w:rsidRPr="00473430">
        <w:rPr>
          <w:lang w:eastAsia="en-AU"/>
        </w:rPr>
        <w:t xml:space="preserve"> </w:t>
      </w:r>
      <w:r>
        <w:rPr>
          <w:lang w:eastAsia="en-AU"/>
        </w:rPr>
        <w:t>The positivity rate varies between different groups, including:</w:t>
      </w:r>
    </w:p>
    <w:p w14:paraId="424A75B0" w14:textId="77777777" w:rsidR="0013794C" w:rsidRDefault="0013794C" w:rsidP="0013794C">
      <w:pPr>
        <w:pStyle w:val="AspexBullet1"/>
        <w:rPr>
          <w:lang w:eastAsia="en-AU"/>
        </w:rPr>
      </w:pPr>
      <w:r>
        <w:rPr>
          <w:lang w:eastAsia="en-AU"/>
        </w:rPr>
        <w:t>15.9% in Aboriginal and Torres Strait Islander men;</w:t>
      </w:r>
    </w:p>
    <w:p w14:paraId="3D91C125" w14:textId="77777777" w:rsidR="0013794C" w:rsidRDefault="0013794C" w:rsidP="0013794C">
      <w:pPr>
        <w:pStyle w:val="AspexBullet1"/>
        <w:rPr>
          <w:lang w:eastAsia="en-AU"/>
        </w:rPr>
      </w:pPr>
      <w:r>
        <w:rPr>
          <w:lang w:eastAsia="en-AU"/>
        </w:rPr>
        <w:t>18.9% in Aboriginal and Torres Strait Islander women;</w:t>
      </w:r>
    </w:p>
    <w:p w14:paraId="1BAB8AFA" w14:textId="77777777" w:rsidR="0013794C" w:rsidRDefault="0013794C" w:rsidP="0013794C">
      <w:pPr>
        <w:pStyle w:val="AspexBullet1"/>
        <w:rPr>
          <w:lang w:eastAsia="en-AU"/>
        </w:rPr>
      </w:pPr>
      <w:r>
        <w:rPr>
          <w:lang w:eastAsia="en-AU"/>
        </w:rPr>
        <w:t>16.4% in young heterosexual men;</w:t>
      </w:r>
    </w:p>
    <w:p w14:paraId="1EFF46D4" w14:textId="49FF8288" w:rsidR="0013794C" w:rsidRDefault="0013794C" w:rsidP="0013794C">
      <w:pPr>
        <w:pStyle w:val="AspexBullet1"/>
        <w:rPr>
          <w:lang w:eastAsia="en-AU"/>
        </w:rPr>
      </w:pPr>
      <w:r>
        <w:rPr>
          <w:lang w:eastAsia="en-AU"/>
        </w:rPr>
        <w:t>15.5% in young heterosexual women;</w:t>
      </w:r>
      <w:r w:rsidR="00FA595E">
        <w:rPr>
          <w:lang w:eastAsia="en-AU"/>
        </w:rPr>
        <w:t xml:space="preserve"> and</w:t>
      </w:r>
    </w:p>
    <w:p w14:paraId="424CFAB9" w14:textId="77777777" w:rsidR="0013794C" w:rsidRDefault="0013794C" w:rsidP="0013794C">
      <w:pPr>
        <w:pStyle w:val="AspexBullet1"/>
        <w:rPr>
          <w:lang w:eastAsia="en-AU"/>
        </w:rPr>
      </w:pPr>
      <w:r>
        <w:rPr>
          <w:lang w:eastAsia="en-AU"/>
        </w:rPr>
        <w:t>6.2% in female sex workers (Kirby Institute 2012).</w:t>
      </w:r>
    </w:p>
    <w:p w14:paraId="1E3B5E88" w14:textId="77777777" w:rsidR="0013794C" w:rsidRDefault="0013794C" w:rsidP="0013794C">
      <w:pPr>
        <w:pStyle w:val="AspexBodyStandard"/>
        <w:rPr>
          <w:lang w:eastAsia="en-AU"/>
        </w:rPr>
      </w:pPr>
      <w:r>
        <w:rPr>
          <w:lang w:eastAsia="en-AU"/>
        </w:rPr>
        <w:t>The rate of Chlamydia diagnosis has increased over the last ten years, and nearly doubled from 2004 to 2008 (</w:t>
      </w:r>
      <w:r w:rsidRPr="00473430">
        <w:t>National Centre for HIV Epidemiology and Clinical Research</w:t>
      </w:r>
      <w:r>
        <w:t xml:space="preserve"> 2009)</w:t>
      </w:r>
      <w:r>
        <w:rPr>
          <w:lang w:eastAsia="en-AU"/>
        </w:rPr>
        <w:t>. From 2010 to 2011 there was a 7% increase to 345 diagnoses per 100,000 population (Kirby Institute 2012).</w:t>
      </w:r>
    </w:p>
    <w:p w14:paraId="66A63A48" w14:textId="77777777" w:rsidR="0013794C" w:rsidRDefault="0013794C" w:rsidP="0013794C">
      <w:pPr>
        <w:pStyle w:val="AspexBodyStandard"/>
      </w:pPr>
      <w:r>
        <w:t xml:space="preserve">However, notification data greatly underestimate the true burden of infection (Lewis et al 2012), given that: </w:t>
      </w:r>
    </w:p>
    <w:p w14:paraId="1216C2D0" w14:textId="77777777" w:rsidR="0013794C" w:rsidRDefault="0013794C" w:rsidP="0013794C">
      <w:pPr>
        <w:pStyle w:val="AspexBullet1"/>
      </w:pPr>
      <w:r>
        <w:t xml:space="preserve">Chlamydia is asymptomatic in up to 90% of infections (Lewis et al 2012); </w:t>
      </w:r>
    </w:p>
    <w:p w14:paraId="0E3C5332" w14:textId="77777777" w:rsidR="0013794C" w:rsidRDefault="0013794C" w:rsidP="0013794C">
      <w:pPr>
        <w:pStyle w:val="AspexBullet1"/>
      </w:pPr>
      <w:r>
        <w:t xml:space="preserve">Testing rates remain low (less than 10% in the younger age groups) (Kong et al 2011); and </w:t>
      </w:r>
    </w:p>
    <w:p w14:paraId="3B507065" w14:textId="77777777" w:rsidR="0013794C" w:rsidRDefault="0013794C" w:rsidP="0013794C">
      <w:pPr>
        <w:pStyle w:val="AspexBullet1"/>
        <w:rPr>
          <w:lang w:eastAsia="en-AU"/>
        </w:rPr>
      </w:pPr>
      <w:r>
        <w:lastRenderedPageBreak/>
        <w:t>Re-infections are common.</w:t>
      </w:r>
    </w:p>
    <w:p w14:paraId="17F49442" w14:textId="47A8BB8A" w:rsidR="0013794C" w:rsidRDefault="0013794C" w:rsidP="0013794C">
      <w:pPr>
        <w:pStyle w:val="AspexBodyStandard"/>
        <w:rPr>
          <w:lang w:eastAsia="en-AU"/>
        </w:rPr>
      </w:pPr>
      <w:r>
        <w:rPr>
          <w:lang w:eastAsia="en-AU"/>
        </w:rPr>
        <w:t>Findings of community studies conducted in Australia were consistent with these estimates, identifying that 3% of the sample tested positive for Chlamydia, compared with 0.3% of the population with a notifi</w:t>
      </w:r>
      <w:r w:rsidR="00E816B5">
        <w:rPr>
          <w:lang w:eastAsia="en-AU"/>
        </w:rPr>
        <w:t>ed Chlamydial infection – a ten</w:t>
      </w:r>
      <w:r w:rsidR="00D1030B">
        <w:rPr>
          <w:lang w:eastAsia="en-AU"/>
        </w:rPr>
        <w:t>-</w:t>
      </w:r>
      <w:r>
        <w:rPr>
          <w:lang w:eastAsia="en-AU"/>
        </w:rPr>
        <w:t>fold increase in the number of cases identified through community screening (Williams et al 2003).  These findings are similar to comparable studies in the United States (Miller et al 2004).</w:t>
      </w:r>
    </w:p>
    <w:p w14:paraId="1CE858FB" w14:textId="77777777" w:rsidR="0013794C" w:rsidRDefault="0013794C" w:rsidP="00F44503">
      <w:pPr>
        <w:pStyle w:val="Heading4"/>
      </w:pPr>
      <w:r>
        <w:t xml:space="preserve">Non-gonococcal non-Chlamydia Urethritis (Non-Specific Urethritis) / Pelvic Inflammatory </w:t>
      </w:r>
      <w:r w:rsidRPr="00F44503">
        <w:t>Disease</w:t>
      </w:r>
    </w:p>
    <w:p w14:paraId="18AA6715" w14:textId="77777777" w:rsidR="0013794C" w:rsidRPr="005127CD" w:rsidRDefault="0013794C" w:rsidP="0013794C">
      <w:pPr>
        <w:pStyle w:val="AspexBodyStandard"/>
        <w:rPr>
          <w:lang w:eastAsia="en-AU"/>
        </w:rPr>
      </w:pPr>
      <w:r w:rsidRPr="005127CD">
        <w:rPr>
          <w:lang w:eastAsia="en-AU"/>
        </w:rPr>
        <w:t xml:space="preserve">Non-specific Urethritis (NSU) represents the syndrome of urethritis caused by agents other than Chlamydia or gonorrhoea. Sexually transmissible agents implicated in NSU include </w:t>
      </w:r>
      <w:r w:rsidRPr="005127CD">
        <w:rPr>
          <w:i/>
          <w:lang w:eastAsia="en-AU"/>
        </w:rPr>
        <w:t>Herpes simplex</w:t>
      </w:r>
      <w:r w:rsidRPr="005127CD">
        <w:rPr>
          <w:lang w:eastAsia="en-AU"/>
        </w:rPr>
        <w:t xml:space="preserve"> viruses, </w:t>
      </w:r>
      <w:r w:rsidRPr="005127CD">
        <w:rPr>
          <w:i/>
          <w:iCs/>
          <w:lang w:eastAsia="en-AU"/>
        </w:rPr>
        <w:t>Trichomonas</w:t>
      </w:r>
      <w:r w:rsidRPr="005127CD">
        <w:rPr>
          <w:lang w:eastAsia="en-AU"/>
        </w:rPr>
        <w:t xml:space="preserve"> </w:t>
      </w:r>
      <w:r w:rsidRPr="005127CD">
        <w:rPr>
          <w:i/>
          <w:iCs/>
          <w:lang w:eastAsia="en-AU"/>
        </w:rPr>
        <w:t xml:space="preserve">Vaginalis </w:t>
      </w:r>
      <w:r w:rsidRPr="005127CD">
        <w:rPr>
          <w:iCs/>
          <w:lang w:eastAsia="en-AU"/>
        </w:rPr>
        <w:t xml:space="preserve">(Iser et al 2005), and </w:t>
      </w:r>
      <w:r w:rsidRPr="005127CD">
        <w:rPr>
          <w:i/>
          <w:lang w:eastAsia="en-AU"/>
        </w:rPr>
        <w:t xml:space="preserve">Mycoplasma genitalium </w:t>
      </w:r>
      <w:r w:rsidRPr="005127CD">
        <w:rPr>
          <w:lang w:eastAsia="en-AU"/>
        </w:rPr>
        <w:t>(Horner et al 2001; Taylor-Robinson 2002). However, for around half the cases of urethritis in Australia, no easily identifiable cause of urethritis is found (Iser et al 2005).</w:t>
      </w:r>
      <w:r>
        <w:rPr>
          <w:lang w:eastAsia="en-AU"/>
        </w:rPr>
        <w:t xml:space="preserve"> In addition, a high percentage of men with infections such as trichomoniasis (over 75% in some reports) are asymptomatic (Sena et al 2007).</w:t>
      </w:r>
      <w:r w:rsidRPr="005127CD">
        <w:rPr>
          <w:lang w:eastAsia="en-AU"/>
        </w:rPr>
        <w:t xml:space="preserve"> Accordingly, there are no accurate data available regarding the prevalence of NSU in Australia.</w:t>
      </w:r>
    </w:p>
    <w:p w14:paraId="5C41588F" w14:textId="77777777" w:rsidR="0013794C" w:rsidRPr="005127CD" w:rsidRDefault="0013794C" w:rsidP="0013794C">
      <w:pPr>
        <w:pStyle w:val="AspexBodyStandard"/>
        <w:rPr>
          <w:lang w:eastAsia="en-AU"/>
        </w:rPr>
      </w:pPr>
      <w:r w:rsidRPr="005127CD">
        <w:rPr>
          <w:lang w:eastAsia="en-AU"/>
        </w:rPr>
        <w:t xml:space="preserve">Pelvic Inflammatory Disease (PID) presents a similar dilemma in female patients. </w:t>
      </w:r>
      <w:r w:rsidRPr="005127CD">
        <w:t xml:space="preserve">PID can be caused by </w:t>
      </w:r>
      <w:r w:rsidRPr="005127CD">
        <w:rPr>
          <w:i/>
          <w:iCs/>
        </w:rPr>
        <w:t>Chlamydia trachomatis</w:t>
      </w:r>
      <w:r w:rsidRPr="005127CD">
        <w:t xml:space="preserve"> and </w:t>
      </w:r>
      <w:r w:rsidRPr="005127CD">
        <w:rPr>
          <w:i/>
          <w:iCs/>
        </w:rPr>
        <w:t>Neisseria gonorrhoeae</w:t>
      </w:r>
      <w:r w:rsidRPr="005127CD">
        <w:t>, and also by other infectious agents</w:t>
      </w:r>
      <w:r>
        <w:t xml:space="preserve"> such as </w:t>
      </w:r>
      <w:r w:rsidRPr="005127CD">
        <w:rPr>
          <w:i/>
          <w:iCs/>
          <w:lang w:eastAsia="en-AU"/>
        </w:rPr>
        <w:t>Trichomonas</w:t>
      </w:r>
      <w:r w:rsidRPr="005127CD">
        <w:rPr>
          <w:lang w:eastAsia="en-AU"/>
        </w:rPr>
        <w:t xml:space="preserve"> </w:t>
      </w:r>
      <w:r w:rsidRPr="005127CD">
        <w:rPr>
          <w:i/>
          <w:iCs/>
          <w:lang w:eastAsia="en-AU"/>
        </w:rPr>
        <w:t>Vaginalis</w:t>
      </w:r>
      <w:r>
        <w:rPr>
          <w:iCs/>
          <w:lang w:eastAsia="en-AU"/>
        </w:rPr>
        <w:t xml:space="preserve"> (Cherpes et al 2006)</w:t>
      </w:r>
      <w:r w:rsidRPr="005127CD">
        <w:t xml:space="preserve">. </w:t>
      </w:r>
      <w:hyperlink r:id="rId24" w:history="1">
        <w:r w:rsidRPr="005127CD">
          <w:rPr>
            <w:rStyle w:val="Hyperlink"/>
          </w:rPr>
          <w:t xml:space="preserve">Chlamydia </w:t>
        </w:r>
      </w:hyperlink>
      <w:r w:rsidRPr="005127CD">
        <w:rPr>
          <w:color w:val="000000"/>
        </w:rPr>
        <w:t xml:space="preserve">is responsible for about 50% of PID cases, and </w:t>
      </w:r>
      <w:hyperlink r:id="rId25" w:history="1">
        <w:r w:rsidRPr="005127CD">
          <w:rPr>
            <w:rStyle w:val="Hyperlink"/>
          </w:rPr>
          <w:t xml:space="preserve">gonorrhoea </w:t>
        </w:r>
      </w:hyperlink>
      <w:r w:rsidRPr="005127CD">
        <w:rPr>
          <w:color w:val="000000"/>
        </w:rPr>
        <w:t xml:space="preserve">is the cause in 25% of cases.  </w:t>
      </w:r>
      <w:r>
        <w:rPr>
          <w:color w:val="000000"/>
        </w:rPr>
        <w:t>Accordingly, there are a substantial number of PID cases that are not caused by a notifiable organism. Further, subclinical PID is not always identified and the diagnosis may be missed (Dayan 2006). For example, in a study of over 350 women at two Australian sexual health clinics, researchers found trichomoniasis in 5%, exceeding previous prevalence figures of less than 1%. They hypothesised that different diagnostic methods accounted for underdiagnosis (Lusk et al 2010). As a result, the true incidence and prevalence of PID in Australia remains unknown (DOHA 2010).</w:t>
      </w:r>
    </w:p>
    <w:p w14:paraId="51EF4E2C" w14:textId="77777777" w:rsidR="0013794C" w:rsidRDefault="0013794C" w:rsidP="00F44503">
      <w:pPr>
        <w:pStyle w:val="Heading4"/>
      </w:pPr>
      <w:r>
        <w:t xml:space="preserve">Donovanosis (Granuloma inguinale) </w:t>
      </w:r>
    </w:p>
    <w:p w14:paraId="6496E139" w14:textId="2F2F6C2F" w:rsidR="0013794C" w:rsidRDefault="0013794C" w:rsidP="0013794C">
      <w:pPr>
        <w:pStyle w:val="AspexBodyStandard"/>
        <w:rPr>
          <w:lang w:eastAsia="en-AU"/>
        </w:rPr>
      </w:pPr>
      <w:r>
        <w:rPr>
          <w:lang w:eastAsia="en-AU"/>
        </w:rPr>
        <w:t>The number of diagnoses of Donovanosis in Australia has declined over the last ten years. In 2002, there were 15 new cases notified (AIHW 2004), and 3 in 2007</w:t>
      </w:r>
      <w:r w:rsidRPr="005104A2">
        <w:rPr>
          <w:lang w:eastAsia="en-AU"/>
        </w:rPr>
        <w:t>(Kirby Institute 2012)</w:t>
      </w:r>
      <w:r>
        <w:rPr>
          <w:lang w:eastAsia="en-AU"/>
        </w:rPr>
        <w:t>. I</w:t>
      </w:r>
      <w:r w:rsidRPr="005104A2">
        <w:rPr>
          <w:lang w:eastAsia="en-AU"/>
        </w:rPr>
        <w:t>n 2011 there were none (Kirby Institute 2012)</w:t>
      </w:r>
      <w:r>
        <w:rPr>
          <w:lang w:eastAsia="en-AU"/>
        </w:rPr>
        <w:t>.</w:t>
      </w:r>
    </w:p>
    <w:p w14:paraId="0B4B2F7C" w14:textId="77777777" w:rsidR="0013794C" w:rsidRDefault="0013794C" w:rsidP="00F44503">
      <w:pPr>
        <w:pStyle w:val="Heading4"/>
      </w:pPr>
      <w:r>
        <w:t>Syphilis</w:t>
      </w:r>
    </w:p>
    <w:p w14:paraId="5E69717A" w14:textId="77777777" w:rsidR="0013794C" w:rsidRPr="000177A9" w:rsidRDefault="0013794C" w:rsidP="0013794C">
      <w:pPr>
        <w:pStyle w:val="AspexBodyStandard"/>
        <w:rPr>
          <w:lang w:eastAsia="en-AU"/>
        </w:rPr>
      </w:pPr>
      <w:r w:rsidRPr="000177A9">
        <w:rPr>
          <w:lang w:eastAsia="en-AU"/>
        </w:rPr>
        <w:t>The prevalence and incidence of syphilis has varied over the last 10 years. Rates of diagnosis of infectious syphilis more than doubled from 3/100,000 in 2004 to 7/100,000 in 2007 (N</w:t>
      </w:r>
      <w:r>
        <w:rPr>
          <w:lang w:eastAsia="en-AU"/>
        </w:rPr>
        <w:t>ewman et al 2009</w:t>
      </w:r>
      <w:r w:rsidRPr="000177A9">
        <w:rPr>
          <w:lang w:eastAsia="en-AU"/>
        </w:rPr>
        <w:t>), then decreased to 5/100,000 in 2010 (Kirby Institute 2012). An increase to 5.7/100,000 then occurred in 2011, with increases particularly noted in Queensland, South Australia, Victoria and Western Australia</w:t>
      </w:r>
      <w:r>
        <w:rPr>
          <w:lang w:eastAsia="en-AU"/>
        </w:rPr>
        <w:t xml:space="preserve"> </w:t>
      </w:r>
      <w:r w:rsidRPr="000177A9">
        <w:rPr>
          <w:lang w:eastAsia="en-AU"/>
        </w:rPr>
        <w:t>(Kirby Institute 2012).</w:t>
      </w:r>
    </w:p>
    <w:p w14:paraId="0E332F76" w14:textId="77777777" w:rsidR="0013794C" w:rsidRDefault="0013794C" w:rsidP="0013794C">
      <w:pPr>
        <w:pStyle w:val="AspexBodyStandard"/>
        <w:rPr>
          <w:lang w:eastAsia="en-AU"/>
        </w:rPr>
      </w:pPr>
      <w:r>
        <w:rPr>
          <w:lang w:eastAsia="en-AU"/>
        </w:rPr>
        <w:t>Diagnoses a</w:t>
      </w:r>
      <w:r w:rsidRPr="000177A9">
        <w:rPr>
          <w:lang w:eastAsia="en-AU"/>
        </w:rPr>
        <w:t>re almost completely confined to gay men and other men who have sex with men in New South Wales, Victoria and Queensland. In the Northern Territory, the vast majority of cases being diagnosed affect Aboriginal and</w:t>
      </w:r>
      <w:r>
        <w:rPr>
          <w:lang w:eastAsia="en-AU"/>
        </w:rPr>
        <w:t xml:space="preserve"> Torres Strait Islander peoples </w:t>
      </w:r>
      <w:r w:rsidRPr="000177A9">
        <w:rPr>
          <w:lang w:eastAsia="en-AU"/>
        </w:rPr>
        <w:t>(N</w:t>
      </w:r>
      <w:r>
        <w:rPr>
          <w:lang w:eastAsia="en-AU"/>
        </w:rPr>
        <w:t>ewman et al 2009</w:t>
      </w:r>
      <w:r w:rsidRPr="000177A9">
        <w:rPr>
          <w:lang w:eastAsia="en-AU"/>
        </w:rPr>
        <w:t>)</w:t>
      </w:r>
      <w:r>
        <w:rPr>
          <w:lang w:eastAsia="en-AU"/>
        </w:rPr>
        <w:t>.</w:t>
      </w:r>
    </w:p>
    <w:p w14:paraId="5CB0890C" w14:textId="759EC209" w:rsidR="0013794C" w:rsidRPr="000177A9" w:rsidRDefault="0013794C" w:rsidP="0013794C">
      <w:pPr>
        <w:pStyle w:val="AspexBodyStandard"/>
        <w:rPr>
          <w:lang w:eastAsia="en-AU"/>
        </w:rPr>
      </w:pPr>
      <w:r>
        <w:rPr>
          <w:lang w:eastAsia="en-AU"/>
        </w:rPr>
        <w:lastRenderedPageBreak/>
        <w:t>Recent estimates from population studies conducted in the United States indicate that syphilis is prevalent in approximately 0.07% of the general (non-institutionalised) white population between the ages of 18 and 49</w:t>
      </w:r>
      <w:r>
        <w:rPr>
          <w:rStyle w:val="FootnoteReference"/>
          <w:lang w:eastAsia="en-AU"/>
        </w:rPr>
        <w:footnoteReference w:id="7"/>
      </w:r>
      <w:r>
        <w:rPr>
          <w:lang w:eastAsia="en-AU"/>
        </w:rPr>
        <w:t xml:space="preserve"> (Gottleib et al 2008).</w:t>
      </w:r>
    </w:p>
    <w:p w14:paraId="7B8680A0" w14:textId="77777777" w:rsidR="0013794C" w:rsidRDefault="0013794C" w:rsidP="00F44503">
      <w:pPr>
        <w:pStyle w:val="Heading4"/>
      </w:pPr>
      <w:r>
        <w:t>Human immunodeficiency virus (HIV)</w:t>
      </w:r>
    </w:p>
    <w:p w14:paraId="72017036" w14:textId="495612C0" w:rsidR="0013794C" w:rsidRPr="00282566" w:rsidRDefault="0013794C" w:rsidP="0013794C">
      <w:pPr>
        <w:pStyle w:val="AspexBodyStandard"/>
        <w:rPr>
          <w:lang w:eastAsia="en-AU"/>
        </w:rPr>
      </w:pPr>
      <w:r w:rsidRPr="00282566">
        <w:rPr>
          <w:lang w:eastAsia="en-AU"/>
        </w:rPr>
        <w:t xml:space="preserve">New HIV diagnoses per year in Australia increased to </w:t>
      </w:r>
      <w:r w:rsidR="00D1030B">
        <w:rPr>
          <w:lang w:eastAsia="en-AU"/>
        </w:rPr>
        <w:t>1,137</w:t>
      </w:r>
      <w:r w:rsidRPr="00282566">
        <w:rPr>
          <w:lang w:eastAsia="en-AU"/>
        </w:rPr>
        <w:t xml:space="preserve"> cases in 2011, an 8.2% increase over the numbers diagnosed in 2010 (Kirby Institute 2012).</w:t>
      </w:r>
    </w:p>
    <w:p w14:paraId="3C3AABA6" w14:textId="77777777" w:rsidR="0013794C" w:rsidRDefault="0013794C" w:rsidP="0013794C">
      <w:pPr>
        <w:pStyle w:val="AspexBodyStandard"/>
        <w:rPr>
          <w:lang w:eastAsia="en-AU"/>
        </w:rPr>
      </w:pPr>
      <w:r>
        <w:rPr>
          <w:lang w:eastAsia="en-AU"/>
        </w:rPr>
        <w:t xml:space="preserve">Transmission of HIV in Australia continues to occur primarily through sexual contact between men. In 2007 – 2011: </w:t>
      </w:r>
    </w:p>
    <w:p w14:paraId="31D7C5AA" w14:textId="77777777" w:rsidR="0013794C" w:rsidRDefault="0013794C" w:rsidP="0013794C">
      <w:pPr>
        <w:pStyle w:val="AspexBullet1"/>
        <w:rPr>
          <w:lang w:eastAsia="en-AU"/>
        </w:rPr>
      </w:pPr>
      <w:r>
        <w:rPr>
          <w:lang w:eastAsia="en-AU"/>
        </w:rPr>
        <w:t xml:space="preserve">66% of new HIV diagnoses occurred among men who have sex with men (MSM); </w:t>
      </w:r>
    </w:p>
    <w:p w14:paraId="3DC6D3BD" w14:textId="77777777" w:rsidR="0013794C" w:rsidRPr="00282566" w:rsidRDefault="0013794C" w:rsidP="0013794C">
      <w:pPr>
        <w:pStyle w:val="AspexBullet1"/>
        <w:rPr>
          <w:lang w:eastAsia="en-AU"/>
        </w:rPr>
      </w:pPr>
      <w:r>
        <w:rPr>
          <w:lang w:eastAsia="en-AU"/>
        </w:rPr>
        <w:t>25% were attributed to heterosexual contact;</w:t>
      </w:r>
      <w:r w:rsidRPr="00282566">
        <w:rPr>
          <w:lang w:eastAsia="en-AU"/>
        </w:rPr>
        <w:t xml:space="preserve"> </w:t>
      </w:r>
    </w:p>
    <w:p w14:paraId="0FB5D05B" w14:textId="77777777" w:rsidR="0013794C" w:rsidRPr="00282566" w:rsidRDefault="0013794C" w:rsidP="0013794C">
      <w:pPr>
        <w:pStyle w:val="AspexBullet1"/>
        <w:rPr>
          <w:lang w:eastAsia="en-AU"/>
        </w:rPr>
      </w:pPr>
      <w:r w:rsidRPr="00282566">
        <w:rPr>
          <w:lang w:eastAsia="en-AU"/>
        </w:rPr>
        <w:t xml:space="preserve">3% </w:t>
      </w:r>
      <w:r>
        <w:rPr>
          <w:lang w:eastAsia="en-AU"/>
        </w:rPr>
        <w:t xml:space="preserve">were attributed </w:t>
      </w:r>
      <w:r w:rsidRPr="00282566">
        <w:rPr>
          <w:lang w:eastAsia="en-AU"/>
        </w:rPr>
        <w:t>to injecting drug use</w:t>
      </w:r>
      <w:r>
        <w:rPr>
          <w:lang w:eastAsia="en-AU"/>
        </w:rPr>
        <w:t>;</w:t>
      </w:r>
      <w:r w:rsidRPr="00282566">
        <w:rPr>
          <w:lang w:eastAsia="en-AU"/>
        </w:rPr>
        <w:t xml:space="preserve"> and </w:t>
      </w:r>
    </w:p>
    <w:p w14:paraId="4D06EC9A" w14:textId="77777777" w:rsidR="0013794C" w:rsidRDefault="0013794C" w:rsidP="0013794C">
      <w:pPr>
        <w:pStyle w:val="AspexBullet1"/>
        <w:rPr>
          <w:lang w:eastAsia="en-AU"/>
        </w:rPr>
      </w:pPr>
      <w:r>
        <w:rPr>
          <w:lang w:eastAsia="en-AU"/>
        </w:rPr>
        <w:t>7% had undetermined exposure (Kirby Institute 2012).</w:t>
      </w:r>
    </w:p>
    <w:p w14:paraId="1DAFBCF8" w14:textId="77777777" w:rsidR="0013794C" w:rsidRPr="00282566" w:rsidRDefault="0013794C" w:rsidP="0013794C">
      <w:pPr>
        <w:pStyle w:val="AspexBodyStandard"/>
        <w:rPr>
          <w:lang w:eastAsia="en-AU"/>
        </w:rPr>
      </w:pPr>
      <w:r>
        <w:rPr>
          <w:lang w:eastAsia="en-AU"/>
        </w:rPr>
        <w:t>A recent Australian community study has indicated that up to 31% of MSM with HIV were unaware of their condition (Pedrana et al 2012).</w:t>
      </w:r>
    </w:p>
    <w:p w14:paraId="79F13495" w14:textId="77777777" w:rsidR="0013794C" w:rsidRDefault="0013794C" w:rsidP="00F44503">
      <w:pPr>
        <w:pStyle w:val="Heading4"/>
      </w:pPr>
      <w:r>
        <w:t>Human papilloma virus (HPV)</w:t>
      </w:r>
    </w:p>
    <w:p w14:paraId="357B24B3" w14:textId="6A9B2CFD" w:rsidR="0013794C" w:rsidRDefault="0013794C" w:rsidP="0013794C">
      <w:pPr>
        <w:pStyle w:val="AspexBodyStandard"/>
        <w:rPr>
          <w:lang w:eastAsia="en-AU"/>
        </w:rPr>
      </w:pPr>
      <w:r>
        <w:rPr>
          <w:lang w:eastAsia="en-AU"/>
        </w:rPr>
        <w:t>Following the introduction of vaccination against human papilloma virus, the proportion of young women and heterosexual men aged 21 years or younger</w:t>
      </w:r>
      <w:r w:rsidR="00220584">
        <w:rPr>
          <w:lang w:eastAsia="en-AU"/>
        </w:rPr>
        <w:t xml:space="preserve"> presenting to public sexual health services</w:t>
      </w:r>
      <w:r>
        <w:rPr>
          <w:lang w:eastAsia="en-AU"/>
        </w:rPr>
        <w:t xml:space="preserve"> who were diagnosed with genital warts decreased:</w:t>
      </w:r>
    </w:p>
    <w:p w14:paraId="503BC882" w14:textId="375AF944" w:rsidR="0013794C" w:rsidRDefault="0013794C" w:rsidP="0013794C">
      <w:pPr>
        <w:pStyle w:val="AspexBullet1"/>
        <w:rPr>
          <w:lang w:eastAsia="en-AU"/>
        </w:rPr>
      </w:pPr>
      <w:r>
        <w:rPr>
          <w:lang w:eastAsia="en-AU"/>
        </w:rPr>
        <w:t>From 12.1% in 2007 to 2.2% in 2011 in young women</w:t>
      </w:r>
      <w:r w:rsidR="00FA595E">
        <w:rPr>
          <w:lang w:eastAsia="en-AU"/>
        </w:rPr>
        <w:t>; and</w:t>
      </w:r>
    </w:p>
    <w:p w14:paraId="20880922" w14:textId="77777777" w:rsidR="0013794C" w:rsidRDefault="0013794C" w:rsidP="0013794C">
      <w:pPr>
        <w:pStyle w:val="AspexBullet1"/>
        <w:rPr>
          <w:lang w:eastAsia="en-AU"/>
        </w:rPr>
      </w:pPr>
      <w:r>
        <w:rPr>
          <w:lang w:eastAsia="en-AU"/>
        </w:rPr>
        <w:t>From over 9% in 2007 to 5.7% in 2011 in young heterosexual men (Kirby Institute 2012).</w:t>
      </w:r>
    </w:p>
    <w:p w14:paraId="1DD31207" w14:textId="77777777" w:rsidR="0013794C" w:rsidRDefault="0013794C" w:rsidP="00F44503">
      <w:pPr>
        <w:pStyle w:val="Heading4"/>
      </w:pPr>
      <w:r>
        <w:t>Herpes Simplex Virus (HSV 1 and 2)</w:t>
      </w:r>
    </w:p>
    <w:p w14:paraId="4567649E" w14:textId="77777777" w:rsidR="0013794C" w:rsidRPr="00505DD6" w:rsidRDefault="0013794C" w:rsidP="0013794C">
      <w:pPr>
        <w:pStyle w:val="AspexBodyStandard"/>
        <w:rPr>
          <w:lang w:eastAsia="en-AU"/>
        </w:rPr>
      </w:pPr>
      <w:r w:rsidRPr="00505DD6">
        <w:rPr>
          <w:lang w:eastAsia="en-AU"/>
        </w:rPr>
        <w:t>Genital herpes infections caused by herpes simplex virus type 2 (HSV2) are estimated to affect 12% of adult Australians. Infection with HSV2 also increases the risk of acquiring HIV several-fold [DOHA 2010].</w:t>
      </w:r>
    </w:p>
    <w:p w14:paraId="2A8BE594" w14:textId="77777777" w:rsidR="0013794C" w:rsidRDefault="0013794C" w:rsidP="0013794C">
      <w:pPr>
        <w:pStyle w:val="AspexBodyStandard"/>
        <w:rPr>
          <w:lang w:eastAsia="en-AU"/>
        </w:rPr>
      </w:pPr>
      <w:r w:rsidRPr="00505DD6">
        <w:rPr>
          <w:lang w:eastAsia="en-AU"/>
        </w:rPr>
        <w:t>Prevalence</w:t>
      </w:r>
      <w:r>
        <w:rPr>
          <w:lang w:eastAsia="en-AU"/>
        </w:rPr>
        <w:t xml:space="preserve"> varies between groups:</w:t>
      </w:r>
    </w:p>
    <w:p w14:paraId="53F332FC" w14:textId="77777777" w:rsidR="0013794C" w:rsidRDefault="0013794C" w:rsidP="0013794C">
      <w:pPr>
        <w:pStyle w:val="AspexBullet1"/>
        <w:rPr>
          <w:lang w:eastAsia="en-AU"/>
        </w:rPr>
      </w:pPr>
      <w:r>
        <w:rPr>
          <w:lang w:eastAsia="en-AU"/>
        </w:rPr>
        <w:t>Twice as common</w:t>
      </w:r>
      <w:r w:rsidRPr="00505DD6">
        <w:rPr>
          <w:lang w:eastAsia="en-AU"/>
        </w:rPr>
        <w:t xml:space="preserve"> in women (16%) </w:t>
      </w:r>
      <w:r>
        <w:rPr>
          <w:lang w:eastAsia="en-AU"/>
        </w:rPr>
        <w:t>compared with men (8%);</w:t>
      </w:r>
      <w:r w:rsidRPr="00505DD6">
        <w:rPr>
          <w:lang w:eastAsia="en-AU"/>
        </w:rPr>
        <w:t xml:space="preserve"> </w:t>
      </w:r>
    </w:p>
    <w:p w14:paraId="33F7CDAE" w14:textId="77777777" w:rsidR="0013794C" w:rsidRDefault="0013794C" w:rsidP="0013794C">
      <w:pPr>
        <w:pStyle w:val="AspexBullet1"/>
        <w:rPr>
          <w:lang w:eastAsia="en-AU"/>
        </w:rPr>
      </w:pPr>
      <w:r>
        <w:rPr>
          <w:lang w:eastAsia="en-AU"/>
        </w:rPr>
        <w:t>Lower in r</w:t>
      </w:r>
      <w:r w:rsidRPr="00505DD6">
        <w:rPr>
          <w:lang w:eastAsia="en-AU"/>
        </w:rPr>
        <w:t xml:space="preserve">ural populations (9%) </w:t>
      </w:r>
      <w:r>
        <w:rPr>
          <w:lang w:eastAsia="en-AU"/>
        </w:rPr>
        <w:t>compared with metropolitan (13%);</w:t>
      </w:r>
      <w:r w:rsidRPr="00505DD6">
        <w:rPr>
          <w:lang w:eastAsia="en-AU"/>
        </w:rPr>
        <w:t xml:space="preserve"> and </w:t>
      </w:r>
    </w:p>
    <w:p w14:paraId="449A67C6" w14:textId="77777777" w:rsidR="0013794C" w:rsidRDefault="0013794C" w:rsidP="0013794C">
      <w:pPr>
        <w:pStyle w:val="AspexBullet1"/>
        <w:rPr>
          <w:lang w:eastAsia="en-AU"/>
        </w:rPr>
      </w:pPr>
      <w:r>
        <w:rPr>
          <w:lang w:eastAsia="en-AU"/>
        </w:rPr>
        <w:t>H</w:t>
      </w:r>
      <w:r w:rsidRPr="00505DD6">
        <w:rPr>
          <w:lang w:eastAsia="en-AU"/>
        </w:rPr>
        <w:t>igher prevalence</w:t>
      </w:r>
      <w:r>
        <w:rPr>
          <w:lang w:eastAsia="en-AU"/>
        </w:rPr>
        <w:t xml:space="preserve"> in</w:t>
      </w:r>
      <w:r w:rsidRPr="00505DD6">
        <w:rPr>
          <w:lang w:eastAsia="en-AU"/>
        </w:rPr>
        <w:t xml:space="preserve"> Indigenous</w:t>
      </w:r>
      <w:r>
        <w:rPr>
          <w:lang w:eastAsia="en-AU"/>
        </w:rPr>
        <w:t xml:space="preserve"> </w:t>
      </w:r>
      <w:r w:rsidRPr="00505DD6">
        <w:rPr>
          <w:lang w:eastAsia="en-AU"/>
        </w:rPr>
        <w:t xml:space="preserve">(18%) </w:t>
      </w:r>
      <w:r>
        <w:rPr>
          <w:lang w:eastAsia="en-AU"/>
        </w:rPr>
        <w:t>compared with</w:t>
      </w:r>
      <w:r w:rsidRPr="00505DD6">
        <w:rPr>
          <w:lang w:eastAsia="en-AU"/>
        </w:rPr>
        <w:t xml:space="preserve"> non-Indigenous populations (12%)</w:t>
      </w:r>
      <w:r>
        <w:rPr>
          <w:lang w:eastAsia="en-AU"/>
        </w:rPr>
        <w:t xml:space="preserve"> (Cunningham et al 2006)</w:t>
      </w:r>
      <w:r w:rsidRPr="00505DD6">
        <w:rPr>
          <w:lang w:eastAsia="en-AU"/>
        </w:rPr>
        <w:t xml:space="preserve">. </w:t>
      </w:r>
    </w:p>
    <w:p w14:paraId="728BEF6B" w14:textId="381979D9" w:rsidR="0013794C" w:rsidRDefault="0013794C" w:rsidP="0013794C">
      <w:pPr>
        <w:pStyle w:val="AspexBodyStandard"/>
        <w:rPr>
          <w:lang w:eastAsia="en-AU"/>
        </w:rPr>
      </w:pPr>
      <w:r w:rsidRPr="00505DD6">
        <w:rPr>
          <w:lang w:eastAsia="en-AU"/>
        </w:rPr>
        <w:t>The seroprevalence of HSV-1</w:t>
      </w:r>
      <w:r>
        <w:rPr>
          <w:lang w:eastAsia="en-AU"/>
        </w:rPr>
        <w:t xml:space="preserve"> i</w:t>
      </w:r>
      <w:r w:rsidRPr="00505DD6">
        <w:rPr>
          <w:lang w:eastAsia="en-AU"/>
        </w:rPr>
        <w:t>s 76%</w:t>
      </w:r>
      <w:r w:rsidR="00FA595E">
        <w:rPr>
          <w:lang w:eastAsia="en-AU"/>
        </w:rPr>
        <w:t>,</w:t>
      </w:r>
      <w:r w:rsidRPr="00505DD6">
        <w:rPr>
          <w:lang w:eastAsia="en-AU"/>
        </w:rPr>
        <w:t xml:space="preserve"> with significant differences by age g</w:t>
      </w:r>
      <w:r>
        <w:rPr>
          <w:lang w:eastAsia="en-AU"/>
        </w:rPr>
        <w:t>roup, sex and Indigenous status</w:t>
      </w:r>
      <w:r w:rsidRPr="00505DD6">
        <w:rPr>
          <w:lang w:eastAsia="en-AU"/>
        </w:rPr>
        <w:t xml:space="preserve"> </w:t>
      </w:r>
      <w:r>
        <w:rPr>
          <w:lang w:eastAsia="en-AU"/>
        </w:rPr>
        <w:t>(Cunningham et al 2006)</w:t>
      </w:r>
      <w:r w:rsidRPr="00505DD6">
        <w:rPr>
          <w:lang w:eastAsia="en-AU"/>
        </w:rPr>
        <w:t>.</w:t>
      </w:r>
    </w:p>
    <w:p w14:paraId="7D6CC990" w14:textId="0F3EB6D7" w:rsidR="0013794C" w:rsidRDefault="00477ED7" w:rsidP="00F44503">
      <w:pPr>
        <w:pStyle w:val="Heading4"/>
      </w:pPr>
      <w:r>
        <w:lastRenderedPageBreak/>
        <w:t>Hepatitis B and C</w:t>
      </w:r>
      <w:r w:rsidR="0013794C">
        <w:t xml:space="preserve"> </w:t>
      </w:r>
    </w:p>
    <w:p w14:paraId="517D9684" w14:textId="77777777" w:rsidR="0013794C" w:rsidRDefault="0013794C" w:rsidP="003C7AD0">
      <w:pPr>
        <w:pStyle w:val="AspexBodyStandard"/>
        <w:spacing w:before="120"/>
        <w:rPr>
          <w:rFonts w:cs="Arial"/>
          <w:szCs w:val="22"/>
          <w:lang w:eastAsia="en-AU"/>
        </w:rPr>
      </w:pPr>
      <w:r w:rsidRPr="00A10319">
        <w:rPr>
          <w:rFonts w:cs="Arial"/>
          <w:szCs w:val="22"/>
          <w:lang w:eastAsia="en-AU"/>
        </w:rPr>
        <w:t>In 2011, the estimated number of people living in Australia with chronic hepatitis B was 209,000</w:t>
      </w:r>
      <w:r>
        <w:rPr>
          <w:rFonts w:cs="Arial"/>
          <w:szCs w:val="22"/>
          <w:lang w:eastAsia="en-AU"/>
        </w:rPr>
        <w:t>. The</w:t>
      </w:r>
      <w:r w:rsidRPr="00A10319">
        <w:rPr>
          <w:rFonts w:cs="Arial"/>
          <w:szCs w:val="22"/>
          <w:lang w:eastAsia="en-AU"/>
        </w:rPr>
        <w:t xml:space="preserve"> diagnosis rate of newly acquired hepatitis B decreased from 1.4 per 100,000 population in 2007 to 0.8 in 2011 (Kirby Institute 2012). </w:t>
      </w:r>
    </w:p>
    <w:p w14:paraId="5A0433DF" w14:textId="77777777" w:rsidR="0013794C" w:rsidRPr="00A10319" w:rsidRDefault="0013794C" w:rsidP="003C7AD0">
      <w:pPr>
        <w:pStyle w:val="AspexBodyStandard"/>
        <w:spacing w:before="120"/>
        <w:rPr>
          <w:rFonts w:cs="Arial"/>
          <w:szCs w:val="22"/>
          <w:lang w:eastAsia="en-AU"/>
        </w:rPr>
      </w:pPr>
      <w:r>
        <w:rPr>
          <w:rFonts w:cs="Arial"/>
          <w:szCs w:val="22"/>
          <w:lang w:eastAsia="en-AU"/>
        </w:rPr>
        <w:t>An estimated 304,</w:t>
      </w:r>
      <w:r w:rsidRPr="00A10319">
        <w:rPr>
          <w:rFonts w:cs="Arial"/>
          <w:szCs w:val="22"/>
          <w:lang w:eastAsia="en-AU"/>
        </w:rPr>
        <w:t xml:space="preserve">000 people living in Australia in 2011 had been exposed to hepatitis C virus. The rate of diagnosis of hepatitis C infection </w:t>
      </w:r>
      <w:r>
        <w:rPr>
          <w:rFonts w:cs="Arial"/>
          <w:szCs w:val="22"/>
          <w:lang w:eastAsia="en-AU"/>
        </w:rPr>
        <w:t>declined to 45.7 per 100,</w:t>
      </w:r>
      <w:r w:rsidRPr="00A10319">
        <w:rPr>
          <w:rFonts w:cs="Arial"/>
          <w:szCs w:val="22"/>
          <w:lang w:eastAsia="en-AU"/>
        </w:rPr>
        <w:t>000 population in</w:t>
      </w:r>
      <w:r>
        <w:rPr>
          <w:rFonts w:cs="Arial"/>
          <w:szCs w:val="22"/>
          <w:lang w:eastAsia="en-AU"/>
        </w:rPr>
        <w:t xml:space="preserve"> </w:t>
      </w:r>
      <w:r w:rsidRPr="00A10319">
        <w:rPr>
          <w:rFonts w:cs="Arial"/>
          <w:szCs w:val="22"/>
          <w:lang w:eastAsia="en-AU"/>
        </w:rPr>
        <w:t xml:space="preserve">2011. </w:t>
      </w:r>
      <w:r>
        <w:rPr>
          <w:rFonts w:cs="Arial"/>
          <w:szCs w:val="22"/>
          <w:lang w:eastAsia="en-AU"/>
        </w:rPr>
        <w:t xml:space="preserve"> The highest rate of </w:t>
      </w:r>
      <w:r w:rsidRPr="00A10319">
        <w:rPr>
          <w:rFonts w:cs="Arial"/>
          <w:szCs w:val="22"/>
          <w:lang w:eastAsia="en-AU"/>
        </w:rPr>
        <w:t xml:space="preserve">hepatitis C transmission </w:t>
      </w:r>
      <w:r>
        <w:rPr>
          <w:rFonts w:cs="Arial"/>
          <w:szCs w:val="22"/>
          <w:lang w:eastAsia="en-AU"/>
        </w:rPr>
        <w:t xml:space="preserve">is among adults </w:t>
      </w:r>
      <w:r w:rsidRPr="00A10319">
        <w:rPr>
          <w:rFonts w:cs="Arial"/>
          <w:szCs w:val="22"/>
          <w:lang w:eastAsia="en-AU"/>
        </w:rPr>
        <w:t>age</w:t>
      </w:r>
      <w:r>
        <w:rPr>
          <w:rFonts w:cs="Arial"/>
          <w:szCs w:val="22"/>
          <w:lang w:eastAsia="en-AU"/>
        </w:rPr>
        <w:t xml:space="preserve">d 20 – 29 years, </w:t>
      </w:r>
      <w:r w:rsidRPr="00A10319">
        <w:rPr>
          <w:rFonts w:cs="Arial"/>
          <w:szCs w:val="22"/>
          <w:lang w:eastAsia="en-AU"/>
        </w:rPr>
        <w:t>primarily those with a history of injecting drug use</w:t>
      </w:r>
      <w:r>
        <w:rPr>
          <w:rFonts w:cs="Arial"/>
          <w:szCs w:val="22"/>
          <w:lang w:eastAsia="en-AU"/>
        </w:rPr>
        <w:t xml:space="preserve"> </w:t>
      </w:r>
      <w:r w:rsidRPr="00A10319">
        <w:rPr>
          <w:rFonts w:cs="Arial"/>
          <w:szCs w:val="22"/>
          <w:lang w:eastAsia="en-AU"/>
        </w:rPr>
        <w:t>(Kirby Institute 2012).</w:t>
      </w:r>
      <w:r>
        <w:rPr>
          <w:rFonts w:cs="Arial"/>
          <w:szCs w:val="22"/>
          <w:lang w:eastAsia="en-AU"/>
        </w:rPr>
        <w:t xml:space="preserve"> While Hepatitis C is uncommon in </w:t>
      </w:r>
      <w:r>
        <w:t>community-based cohorts of homosexual men, the few cases detected in studies appear to be related to sexual-risk behaviours and are more common in HIV-positive men (Jin et al 2010).</w:t>
      </w:r>
    </w:p>
    <w:p w14:paraId="6E46DDC2" w14:textId="77777777" w:rsidR="0013794C" w:rsidRPr="00A10319" w:rsidRDefault="0013794C" w:rsidP="003C7AD0">
      <w:pPr>
        <w:pStyle w:val="AspexBodyStandard"/>
        <w:spacing w:before="120"/>
        <w:rPr>
          <w:rFonts w:cs="Arial"/>
          <w:szCs w:val="22"/>
          <w:lang w:eastAsia="en-AU"/>
        </w:rPr>
      </w:pPr>
      <w:r>
        <w:rPr>
          <w:rFonts w:cs="Arial"/>
          <w:szCs w:val="22"/>
          <w:lang w:eastAsia="en-AU"/>
        </w:rPr>
        <w:t xml:space="preserve">Liver transplant is an </w:t>
      </w:r>
      <w:r w:rsidRPr="00A10319">
        <w:rPr>
          <w:rFonts w:cs="Arial"/>
          <w:szCs w:val="22"/>
          <w:lang w:eastAsia="en-AU"/>
        </w:rPr>
        <w:t xml:space="preserve">indicator of </w:t>
      </w:r>
      <w:r>
        <w:rPr>
          <w:rFonts w:cs="Arial"/>
          <w:szCs w:val="22"/>
          <w:lang w:eastAsia="en-AU"/>
        </w:rPr>
        <w:t>chronic</w:t>
      </w:r>
      <w:r w:rsidRPr="00A10319">
        <w:rPr>
          <w:rFonts w:cs="Arial"/>
          <w:szCs w:val="22"/>
          <w:lang w:eastAsia="en-AU"/>
        </w:rPr>
        <w:t xml:space="preserve"> illness caused by hepatitis </w:t>
      </w:r>
      <w:r>
        <w:rPr>
          <w:rFonts w:cs="Arial"/>
          <w:szCs w:val="22"/>
          <w:lang w:eastAsia="en-AU"/>
        </w:rPr>
        <w:t xml:space="preserve">B and </w:t>
      </w:r>
      <w:r w:rsidRPr="00A10319">
        <w:rPr>
          <w:rFonts w:cs="Arial"/>
          <w:szCs w:val="22"/>
          <w:lang w:eastAsia="en-AU"/>
        </w:rPr>
        <w:t>C. Of 194 people who</w:t>
      </w:r>
      <w:r>
        <w:rPr>
          <w:rFonts w:cs="Arial"/>
          <w:szCs w:val="22"/>
          <w:lang w:eastAsia="en-AU"/>
        </w:rPr>
        <w:t xml:space="preserve"> </w:t>
      </w:r>
      <w:r w:rsidRPr="00A10319">
        <w:rPr>
          <w:rFonts w:cs="Arial"/>
          <w:szCs w:val="22"/>
          <w:lang w:eastAsia="en-AU"/>
        </w:rPr>
        <w:t>had a live</w:t>
      </w:r>
      <w:r>
        <w:rPr>
          <w:rFonts w:cs="Arial"/>
          <w:szCs w:val="22"/>
          <w:lang w:eastAsia="en-AU"/>
        </w:rPr>
        <w:t>r transplant in 2011, 28%</w:t>
      </w:r>
      <w:r w:rsidRPr="00A10319">
        <w:rPr>
          <w:rFonts w:cs="Arial"/>
          <w:szCs w:val="22"/>
          <w:lang w:eastAsia="en-AU"/>
        </w:rPr>
        <w:t xml:space="preserve"> had hepatitis C infection whereas hepatitis B was the primary cause of</w:t>
      </w:r>
      <w:r>
        <w:rPr>
          <w:rFonts w:cs="Arial"/>
          <w:szCs w:val="22"/>
          <w:lang w:eastAsia="en-AU"/>
        </w:rPr>
        <w:t xml:space="preserve"> liver failure for 5%</w:t>
      </w:r>
      <w:r w:rsidRPr="00A10319">
        <w:rPr>
          <w:rFonts w:cs="Arial"/>
          <w:szCs w:val="22"/>
          <w:lang w:eastAsia="en-AU"/>
        </w:rPr>
        <w:t xml:space="preserve"> </w:t>
      </w:r>
      <w:r>
        <w:rPr>
          <w:rFonts w:cs="Arial"/>
          <w:szCs w:val="22"/>
          <w:lang w:eastAsia="en-AU"/>
        </w:rPr>
        <w:t xml:space="preserve">of </w:t>
      </w:r>
      <w:r w:rsidRPr="00A10319">
        <w:rPr>
          <w:rFonts w:cs="Arial"/>
          <w:szCs w:val="22"/>
          <w:lang w:eastAsia="en-AU"/>
        </w:rPr>
        <w:t>people having liver transplants</w:t>
      </w:r>
      <w:r>
        <w:rPr>
          <w:rFonts w:cs="Arial"/>
          <w:szCs w:val="22"/>
          <w:lang w:eastAsia="en-AU"/>
        </w:rPr>
        <w:t xml:space="preserve"> </w:t>
      </w:r>
      <w:r w:rsidRPr="00A10319">
        <w:rPr>
          <w:rFonts w:cs="Arial"/>
          <w:szCs w:val="22"/>
          <w:lang w:eastAsia="en-AU"/>
        </w:rPr>
        <w:t>(Kirby Institute 2012).</w:t>
      </w:r>
    </w:p>
    <w:p w14:paraId="2FB63CF6" w14:textId="77777777" w:rsidR="00895CC3" w:rsidRDefault="00F3564A" w:rsidP="007333CE">
      <w:pPr>
        <w:pStyle w:val="Heading2"/>
      </w:pPr>
      <w:bookmarkStart w:id="31" w:name="_Toc351480516"/>
      <w:r>
        <w:t>Supply of community services</w:t>
      </w:r>
      <w:bookmarkEnd w:id="31"/>
    </w:p>
    <w:p w14:paraId="7D4D68FA" w14:textId="77777777" w:rsidR="005E4AA3" w:rsidRDefault="005E4AA3" w:rsidP="00F44503">
      <w:pPr>
        <w:pStyle w:val="Heading3"/>
      </w:pPr>
      <w:bookmarkStart w:id="32" w:name="_Toc224038084"/>
      <w:r>
        <w:t>National estimates of general practice encounters</w:t>
      </w:r>
      <w:bookmarkEnd w:id="32"/>
    </w:p>
    <w:p w14:paraId="1DC14731" w14:textId="74F5F6D8" w:rsidR="007D699E" w:rsidRDefault="00C1718C" w:rsidP="00E7483D">
      <w:pPr>
        <w:pStyle w:val="AspexBodyStandard"/>
      </w:pPr>
      <w:r>
        <w:t>A large number</w:t>
      </w:r>
      <w:r w:rsidR="005E4AA3">
        <w:t xml:space="preserve"> of patients with </w:t>
      </w:r>
      <w:r>
        <w:t>STIs and other sexual function</w:t>
      </w:r>
      <w:r w:rsidR="005E4AA3">
        <w:t xml:space="preserve"> </w:t>
      </w:r>
      <w:r>
        <w:t>problems</w:t>
      </w:r>
      <w:r w:rsidR="005E4AA3">
        <w:t xml:space="preserve"> would present for treatment </w:t>
      </w:r>
      <w:r w:rsidR="005468E1">
        <w:t>to</w:t>
      </w:r>
      <w:r w:rsidR="002F3FAC">
        <w:t xml:space="preserve"> a g</w:t>
      </w:r>
      <w:r w:rsidR="005E4AA3">
        <w:t>enera</w:t>
      </w:r>
      <w:r w:rsidR="002F3FAC">
        <w:t>l p</w:t>
      </w:r>
      <w:r w:rsidR="005E4AA3">
        <w:t>ractitioner. Using data from the Bettering Evaluation and Care of Health Study (BEACH) from October 2007 and September 2012</w:t>
      </w:r>
      <w:r w:rsidR="002F3FAC">
        <w:t>,</w:t>
      </w:r>
      <w:r w:rsidR="005E4AA3">
        <w:t xml:space="preserve"> it has been estimated that a total of </w:t>
      </w:r>
      <w:r>
        <w:t>1,727</w:t>
      </w:r>
      <w:r w:rsidR="005E4AA3">
        <w:t xml:space="preserve">,000 </w:t>
      </w:r>
      <w:r w:rsidR="005468E1">
        <w:t xml:space="preserve">(95%ci: </w:t>
      </w:r>
      <w:r>
        <w:t>1,659,000</w:t>
      </w:r>
      <w:r w:rsidR="005468E1">
        <w:t>-1,</w:t>
      </w:r>
      <w:r>
        <w:t>79</w:t>
      </w:r>
      <w:r w:rsidR="005468E1">
        <w:t xml:space="preserve">5,000) </w:t>
      </w:r>
      <w:r w:rsidR="002F3FAC">
        <w:t>g</w:t>
      </w:r>
      <w:r w:rsidR="005E4AA3">
        <w:t xml:space="preserve">eneral </w:t>
      </w:r>
      <w:r w:rsidR="002F3FAC">
        <w:t>p</w:t>
      </w:r>
      <w:r w:rsidR="005E4AA3">
        <w:t xml:space="preserve">ractice encounters occur each year relating to </w:t>
      </w:r>
      <w:r>
        <w:t>sexual function</w:t>
      </w:r>
      <w:r w:rsidR="005468E1">
        <w:t xml:space="preserve">, representing around </w:t>
      </w:r>
      <w:r>
        <w:t>1.48</w:t>
      </w:r>
      <w:r w:rsidR="005468E1">
        <w:t xml:space="preserve">% (95%ci: </w:t>
      </w:r>
      <w:r>
        <w:t>1.4</w:t>
      </w:r>
      <w:r w:rsidR="005468E1">
        <w:t>3-</w:t>
      </w:r>
      <w:r>
        <w:t>1.54</w:t>
      </w:r>
      <w:r w:rsidR="005468E1">
        <w:t>) of all general practice visits</w:t>
      </w:r>
      <w:r w:rsidR="005E4AA3">
        <w:t xml:space="preserve">.  </w:t>
      </w:r>
      <w:r w:rsidR="007E5B9A">
        <w:t>Up to 92% of all sexual health encounters can be classified into five distinct groups (</w:t>
      </w:r>
      <w:r w:rsidR="007E5B9A">
        <w:fldChar w:fldCharType="begin"/>
      </w:r>
      <w:r w:rsidR="007E5B9A">
        <w:instrText xml:space="preserve"> REF _Ref224197510 \h </w:instrText>
      </w:r>
      <w:r w:rsidR="007E5B9A">
        <w:fldChar w:fldCharType="separate"/>
      </w:r>
      <w:r w:rsidR="008E6665" w:rsidRPr="001F739C">
        <w:t xml:space="preserve">Table </w:t>
      </w:r>
      <w:r w:rsidR="008E6665">
        <w:rPr>
          <w:noProof/>
        </w:rPr>
        <w:t>2</w:t>
      </w:r>
      <w:r w:rsidR="008E6665">
        <w:noBreakHyphen/>
      </w:r>
      <w:r w:rsidR="008E6665">
        <w:rPr>
          <w:noProof/>
        </w:rPr>
        <w:t>1</w:t>
      </w:r>
      <w:r w:rsidR="007E5B9A">
        <w:fldChar w:fldCharType="end"/>
      </w:r>
      <w:r w:rsidR="007E5B9A">
        <w:t>).</w:t>
      </w:r>
    </w:p>
    <w:p w14:paraId="1AD4ECC2" w14:textId="77777777" w:rsidR="0013794C" w:rsidRDefault="0013794C" w:rsidP="0013794C">
      <w:pPr>
        <w:pStyle w:val="AspexBodyStandard"/>
      </w:pPr>
      <w:r>
        <w:t xml:space="preserve">The two </w:t>
      </w:r>
      <w:r w:rsidRPr="007D699E">
        <w:rPr>
          <w:b/>
          <w:i/>
        </w:rPr>
        <w:t>most common reasons</w:t>
      </w:r>
      <w:r>
        <w:t xml:space="preserve"> for sexual health encounters comprised around 40%</w:t>
      </w:r>
      <w:r>
        <w:rPr>
          <w:rStyle w:val="FootnoteReference"/>
        </w:rPr>
        <w:footnoteReference w:id="8"/>
      </w:r>
      <w:r>
        <w:t xml:space="preserve"> of all sexual health encounters and included:</w:t>
      </w:r>
    </w:p>
    <w:p w14:paraId="758B8CAA" w14:textId="77777777" w:rsidR="0013794C" w:rsidRDefault="0013794C" w:rsidP="0013794C">
      <w:pPr>
        <w:pStyle w:val="AspexBullet1"/>
      </w:pPr>
      <w:r>
        <w:t>Around 20% (323,000; 95%CI 303,000-343,000) for male sexual functioning;</w:t>
      </w:r>
      <w:r w:rsidRPr="00F24ADB">
        <w:t xml:space="preserve"> </w:t>
      </w:r>
      <w:r>
        <w:t>and</w:t>
      </w:r>
    </w:p>
    <w:p w14:paraId="05A04CD3" w14:textId="4B60262E" w:rsidR="0063622B" w:rsidRDefault="0013794C" w:rsidP="0013794C">
      <w:pPr>
        <w:pStyle w:val="AspexBullet1"/>
      </w:pPr>
      <w:r>
        <w:t>Around 17% (277,000; 95%CI 255,000-299,000) for STI screening.</w:t>
      </w:r>
    </w:p>
    <w:p w14:paraId="42A599BD" w14:textId="77777777" w:rsidR="0063622B" w:rsidRDefault="0063622B" w:rsidP="0063622B">
      <w:pPr>
        <w:pStyle w:val="AspexBodyStandard"/>
      </w:pPr>
      <w:r>
        <w:br w:type="page"/>
      </w:r>
    </w:p>
    <w:p w14:paraId="032D123C" w14:textId="1D1FA675" w:rsidR="007E5B9A" w:rsidRDefault="007E5B9A" w:rsidP="00CF3A3C">
      <w:pPr>
        <w:pStyle w:val="Caption"/>
      </w:pPr>
      <w:bookmarkStart w:id="33" w:name="_Ref224197510"/>
      <w:bookmarkStart w:id="34" w:name="_Toc351129875"/>
      <w:r w:rsidRPr="001F739C">
        <w:lastRenderedPageBreak/>
        <w:t xml:space="preserve">Table </w:t>
      </w:r>
      <w:r w:rsidR="008E6665">
        <w:fldChar w:fldCharType="begin"/>
      </w:r>
      <w:r w:rsidR="008E6665">
        <w:instrText xml:space="preserve"> STYLEREF 1 \s </w:instrText>
      </w:r>
      <w:r w:rsidR="008E6665">
        <w:fldChar w:fldCharType="separate"/>
      </w:r>
      <w:r w:rsidR="008E6665">
        <w:rPr>
          <w:noProof/>
        </w:rPr>
        <w:t>2</w:t>
      </w:r>
      <w:r w:rsidR="008E6665">
        <w:rPr>
          <w:noProof/>
        </w:rPr>
        <w:fldChar w:fldCharType="end"/>
      </w:r>
      <w:r w:rsidR="00A60D98">
        <w:noBreakHyphen/>
      </w:r>
      <w:r w:rsidR="008E6665">
        <w:fldChar w:fldCharType="begin"/>
      </w:r>
      <w:r w:rsidR="008E6665">
        <w:instrText xml:space="preserve"> SEQ Table \* ARABIC \s 1 </w:instrText>
      </w:r>
      <w:r w:rsidR="008E6665">
        <w:fldChar w:fldCharType="separate"/>
      </w:r>
      <w:r w:rsidR="008E6665">
        <w:rPr>
          <w:noProof/>
        </w:rPr>
        <w:t>1</w:t>
      </w:r>
      <w:r w:rsidR="008E6665">
        <w:rPr>
          <w:noProof/>
        </w:rPr>
        <w:fldChar w:fldCharType="end"/>
      </w:r>
      <w:bookmarkEnd w:id="33"/>
      <w:r w:rsidR="00AE66EA">
        <w:rPr>
          <w:noProof/>
        </w:rPr>
        <w:t>:</w:t>
      </w:r>
      <w:r w:rsidRPr="001F739C">
        <w:tab/>
        <w:t>Classification of GP encounters for sexual health</w:t>
      </w:r>
      <w:bookmarkEnd w:id="34"/>
    </w:p>
    <w:bookmarkStart w:id="35" w:name="_MON_1425371420"/>
    <w:bookmarkEnd w:id="35"/>
    <w:p w14:paraId="6607B822" w14:textId="3A2556D7" w:rsidR="0063622B" w:rsidRDefault="006D4C10" w:rsidP="007E5B9A">
      <w:pPr>
        <w:pStyle w:val="AspexBodyStandard"/>
      </w:pPr>
      <w:r>
        <w:object w:dxaOrig="6857" w:dyaOrig="2008" w14:anchorId="4DBAF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2 1: Classification of GP encounters for sexual health" style="width:342.75pt;height:100.5pt" o:ole="">
            <v:imagedata r:id="rId26" o:title=""/>
          </v:shape>
          <o:OLEObject Type="Embed" ProgID="Word.Document.12" ShapeID="_x0000_i1025" DrawAspect="Content" ObjectID="_1457429600" r:id="rId27">
            <o:FieldCodes>\s</o:FieldCodes>
          </o:OLEObject>
        </w:object>
      </w:r>
    </w:p>
    <w:p w14:paraId="06D2BDCB" w14:textId="512FCD56" w:rsidR="007E5B9A" w:rsidRDefault="007E5B9A" w:rsidP="0063622B">
      <w:pPr>
        <w:pStyle w:val="AspexBodyStandard"/>
        <w:spacing w:before="0"/>
      </w:pPr>
      <w:r>
        <w:t xml:space="preserve">GP visits relating to </w:t>
      </w:r>
      <w:r w:rsidRPr="007D699E">
        <w:rPr>
          <w:b/>
          <w:i/>
        </w:rPr>
        <w:t>notifiable STIs</w:t>
      </w:r>
      <w:r>
        <w:t xml:space="preserve"> </w:t>
      </w:r>
      <w:r w:rsidRPr="003B58D9">
        <w:rPr>
          <w:b/>
          <w:i/>
        </w:rPr>
        <w:t>comprised around 10%</w:t>
      </w:r>
      <w:r>
        <w:t xml:space="preserve"> of all sexual health encounters and included:</w:t>
      </w:r>
    </w:p>
    <w:p w14:paraId="5DC7C90B" w14:textId="77777777" w:rsidR="007E5B9A" w:rsidRDefault="007E5B9A" w:rsidP="005308F8">
      <w:pPr>
        <w:pStyle w:val="AspexBullet1"/>
        <w:spacing w:before="100" w:after="100"/>
      </w:pPr>
      <w:r>
        <w:t>Around 5% (54,000; 95%CI 20,000-88,000) for HIV;</w:t>
      </w:r>
    </w:p>
    <w:p w14:paraId="5478A2F5" w14:textId="77777777" w:rsidR="007E5B9A" w:rsidRDefault="00EA75CA" w:rsidP="005308F8">
      <w:pPr>
        <w:pStyle w:val="AspexBullet1"/>
        <w:spacing w:before="100" w:after="100"/>
      </w:pPr>
      <w:r>
        <w:t>Around 3% (63,000; 95%CI 54,799-71,201</w:t>
      </w:r>
      <w:r w:rsidR="007E5B9A">
        <w:t>) for Chlamydia;</w:t>
      </w:r>
    </w:p>
    <w:p w14:paraId="3310636D" w14:textId="77777777" w:rsidR="007E5B9A" w:rsidRDefault="007E5B9A" w:rsidP="005308F8">
      <w:pPr>
        <w:pStyle w:val="AspexBullet1"/>
        <w:spacing w:before="100" w:after="100"/>
      </w:pPr>
      <w:r>
        <w:t xml:space="preserve">Around 1% (8,000; 95%CI </w:t>
      </w:r>
      <w:r w:rsidR="001F739C" w:rsidRPr="001F739C">
        <w:t>4</w:t>
      </w:r>
      <w:r w:rsidR="001F739C">
        <w:t>,646-</w:t>
      </w:r>
      <w:r w:rsidR="001F739C" w:rsidRPr="001F739C">
        <w:t>11</w:t>
      </w:r>
      <w:r w:rsidR="001F739C">
        <w:t>,</w:t>
      </w:r>
      <w:r w:rsidR="001F739C" w:rsidRPr="001F739C">
        <w:t>354</w:t>
      </w:r>
      <w:r>
        <w:t>) for Syphilis; and</w:t>
      </w:r>
    </w:p>
    <w:p w14:paraId="16C31EF2" w14:textId="77777777" w:rsidR="007E5B9A" w:rsidRDefault="007E5B9A" w:rsidP="005308F8">
      <w:pPr>
        <w:pStyle w:val="AspexBullet1"/>
        <w:spacing w:before="100" w:after="100"/>
      </w:pPr>
      <w:r>
        <w:t xml:space="preserve">Less than 1% (6,000; 95%CI </w:t>
      </w:r>
      <w:r w:rsidR="001F739C" w:rsidRPr="001F739C">
        <w:t>3</w:t>
      </w:r>
      <w:r w:rsidR="001F739C">
        <w:t>,085-</w:t>
      </w:r>
      <w:r w:rsidR="001F739C" w:rsidRPr="001F739C">
        <w:t>8</w:t>
      </w:r>
      <w:r w:rsidR="001F739C">
        <w:t>,</w:t>
      </w:r>
      <w:r w:rsidR="001F739C" w:rsidRPr="001F739C">
        <w:t>915</w:t>
      </w:r>
      <w:r>
        <w:t>) for Gonorrhoea.</w:t>
      </w:r>
    </w:p>
    <w:p w14:paraId="5686F54A" w14:textId="77777777" w:rsidR="007E5B9A" w:rsidRDefault="007E5B9A" w:rsidP="007E5B9A">
      <w:pPr>
        <w:pStyle w:val="AspexBodyStandard"/>
      </w:pPr>
      <w:r>
        <w:t xml:space="preserve">GP visits relating to </w:t>
      </w:r>
      <w:r w:rsidRPr="007D699E">
        <w:rPr>
          <w:b/>
          <w:i/>
        </w:rPr>
        <w:t>other STIs</w:t>
      </w:r>
      <w:r>
        <w:t xml:space="preserve"> comprised around 22% of all sexual health encounters and included:</w:t>
      </w:r>
    </w:p>
    <w:p w14:paraId="127D0DC0" w14:textId="77777777" w:rsidR="007E5B9A" w:rsidRDefault="007E5B9A" w:rsidP="005308F8">
      <w:pPr>
        <w:pStyle w:val="AspexBullet1"/>
        <w:spacing w:before="100" w:after="100"/>
      </w:pPr>
      <w:r>
        <w:t>Around 15% (249,000; 95%CI 232,000-266,000) for genital Candidiasis.</w:t>
      </w:r>
    </w:p>
    <w:p w14:paraId="62852782" w14:textId="77777777" w:rsidR="007E5B9A" w:rsidRDefault="007E5B9A" w:rsidP="005308F8">
      <w:pPr>
        <w:pStyle w:val="AspexBullet1"/>
        <w:spacing w:before="100" w:after="100"/>
      </w:pPr>
      <w:r>
        <w:t xml:space="preserve">Around 10% (159,000; 95%CI </w:t>
      </w:r>
      <w:r w:rsidR="001F739C">
        <w:t>278,</w:t>
      </w:r>
      <w:r w:rsidR="001F739C" w:rsidRPr="001F739C">
        <w:t>6</w:t>
      </w:r>
      <w:r w:rsidR="001F739C">
        <w:t>00-315,</w:t>
      </w:r>
      <w:r w:rsidR="001F739C" w:rsidRPr="001F739C">
        <w:t>4</w:t>
      </w:r>
      <w:r w:rsidR="001F739C">
        <w:t>00</w:t>
      </w:r>
      <w:r>
        <w:t xml:space="preserve">) for genital Herpes; </w:t>
      </w:r>
    </w:p>
    <w:p w14:paraId="29499F3D" w14:textId="77777777" w:rsidR="007E5B9A" w:rsidRDefault="007E5B9A" w:rsidP="005308F8">
      <w:pPr>
        <w:pStyle w:val="AspexBullet1"/>
        <w:spacing w:before="100" w:after="100"/>
      </w:pPr>
      <w:r>
        <w:t xml:space="preserve">Around 6% (82,000; 95%CI </w:t>
      </w:r>
      <w:r w:rsidR="001F739C" w:rsidRPr="001F739C">
        <w:t>72</w:t>
      </w:r>
      <w:r w:rsidR="001F739C">
        <w:t>,395-</w:t>
      </w:r>
      <w:r w:rsidR="001F739C" w:rsidRPr="001F739C">
        <w:t>91</w:t>
      </w:r>
      <w:r w:rsidR="001F739C">
        <w:t>,</w:t>
      </w:r>
      <w:r w:rsidR="001F739C" w:rsidRPr="001F739C">
        <w:t>605</w:t>
      </w:r>
      <w:r>
        <w:t>) for genital Warts; and</w:t>
      </w:r>
    </w:p>
    <w:p w14:paraId="086EA80D" w14:textId="77777777" w:rsidR="007E5B9A" w:rsidRDefault="007E5B9A" w:rsidP="005308F8">
      <w:pPr>
        <w:pStyle w:val="AspexBullet1"/>
        <w:spacing w:before="100" w:after="100"/>
      </w:pPr>
      <w:r>
        <w:t>Less than 1% (4,000; 95%ci 2,000-5,000) for genital T</w:t>
      </w:r>
      <w:r w:rsidRPr="003B58D9">
        <w:t>richomoniasis</w:t>
      </w:r>
      <w:r>
        <w:t>.</w:t>
      </w:r>
    </w:p>
    <w:p w14:paraId="1831B9BD" w14:textId="77777777" w:rsidR="007E5B9A" w:rsidRDefault="007E5B9A" w:rsidP="007E5B9A">
      <w:pPr>
        <w:pStyle w:val="AspexBodyStandard"/>
      </w:pPr>
      <w:r>
        <w:t xml:space="preserve">Visits relating to </w:t>
      </w:r>
      <w:r w:rsidRPr="007D699E">
        <w:rPr>
          <w:b/>
          <w:i/>
        </w:rPr>
        <w:t>other sexual health issues</w:t>
      </w:r>
      <w:r>
        <w:t xml:space="preserve"> comprised approximately 44% of all sexual health encounters and included:</w:t>
      </w:r>
    </w:p>
    <w:p w14:paraId="46AF5848" w14:textId="77777777" w:rsidR="007E5B9A" w:rsidRDefault="007E5B9A" w:rsidP="005308F8">
      <w:pPr>
        <w:pStyle w:val="AspexBullet1"/>
        <w:spacing w:before="100" w:after="100"/>
      </w:pPr>
      <w:r>
        <w:t xml:space="preserve">Around 31% (495,000; 95%CI </w:t>
      </w:r>
      <w:r w:rsidR="003C44D2" w:rsidRPr="003C44D2">
        <w:t>470</w:t>
      </w:r>
      <w:r w:rsidR="003C44D2">
        <w:t>,485-</w:t>
      </w:r>
      <w:r w:rsidR="003C44D2" w:rsidRPr="003C44D2">
        <w:t>519</w:t>
      </w:r>
      <w:r w:rsidR="003C44D2">
        <w:t>,</w:t>
      </w:r>
      <w:r w:rsidR="003C44D2" w:rsidRPr="003C44D2">
        <w:t>515</w:t>
      </w:r>
      <w:r>
        <w:t>) for concerns about sexual function</w:t>
      </w:r>
      <w:r>
        <w:rPr>
          <w:rStyle w:val="FootnoteReference"/>
        </w:rPr>
        <w:footnoteReference w:id="9"/>
      </w:r>
      <w:r>
        <w:t xml:space="preserve">; </w:t>
      </w:r>
    </w:p>
    <w:p w14:paraId="4FDAAD14" w14:textId="77777777" w:rsidR="007E5B9A" w:rsidRDefault="007E5B9A" w:rsidP="005308F8">
      <w:pPr>
        <w:pStyle w:val="AspexBullet1"/>
        <w:spacing w:before="100" w:after="100"/>
      </w:pPr>
      <w:r>
        <w:t xml:space="preserve">Around 12% (188,000; 95%CI </w:t>
      </w:r>
      <w:r w:rsidR="003C44D2" w:rsidRPr="003C44D2">
        <w:t>173</w:t>
      </w:r>
      <w:r w:rsidR="003C44D2">
        <w:t>,884-</w:t>
      </w:r>
      <w:r w:rsidR="003C44D2" w:rsidRPr="003C44D2">
        <w:t>202</w:t>
      </w:r>
      <w:r w:rsidR="003C44D2">
        <w:t>,</w:t>
      </w:r>
      <w:r w:rsidR="003C44D2" w:rsidRPr="003C44D2">
        <w:t>116</w:t>
      </w:r>
      <w:r>
        <w:t>) for genital pain; and</w:t>
      </w:r>
    </w:p>
    <w:p w14:paraId="132EB9D3" w14:textId="77777777" w:rsidR="007E5B9A" w:rsidRDefault="007E5B9A" w:rsidP="005308F8">
      <w:pPr>
        <w:pStyle w:val="AspexBullet1"/>
        <w:spacing w:before="100" w:after="100"/>
      </w:pPr>
      <w:r>
        <w:t>Around 1% (11,000; 95%CI 7,000-14,000) for sexual assault.</w:t>
      </w:r>
    </w:p>
    <w:p w14:paraId="2675EDD0" w14:textId="60966FC7" w:rsidR="00F3564A" w:rsidRDefault="00F3564A" w:rsidP="00F44503">
      <w:pPr>
        <w:pStyle w:val="Heading3"/>
      </w:pPr>
      <w:bookmarkStart w:id="36" w:name="_Toc224038085"/>
      <w:r>
        <w:t>National estimates of public sector encounters</w:t>
      </w:r>
      <w:bookmarkEnd w:id="36"/>
    </w:p>
    <w:p w14:paraId="15311305" w14:textId="77777777" w:rsidR="001701B7" w:rsidRDefault="001701B7" w:rsidP="00F3564A">
      <w:pPr>
        <w:pStyle w:val="AspexBodyStandard"/>
      </w:pPr>
      <w:r>
        <w:t xml:space="preserve">Public sector data relating to the number of </w:t>
      </w:r>
      <w:r w:rsidR="003C44D2">
        <w:t>sexual health</w:t>
      </w:r>
      <w:r>
        <w:t xml:space="preserve"> related </w:t>
      </w:r>
      <w:r w:rsidR="003C44D2">
        <w:t>occasions of service between 2010-12 were</w:t>
      </w:r>
      <w:r>
        <w:t xml:space="preserve"> </w:t>
      </w:r>
      <w:r w:rsidR="00F3564A">
        <w:t xml:space="preserve">received </w:t>
      </w:r>
      <w:r w:rsidR="003C44D2">
        <w:t>from</w:t>
      </w:r>
      <w:r w:rsidR="00F3564A">
        <w:t xml:space="preserve"> one Australian jurisdiction</w:t>
      </w:r>
      <w:r w:rsidR="00F3564A">
        <w:rPr>
          <w:rStyle w:val="FootnoteReference"/>
        </w:rPr>
        <w:footnoteReference w:id="10"/>
      </w:r>
      <w:r w:rsidR="00F3564A">
        <w:t xml:space="preserve">.  </w:t>
      </w:r>
    </w:p>
    <w:p w14:paraId="16B351C1" w14:textId="77777777" w:rsidR="00E82E5C" w:rsidRDefault="003211BF" w:rsidP="00F3564A">
      <w:pPr>
        <w:pStyle w:val="AspexBodyStandard"/>
      </w:pPr>
      <w:r>
        <w:t>Extrapolating this data to the national population</w:t>
      </w:r>
      <w:r>
        <w:rPr>
          <w:rStyle w:val="FootnoteReference"/>
        </w:rPr>
        <w:footnoteReference w:id="11"/>
      </w:r>
      <w:r w:rsidR="001701B7">
        <w:t xml:space="preserve">, an average </w:t>
      </w:r>
      <w:r w:rsidR="00D7514B">
        <w:t xml:space="preserve">estimate </w:t>
      </w:r>
      <w:r w:rsidR="001701B7">
        <w:t xml:space="preserve">of </w:t>
      </w:r>
      <w:r w:rsidR="00AD5D3F">
        <w:t>685,796 patient encounters occur</w:t>
      </w:r>
      <w:r w:rsidR="00E82E5C">
        <w:t xml:space="preserve"> for sexual health related problems in the public sector</w:t>
      </w:r>
      <w:r w:rsidR="00D7514B">
        <w:t xml:space="preserve"> each year</w:t>
      </w:r>
      <w:r w:rsidR="00A65347">
        <w:t xml:space="preserve"> and around </w:t>
      </w:r>
      <w:r w:rsidR="00AD5D3F">
        <w:t>a third (28%)</w:t>
      </w:r>
      <w:r w:rsidR="00A65347">
        <w:t xml:space="preserve"> of these (</w:t>
      </w:r>
      <w:r w:rsidR="00AD5D3F">
        <w:t>190,404</w:t>
      </w:r>
      <w:r w:rsidR="00A65347">
        <w:t>) are seen by medical practitioners</w:t>
      </w:r>
      <w:r w:rsidR="00E82E5C">
        <w:t>.  The number of patients seen for different sexual health problems, and with the estimated number of occasions</w:t>
      </w:r>
      <w:r w:rsidR="00AD5D3F">
        <w:t>/episodes</w:t>
      </w:r>
      <w:r w:rsidR="00E82E5C">
        <w:t xml:space="preserve"> of service by medical and non-medical staff is presented in (</w:t>
      </w:r>
      <w:r w:rsidR="00A65347">
        <w:fldChar w:fldCharType="begin"/>
      </w:r>
      <w:r w:rsidR="00A65347">
        <w:instrText xml:space="preserve"> REF _Ref224219155 \h </w:instrText>
      </w:r>
      <w:r w:rsidR="00A65347">
        <w:fldChar w:fldCharType="separate"/>
      </w:r>
      <w:r w:rsidR="008E6665">
        <w:t xml:space="preserve">Table </w:t>
      </w:r>
      <w:r w:rsidR="008E6665">
        <w:rPr>
          <w:noProof/>
        </w:rPr>
        <w:t>2</w:t>
      </w:r>
      <w:r w:rsidR="008E6665">
        <w:noBreakHyphen/>
      </w:r>
      <w:r w:rsidR="008E6665">
        <w:rPr>
          <w:noProof/>
        </w:rPr>
        <w:t>2</w:t>
      </w:r>
      <w:r w:rsidR="00A65347">
        <w:fldChar w:fldCharType="end"/>
      </w:r>
      <w:r w:rsidR="00E82E5C">
        <w:t>).</w:t>
      </w:r>
    </w:p>
    <w:p w14:paraId="78540FA8" w14:textId="77777777" w:rsidR="00064602" w:rsidRDefault="00064602" w:rsidP="00F3564A">
      <w:pPr>
        <w:pStyle w:val="AspexBodyStandard"/>
        <w:sectPr w:rsidR="00064602" w:rsidSect="005A7965">
          <w:headerReference w:type="default" r:id="rId28"/>
          <w:type w:val="continuous"/>
          <w:pgSz w:w="11906" w:h="16838" w:code="9"/>
          <w:pgMar w:top="2552" w:right="1276" w:bottom="1134" w:left="1616" w:header="709" w:footer="709" w:gutter="0"/>
          <w:cols w:space="708"/>
          <w:docGrid w:linePitch="360"/>
        </w:sectPr>
      </w:pPr>
    </w:p>
    <w:p w14:paraId="4BE9A939" w14:textId="77777777" w:rsidR="00AD7152" w:rsidRDefault="00A65347" w:rsidP="005308F8">
      <w:pPr>
        <w:pStyle w:val="Caption"/>
        <w:spacing w:before="0" w:after="0" w:line="240" w:lineRule="auto"/>
        <w:rPr>
          <w:rFonts w:ascii="Arial Narrow" w:hAnsi="Arial Narrow"/>
          <w:sz w:val="20"/>
        </w:rPr>
      </w:pPr>
      <w:bookmarkStart w:id="37" w:name="_Ref224219155"/>
      <w:bookmarkStart w:id="38" w:name="_Toc351129876"/>
      <w:r>
        <w:lastRenderedPageBreak/>
        <w:t xml:space="preserve">Table </w:t>
      </w:r>
      <w:r w:rsidR="008E6665">
        <w:fldChar w:fldCharType="begin"/>
      </w:r>
      <w:r w:rsidR="008E6665">
        <w:instrText xml:space="preserve"> STYLEREF 1 \s </w:instrText>
      </w:r>
      <w:r w:rsidR="008E6665">
        <w:fldChar w:fldCharType="separate"/>
      </w:r>
      <w:r w:rsidR="008E6665">
        <w:rPr>
          <w:noProof/>
        </w:rPr>
        <w:t>2</w:t>
      </w:r>
      <w:r w:rsidR="008E6665">
        <w:rPr>
          <w:noProof/>
        </w:rPr>
        <w:fldChar w:fldCharType="end"/>
      </w:r>
      <w:r w:rsidR="00A60D98">
        <w:noBreakHyphen/>
      </w:r>
      <w:r w:rsidR="008E6665">
        <w:fldChar w:fldCharType="begin"/>
      </w:r>
      <w:r w:rsidR="008E6665">
        <w:instrText xml:space="preserve"> SEQ Table \* ARABIC \s 1 </w:instrText>
      </w:r>
      <w:r w:rsidR="008E6665">
        <w:fldChar w:fldCharType="separate"/>
      </w:r>
      <w:r w:rsidR="008E6665">
        <w:rPr>
          <w:noProof/>
        </w:rPr>
        <w:t>2</w:t>
      </w:r>
      <w:r w:rsidR="008E6665">
        <w:rPr>
          <w:noProof/>
        </w:rPr>
        <w:fldChar w:fldCharType="end"/>
      </w:r>
      <w:bookmarkEnd w:id="37"/>
      <w:r>
        <w:t>:</w:t>
      </w:r>
      <w:r>
        <w:tab/>
        <w:t>National estimated number of patients and occasions of service for sexual health problems in the public sector</w:t>
      </w:r>
      <w:bookmarkEnd w:id="38"/>
      <w:r>
        <w:rPr>
          <w:rFonts w:ascii="Arial Narrow" w:hAnsi="Arial Narrow"/>
          <w:sz w:val="20"/>
        </w:rPr>
        <w:tab/>
      </w:r>
    </w:p>
    <w:bookmarkStart w:id="39" w:name="_MON_1425371937"/>
    <w:bookmarkEnd w:id="39"/>
    <w:p w14:paraId="196C9E37" w14:textId="2621E904" w:rsidR="005308F8" w:rsidRPr="005308F8" w:rsidRDefault="006D4C10" w:rsidP="005308F8">
      <w:pPr>
        <w:pStyle w:val="AspexBodyStandard"/>
      </w:pPr>
      <w:r>
        <w:object w:dxaOrig="14179" w:dyaOrig="7815" w14:anchorId="2E14B405">
          <v:shape id="_x0000_i1026" type="#_x0000_t75" alt="Table 2 2: National estimated number of patients and occasions of service for sexual health problems in the public sector " style="width:708.75pt;height:391.5pt" o:ole="">
            <v:imagedata r:id="rId29" o:title=""/>
          </v:shape>
          <o:OLEObject Type="Embed" ProgID="Word.Document.12" ShapeID="_x0000_i1026" DrawAspect="Content" ObjectID="_1457429601" r:id="rId30">
            <o:FieldCodes>\s</o:FieldCodes>
          </o:OLEObject>
        </w:object>
      </w:r>
    </w:p>
    <w:p w14:paraId="7E4D9D21" w14:textId="77777777" w:rsidR="00064602" w:rsidRDefault="00064602" w:rsidP="00F3564A">
      <w:pPr>
        <w:pStyle w:val="AspexBodyStandard"/>
        <w:sectPr w:rsidR="00064602" w:rsidSect="00064602">
          <w:pgSz w:w="16838" w:h="11906" w:orient="landscape" w:code="9"/>
          <w:pgMar w:top="1616" w:right="1529" w:bottom="1276" w:left="1134" w:header="709" w:footer="709" w:gutter="0"/>
          <w:cols w:space="708"/>
          <w:docGrid w:linePitch="360"/>
        </w:sectPr>
      </w:pPr>
    </w:p>
    <w:p w14:paraId="0291F14E" w14:textId="77777777" w:rsidR="00A60D98" w:rsidRDefault="00A60D98" w:rsidP="00F44503">
      <w:pPr>
        <w:pStyle w:val="Heading3"/>
      </w:pPr>
      <w:r>
        <w:lastRenderedPageBreak/>
        <w:t xml:space="preserve">Estimates of the total number of </w:t>
      </w:r>
      <w:r w:rsidR="00EA75CA">
        <w:t>patients</w:t>
      </w:r>
    </w:p>
    <w:p w14:paraId="33E2E99F" w14:textId="446452FF" w:rsidR="00E82E5C" w:rsidRDefault="00AD5D3F" w:rsidP="00F3564A">
      <w:pPr>
        <w:pStyle w:val="AspexBodyStandard"/>
      </w:pPr>
      <w:r>
        <w:fldChar w:fldCharType="begin"/>
      </w:r>
      <w:r>
        <w:instrText xml:space="preserve"> REF _Ref224219155 \h </w:instrText>
      </w:r>
      <w:r>
        <w:fldChar w:fldCharType="separate"/>
      </w:r>
      <w:r w:rsidR="008E6665">
        <w:t xml:space="preserve">Table </w:t>
      </w:r>
      <w:r w:rsidR="008E6665">
        <w:rPr>
          <w:noProof/>
        </w:rPr>
        <w:t>2</w:t>
      </w:r>
      <w:r w:rsidR="008E6665">
        <w:noBreakHyphen/>
      </w:r>
      <w:r w:rsidR="008E6665">
        <w:rPr>
          <w:noProof/>
        </w:rPr>
        <w:t>2</w:t>
      </w:r>
      <w:r>
        <w:fldChar w:fldCharType="end"/>
      </w:r>
      <w:r>
        <w:t xml:space="preserve"> also reveals the average number of episodes of care each year for medical patients with different sexual health problems, ranging from 1</w:t>
      </w:r>
      <w:r w:rsidR="009A3E29">
        <w:t>.2</w:t>
      </w:r>
      <w:r>
        <w:t xml:space="preserve"> for Chlamydia and </w:t>
      </w:r>
      <w:r w:rsidR="009A3E29">
        <w:t xml:space="preserve">1.3 for </w:t>
      </w:r>
      <w:r>
        <w:t xml:space="preserve">Gonorrhoea to </w:t>
      </w:r>
      <w:r w:rsidR="009A3E29">
        <w:t xml:space="preserve">5.4 </w:t>
      </w:r>
      <w:r>
        <w:t xml:space="preserve">for patients with HIV.  These estimates can be applied to general practice data (as a conservative </w:t>
      </w:r>
      <w:r w:rsidR="00F43638">
        <w:t>over-</w:t>
      </w:r>
      <w:r>
        <w:t xml:space="preserve">estimate) to </w:t>
      </w:r>
      <w:r w:rsidR="00273B1C">
        <w:t>identify</w:t>
      </w:r>
      <w:r>
        <w:t xml:space="preserve"> the number of patients seen each year in the private sector. A summary of these calculations is presented in (</w:t>
      </w:r>
      <w:r w:rsidR="00A60D98">
        <w:fldChar w:fldCharType="begin"/>
      </w:r>
      <w:r w:rsidR="00A60D98">
        <w:instrText xml:space="preserve"> REF _Ref224220305 \h </w:instrText>
      </w:r>
      <w:r w:rsidR="00A60D98">
        <w:fldChar w:fldCharType="separate"/>
      </w:r>
      <w:r w:rsidR="008E6665" w:rsidRPr="00CF3A3C">
        <w:t xml:space="preserve">Table </w:t>
      </w:r>
      <w:r w:rsidR="008E6665">
        <w:rPr>
          <w:noProof/>
        </w:rPr>
        <w:t>2</w:t>
      </w:r>
      <w:r w:rsidR="008E6665" w:rsidRPr="00CF3A3C">
        <w:noBreakHyphen/>
      </w:r>
      <w:r w:rsidR="008E6665">
        <w:rPr>
          <w:noProof/>
        </w:rPr>
        <w:t>3</w:t>
      </w:r>
      <w:r w:rsidR="00A60D98">
        <w:fldChar w:fldCharType="end"/>
      </w:r>
      <w:r>
        <w:t>).</w:t>
      </w:r>
    </w:p>
    <w:p w14:paraId="232939A7" w14:textId="12DCA6F5" w:rsidR="00AD5D3F" w:rsidRDefault="00A60D98" w:rsidP="00CF3A3C">
      <w:pPr>
        <w:pStyle w:val="Caption"/>
      </w:pPr>
      <w:bookmarkStart w:id="40" w:name="_Ref224220305"/>
      <w:bookmarkStart w:id="41" w:name="_Toc351129877"/>
      <w:r w:rsidRPr="00CF3A3C">
        <w:t xml:space="preserve">Table </w:t>
      </w:r>
      <w:r w:rsidR="008E6665">
        <w:fldChar w:fldCharType="begin"/>
      </w:r>
      <w:r w:rsidR="008E6665">
        <w:instrText xml:space="preserve"> STYLEREF 1 \s </w:instrText>
      </w:r>
      <w:r w:rsidR="008E6665">
        <w:fldChar w:fldCharType="separate"/>
      </w:r>
      <w:r w:rsidR="008E6665">
        <w:rPr>
          <w:noProof/>
        </w:rPr>
        <w:t>2</w:t>
      </w:r>
      <w:r w:rsidR="008E6665">
        <w:rPr>
          <w:noProof/>
        </w:rPr>
        <w:fldChar w:fldCharType="end"/>
      </w:r>
      <w:r w:rsidRPr="00CF3A3C">
        <w:noBreakHyphen/>
      </w:r>
      <w:r w:rsidR="008E6665">
        <w:fldChar w:fldCharType="begin"/>
      </w:r>
      <w:r w:rsidR="008E6665">
        <w:instrText xml:space="preserve"> SEQ Table \* ARABIC \s 1 </w:instrText>
      </w:r>
      <w:r w:rsidR="008E6665">
        <w:fldChar w:fldCharType="separate"/>
      </w:r>
      <w:r w:rsidR="008E6665">
        <w:rPr>
          <w:noProof/>
        </w:rPr>
        <w:t>3</w:t>
      </w:r>
      <w:r w:rsidR="008E6665">
        <w:rPr>
          <w:noProof/>
        </w:rPr>
        <w:fldChar w:fldCharType="end"/>
      </w:r>
      <w:bookmarkEnd w:id="40"/>
      <w:r w:rsidR="00AE66EA">
        <w:t xml:space="preserve">: </w:t>
      </w:r>
      <w:r w:rsidR="00AE66EA">
        <w:tab/>
      </w:r>
      <w:r w:rsidRPr="00CF3A3C">
        <w:t>Estimated number of sexual health patients per annum</w:t>
      </w:r>
      <w:bookmarkEnd w:id="41"/>
    </w:p>
    <w:bookmarkStart w:id="42" w:name="_MON_1425372134"/>
    <w:bookmarkEnd w:id="42"/>
    <w:p w14:paraId="5A4004D7" w14:textId="07293427" w:rsidR="00273B1C" w:rsidRDefault="006D4C10" w:rsidP="00F3564A">
      <w:pPr>
        <w:pStyle w:val="AspexBodyStandard"/>
      </w:pPr>
      <w:r>
        <w:object w:dxaOrig="9075" w:dyaOrig="7136" w14:anchorId="0AA14247">
          <v:shape id="_x0000_i1027" type="#_x0000_t75" alt="Table 2 3:  Estimated number of sexual health patients per annum" style="width:454.5pt;height:357pt" o:ole="">
            <v:imagedata r:id="rId31" o:title=""/>
          </v:shape>
          <o:OLEObject Type="Embed" ProgID="Word.Document.12" ShapeID="_x0000_i1027" DrawAspect="Content" ObjectID="_1457429602" r:id="rId32">
            <o:FieldCodes>\s</o:FieldCodes>
          </o:OLEObject>
        </w:object>
      </w:r>
      <w:r w:rsidR="00EA75CA">
        <w:t xml:space="preserve">From </w:t>
      </w:r>
      <w:r w:rsidR="00EA75CA">
        <w:fldChar w:fldCharType="begin"/>
      </w:r>
      <w:r w:rsidR="00EA75CA">
        <w:instrText xml:space="preserve"> REF _Ref224220305 \h </w:instrText>
      </w:r>
      <w:r w:rsidR="00EA75CA">
        <w:fldChar w:fldCharType="separate"/>
      </w:r>
      <w:r w:rsidR="008E6665" w:rsidRPr="00CF3A3C">
        <w:t xml:space="preserve">Table </w:t>
      </w:r>
      <w:r w:rsidR="008E6665">
        <w:rPr>
          <w:noProof/>
        </w:rPr>
        <w:t>2</w:t>
      </w:r>
      <w:r w:rsidR="008E6665" w:rsidRPr="00CF3A3C">
        <w:noBreakHyphen/>
      </w:r>
      <w:r w:rsidR="008E6665">
        <w:rPr>
          <w:noProof/>
        </w:rPr>
        <w:t>3</w:t>
      </w:r>
      <w:r w:rsidR="00EA75CA">
        <w:fldChar w:fldCharType="end"/>
      </w:r>
      <w:r w:rsidR="001701B7">
        <w:t xml:space="preserve"> it is estimated that </w:t>
      </w:r>
      <w:r w:rsidR="00AC06DD">
        <w:t>approximately</w:t>
      </w:r>
      <w:r w:rsidR="001701B7">
        <w:t xml:space="preserve"> </w:t>
      </w:r>
      <w:r w:rsidR="00EA75CA">
        <w:t>319,519</w:t>
      </w:r>
      <w:r w:rsidR="001701B7">
        <w:t xml:space="preserve"> </w:t>
      </w:r>
      <w:r w:rsidR="00273B1C">
        <w:t xml:space="preserve">(31%) </w:t>
      </w:r>
      <w:r w:rsidR="001701B7">
        <w:t xml:space="preserve">patients </w:t>
      </w:r>
      <w:r w:rsidR="00EA75CA">
        <w:t>are</w:t>
      </w:r>
      <w:r w:rsidR="001701B7">
        <w:t xml:space="preserve"> seen for </w:t>
      </w:r>
      <w:r w:rsidR="00EA75CA">
        <w:t>sexual health</w:t>
      </w:r>
      <w:r w:rsidR="001701B7">
        <w:t xml:space="preserve"> related problems in the public sector</w:t>
      </w:r>
      <w:r w:rsidR="00EA75CA">
        <w:t>,</w:t>
      </w:r>
      <w:r w:rsidR="001701B7">
        <w:t xml:space="preserve"> </w:t>
      </w:r>
      <w:r w:rsidR="00EA75CA">
        <w:t xml:space="preserve">and 710,500 </w:t>
      </w:r>
      <w:r w:rsidR="00273B1C">
        <w:t xml:space="preserve">(69%) </w:t>
      </w:r>
      <w:r w:rsidR="00EA75CA">
        <w:t>patients are seen in the private sector</w:t>
      </w:r>
      <w:r w:rsidR="001701B7">
        <w:t xml:space="preserve"> </w:t>
      </w:r>
      <w:r w:rsidR="00EA75CA">
        <w:t xml:space="preserve">each </w:t>
      </w:r>
      <w:r w:rsidR="001701B7">
        <w:t>year</w:t>
      </w:r>
      <w:r w:rsidR="00AC06DD">
        <w:t xml:space="preserve">. </w:t>
      </w:r>
      <w:r w:rsidR="00273B1C">
        <w:t xml:space="preserve"> Of the notifiable STIs, a higher proportion of patients with HIV and Gonorrhoea are seen i</w:t>
      </w:r>
      <w:r w:rsidR="006D5111">
        <w:t>n public clinics compared with general p</w:t>
      </w:r>
      <w:r w:rsidR="00273B1C">
        <w:t xml:space="preserve">ractice, where a higher proportion of patients with Chlamydia and Syphilis are seen. </w:t>
      </w:r>
    </w:p>
    <w:p w14:paraId="65067F93" w14:textId="05B52204" w:rsidR="00A119C3" w:rsidRDefault="00A119C3">
      <w:pPr>
        <w:spacing w:before="0" w:after="0" w:line="240" w:lineRule="auto"/>
      </w:pPr>
      <w:r>
        <w:br w:type="page"/>
      </w:r>
    </w:p>
    <w:p w14:paraId="0E124818" w14:textId="77777777" w:rsidR="00F3564A" w:rsidRDefault="006D3F72" w:rsidP="007333CE">
      <w:pPr>
        <w:pStyle w:val="Heading2"/>
      </w:pPr>
      <w:bookmarkStart w:id="43" w:name="_Toc351480517"/>
      <w:r>
        <w:lastRenderedPageBreak/>
        <w:t>Unmet demand for community services</w:t>
      </w:r>
      <w:bookmarkEnd w:id="43"/>
    </w:p>
    <w:p w14:paraId="6E6484E7" w14:textId="77777777" w:rsidR="009C4047" w:rsidRDefault="0063123E" w:rsidP="006D3F72">
      <w:pPr>
        <w:pStyle w:val="AspexBodyStandard"/>
      </w:pPr>
      <w:r>
        <w:t xml:space="preserve">Calculating unmet community demand for sexual health related services is challenging.  Whilst figures are reported for notifiable STIs, the fact that they are notified implies that services were provided (consultation and pathology).  Therefore any evidence for unmet demand relies on </w:t>
      </w:r>
      <w:r w:rsidR="009C4047">
        <w:t xml:space="preserve">evidence of undetected </w:t>
      </w:r>
      <w:r>
        <w:t>STIs</w:t>
      </w:r>
      <w:r w:rsidR="009C4047">
        <w:t xml:space="preserve"> in the community</w:t>
      </w:r>
      <w:r>
        <w:t>.</w:t>
      </w:r>
      <w:r w:rsidR="00F004D9">
        <w:t xml:space="preserve"> </w:t>
      </w:r>
      <w:r w:rsidR="009C4047">
        <w:t>Few studies have systematically attempted population wide screening for specific STIs in Australia or overseas.  Accordingly, estimates of the likely number of undetected STIs in the community have had to draw on a number of smaller studies</w:t>
      </w:r>
      <w:r w:rsidR="00CF3A3C">
        <w:t xml:space="preserve"> (previously discussed)</w:t>
      </w:r>
      <w:r w:rsidR="009C4047">
        <w:t>.  These studies indicate that:</w:t>
      </w:r>
    </w:p>
    <w:p w14:paraId="214B7700" w14:textId="77777777" w:rsidR="009C4047" w:rsidRDefault="00402F6E" w:rsidP="00DC530B">
      <w:pPr>
        <w:pStyle w:val="AspexBullet1"/>
      </w:pPr>
      <w:r>
        <w:t>Only 10 to 20 percent of all cases of Chlamydia are formally diagnosed</w:t>
      </w:r>
      <w:r w:rsidR="00DC530B">
        <w:t xml:space="preserve"> (median 85% potentially undiagnosed)</w:t>
      </w:r>
      <w:r>
        <w:t>;</w:t>
      </w:r>
    </w:p>
    <w:p w14:paraId="6720EFD3" w14:textId="77777777" w:rsidR="00402F6E" w:rsidRDefault="00402F6E" w:rsidP="00DC530B">
      <w:pPr>
        <w:pStyle w:val="AspexBullet1"/>
      </w:pPr>
      <w:r>
        <w:t>Only 70 to 80 percent of all cases of HIV are formally diagnosed</w:t>
      </w:r>
      <w:r w:rsidR="00DC530B">
        <w:t xml:space="preserve"> (median 25% potentially undiagnosed)</w:t>
      </w:r>
      <w:r>
        <w:t>;</w:t>
      </w:r>
    </w:p>
    <w:p w14:paraId="759D4DA9" w14:textId="77777777" w:rsidR="00402F6E" w:rsidRDefault="00402F6E" w:rsidP="00DC530B">
      <w:pPr>
        <w:pStyle w:val="AspexBullet1"/>
      </w:pPr>
      <w:r>
        <w:t>Only</w:t>
      </w:r>
      <w:r w:rsidR="00DC530B">
        <w:t xml:space="preserve"> </w:t>
      </w:r>
      <w:r>
        <w:t>50 percent of all cases of Gonorrhoea are diagnosed</w:t>
      </w:r>
      <w:r w:rsidR="00DC530B">
        <w:t xml:space="preserve"> (estimate 50% potentially undiagnosed)</w:t>
      </w:r>
      <w:r>
        <w:t>; and</w:t>
      </w:r>
    </w:p>
    <w:p w14:paraId="2EB94EB2" w14:textId="77777777" w:rsidR="00DC530B" w:rsidRDefault="00DC530B" w:rsidP="00DC530B">
      <w:pPr>
        <w:pStyle w:val="AspexBullet1"/>
      </w:pPr>
      <w:r>
        <w:t>Possibly only 20% of all cases of Syphilis are diagnosed (estimate 80% potentially undiagnosed).</w:t>
      </w:r>
    </w:p>
    <w:p w14:paraId="160CD7B6" w14:textId="77777777" w:rsidR="00A35344" w:rsidRDefault="00CF3A3C" w:rsidP="00EC4E0A">
      <w:pPr>
        <w:pStyle w:val="AspexBodyStandard"/>
      </w:pPr>
      <w:r>
        <w:t>Drawing on these estimates the number of potential STIs that are notifiable in Australia is likely to be substantially higher than current data would suggest (</w:t>
      </w:r>
      <w:r w:rsidR="00EC4E0A">
        <w:fldChar w:fldCharType="begin"/>
      </w:r>
      <w:r w:rsidR="00EC4E0A">
        <w:instrText xml:space="preserve"> REF _Ref224462203 \h </w:instrText>
      </w:r>
      <w:r w:rsidR="00EC4E0A">
        <w:fldChar w:fldCharType="separate"/>
      </w:r>
      <w:r w:rsidR="008E6665">
        <w:t>Table 2</w:t>
      </w:r>
      <w:r w:rsidR="008E6665">
        <w:noBreakHyphen/>
      </w:r>
      <w:r w:rsidR="008E6665">
        <w:rPr>
          <w:noProof/>
        </w:rPr>
        <w:t>4</w:t>
      </w:r>
      <w:r w:rsidR="00EC4E0A">
        <w:fldChar w:fldCharType="end"/>
      </w:r>
      <w:r>
        <w:t>).</w:t>
      </w:r>
    </w:p>
    <w:p w14:paraId="05BC1AD1" w14:textId="35FDB27C" w:rsidR="00F004D9" w:rsidRDefault="00CF3A3C" w:rsidP="00CF3A3C">
      <w:pPr>
        <w:pStyle w:val="Caption"/>
      </w:pPr>
      <w:bookmarkStart w:id="44" w:name="_Ref224462203"/>
      <w:bookmarkStart w:id="45" w:name="_Toc351129878"/>
      <w:r>
        <w:t>Table 2</w:t>
      </w:r>
      <w:r>
        <w:noBreakHyphen/>
      </w:r>
      <w:r w:rsidR="008E6665">
        <w:fldChar w:fldCharType="begin"/>
      </w:r>
      <w:r w:rsidR="008E6665">
        <w:instrText xml:space="preserve"> SEQ Table \* ARABIC \s 1 </w:instrText>
      </w:r>
      <w:r w:rsidR="008E6665">
        <w:fldChar w:fldCharType="separate"/>
      </w:r>
      <w:r w:rsidR="008E6665">
        <w:rPr>
          <w:noProof/>
        </w:rPr>
        <w:t>4</w:t>
      </w:r>
      <w:r w:rsidR="008E6665">
        <w:rPr>
          <w:noProof/>
        </w:rPr>
        <w:fldChar w:fldCharType="end"/>
      </w:r>
      <w:bookmarkEnd w:id="44"/>
      <w:r w:rsidR="00AE66EA">
        <w:t xml:space="preserve">: </w:t>
      </w:r>
      <w:r w:rsidR="00AE66EA">
        <w:tab/>
      </w:r>
      <w:r>
        <w:t>Estimated number of sexual health patients per annum</w:t>
      </w:r>
      <w:bookmarkEnd w:id="45"/>
    </w:p>
    <w:bookmarkStart w:id="46" w:name="_MON_1425372241"/>
    <w:bookmarkEnd w:id="46"/>
    <w:p w14:paraId="2C2DD596" w14:textId="19F32350" w:rsidR="00A62190" w:rsidRPr="00A62190" w:rsidRDefault="006D4C10" w:rsidP="00A62190">
      <w:pPr>
        <w:pStyle w:val="AspexBodyStandard"/>
      </w:pPr>
      <w:r>
        <w:object w:dxaOrig="9247" w:dyaOrig="3399" w14:anchorId="0F94A1BD">
          <v:shape id="_x0000_i1028" type="#_x0000_t75" alt="Table 2 4:  Estimated number of sexual health patients per annum" style="width:462pt;height:170.25pt" o:ole="">
            <v:imagedata r:id="rId33" o:title=""/>
          </v:shape>
          <o:OLEObject Type="Embed" ProgID="Word.Document.12" ShapeID="_x0000_i1028" DrawAspect="Content" ObjectID="_1457429603" r:id="rId34">
            <o:FieldCodes>\s</o:FieldCodes>
          </o:OLEObject>
        </w:object>
      </w:r>
    </w:p>
    <w:p w14:paraId="4E47E4B3" w14:textId="3146B254" w:rsidR="006D3F72" w:rsidRPr="006D3F72" w:rsidRDefault="00F004D9" w:rsidP="00436203">
      <w:pPr>
        <w:pStyle w:val="IntenseQuote"/>
        <w:spacing w:before="0" w:line="240" w:lineRule="auto"/>
      </w:pPr>
      <w:r>
        <w:t xml:space="preserve">Evidence from published community studies </w:t>
      </w:r>
      <w:r w:rsidR="00BB2303">
        <w:t>report that</w:t>
      </w:r>
      <w:r>
        <w:t xml:space="preserve"> </w:t>
      </w:r>
      <w:r w:rsidR="00616F51">
        <w:t xml:space="preserve">all </w:t>
      </w:r>
      <w:r>
        <w:t>STIs remain under-diagnosed in the community</w:t>
      </w:r>
      <w:r w:rsidR="00BB0962">
        <w:t>.</w:t>
      </w:r>
      <w:r w:rsidR="006D3F72">
        <w:t xml:space="preserve"> </w:t>
      </w:r>
      <w:r w:rsidR="00616F51">
        <w:t xml:space="preserve"> Estimates using identified rates of under-detection indicate that the true population prevalence of notifiable STIs may</w:t>
      </w:r>
      <w:r w:rsidR="0041711D">
        <w:t xml:space="preserve"> </w:t>
      </w:r>
      <w:r w:rsidR="00616F51">
        <w:t xml:space="preserve">be up to 4 times (410%) higher. </w:t>
      </w:r>
    </w:p>
    <w:p w14:paraId="371D9732" w14:textId="00341AF5" w:rsidR="00930931" w:rsidRDefault="00BB2303" w:rsidP="00616F51">
      <w:pPr>
        <w:pStyle w:val="AspexBodyStandard"/>
      </w:pPr>
      <w:r>
        <w:t xml:space="preserve">Current estimates of the number of patients seen in Australia each year for notifiable STIs (103,201) are similar to the total number of notifications recorded, but </w:t>
      </w:r>
      <w:r w:rsidR="00930931">
        <w:t xml:space="preserve">remain </w:t>
      </w:r>
      <w:r>
        <w:t>significantly lower than the estimated population prevalence of the same diseases (591,462).</w:t>
      </w:r>
      <w:r w:rsidR="00930931">
        <w:t xml:space="preserve">  If these estimates are to be accepted</w:t>
      </w:r>
      <w:r w:rsidR="0041711D">
        <w:t>,</w:t>
      </w:r>
      <w:r w:rsidR="00930931">
        <w:t xml:space="preserve"> then two general issues must also be considered in relation to demand for services, namely that:</w:t>
      </w:r>
    </w:p>
    <w:p w14:paraId="053E2FC9" w14:textId="77777777" w:rsidR="00930931" w:rsidRDefault="00930931" w:rsidP="00930931">
      <w:pPr>
        <w:pStyle w:val="AspexBullet1"/>
      </w:pPr>
      <w:r>
        <w:lastRenderedPageBreak/>
        <w:t>Whilst individual patient demand for services may not be as high, given that a number of individuals will be asymptomatic and thus not know they have an STI;</w:t>
      </w:r>
    </w:p>
    <w:p w14:paraId="3DBBE499" w14:textId="57D0E052" w:rsidR="00930931" w:rsidRPr="00E1682E" w:rsidRDefault="00930931" w:rsidP="00930931">
      <w:pPr>
        <w:pStyle w:val="AspexBullet1"/>
        <w:rPr>
          <w:b/>
        </w:rPr>
      </w:pPr>
      <w:r w:rsidRPr="00E1682E">
        <w:rPr>
          <w:b/>
        </w:rPr>
        <w:t>Public demand for services will be significantly higher in order to identify these individuals and reduce the rate of community infection. This in turn places workforce pressures upon medical practitioners to become more knowledgeable and vigilant about STIs and routinely screen their patients regardless of the reason for presentation.  Pressure is also place</w:t>
      </w:r>
      <w:r w:rsidR="00AE5FD4">
        <w:rPr>
          <w:b/>
        </w:rPr>
        <w:t>d</w:t>
      </w:r>
      <w:r w:rsidRPr="00E1682E">
        <w:rPr>
          <w:b/>
        </w:rPr>
        <w:t xml:space="preserve"> upon public policy and community programs to increase the rate of STI screening in the community.</w:t>
      </w:r>
    </w:p>
    <w:p w14:paraId="6C3D8C5C" w14:textId="77777777" w:rsidR="00930931" w:rsidRDefault="00930931" w:rsidP="00930931">
      <w:pPr>
        <w:pStyle w:val="AspexBodyStandard"/>
      </w:pPr>
      <w:r>
        <w:t>Specialists have a</w:t>
      </w:r>
      <w:r w:rsidR="00BE5DFE">
        <w:t>n enhanced capacity to detect asymptomatic disease, and a</w:t>
      </w:r>
      <w:r>
        <w:t xml:space="preserve"> significant role to play in reducing the impact of STIs across the Australian community.</w:t>
      </w:r>
    </w:p>
    <w:p w14:paraId="103E89E7" w14:textId="77777777" w:rsidR="00F3564A" w:rsidRDefault="00F3564A" w:rsidP="007333CE">
      <w:pPr>
        <w:pStyle w:val="Heading2"/>
      </w:pPr>
      <w:bookmarkStart w:id="47" w:name="_Toc351480518"/>
      <w:r>
        <w:t>Demand for specialist services</w:t>
      </w:r>
      <w:bookmarkEnd w:id="47"/>
    </w:p>
    <w:p w14:paraId="4A3D2CB9" w14:textId="77777777" w:rsidR="00E32D5F" w:rsidRDefault="00E32D5F" w:rsidP="00F44503">
      <w:pPr>
        <w:pStyle w:val="Heading3"/>
      </w:pPr>
      <w:bookmarkStart w:id="48" w:name="_Toc224038090"/>
      <w:r>
        <w:t xml:space="preserve">National estimates of </w:t>
      </w:r>
      <w:r w:rsidR="0052787A">
        <w:t>GP</w:t>
      </w:r>
      <w:r>
        <w:t xml:space="preserve"> referral</w:t>
      </w:r>
      <w:r w:rsidR="0052787A">
        <w:t xml:space="preserve"> </w:t>
      </w:r>
      <w:r w:rsidR="00D9100F">
        <w:t>to specialists</w:t>
      </w:r>
      <w:bookmarkEnd w:id="48"/>
    </w:p>
    <w:p w14:paraId="27E98BD3" w14:textId="033A81E9" w:rsidR="00ED6B6C" w:rsidRDefault="00ED6B6C" w:rsidP="00E32D5F">
      <w:pPr>
        <w:pStyle w:val="AspexBodyStandard"/>
      </w:pPr>
      <w:r>
        <w:t>Between</w:t>
      </w:r>
      <w:r w:rsidR="00E32D5F">
        <w:t xml:space="preserve"> October 2007 and September 2012 </w:t>
      </w:r>
      <w:r>
        <w:t>approximately</w:t>
      </w:r>
      <w:r w:rsidR="00C32F8C">
        <w:t xml:space="preserve"> 1.83</w:t>
      </w:r>
      <w:r w:rsidR="00E32D5F">
        <w:t xml:space="preserve"> </w:t>
      </w:r>
      <w:r>
        <w:t>in every</w:t>
      </w:r>
      <w:r w:rsidR="00E32D5F">
        <w:t xml:space="preserve"> 100 patients </w:t>
      </w:r>
      <w:r w:rsidR="00C32F8C">
        <w:t>(95%ci: 1.50-2.2</w:t>
      </w:r>
      <w:r>
        <w:t xml:space="preserve">0) </w:t>
      </w:r>
      <w:r w:rsidR="00E32D5F">
        <w:t xml:space="preserve">with </w:t>
      </w:r>
      <w:r w:rsidR="00C32F8C">
        <w:t>sexual health</w:t>
      </w:r>
      <w:r w:rsidR="00E32D5F">
        <w:t xml:space="preserve">-related problems </w:t>
      </w:r>
      <w:r>
        <w:t xml:space="preserve">were referred to medical specialists </w:t>
      </w:r>
      <w:r w:rsidR="00E32D5F">
        <w:t xml:space="preserve">(BEACH, 2012).  </w:t>
      </w:r>
      <w:r>
        <w:t>Using the</w:t>
      </w:r>
      <w:r w:rsidR="00E32D5F">
        <w:t xml:space="preserve"> annual average estimated number of </w:t>
      </w:r>
      <w:r w:rsidR="00C32F8C">
        <w:t>sexual health</w:t>
      </w:r>
      <w:r w:rsidR="00E32D5F">
        <w:t>-related problems presenting to general practice (</w:t>
      </w:r>
      <w:r w:rsidR="00C32F8C">
        <w:t>1,758,000</w:t>
      </w:r>
      <w:r w:rsidR="00E32D5F">
        <w:t>)</w:t>
      </w:r>
      <w:r>
        <w:rPr>
          <w:rStyle w:val="FootnoteReference"/>
        </w:rPr>
        <w:footnoteReference w:id="12"/>
      </w:r>
      <w:r w:rsidR="00E32D5F">
        <w:t xml:space="preserve">, a total of </w:t>
      </w:r>
      <w:r w:rsidR="00C32F8C">
        <w:t>32,171</w:t>
      </w:r>
      <w:r w:rsidR="00E32D5F">
        <w:t xml:space="preserve"> specialist referrals are anticipated each year.  </w:t>
      </w:r>
      <w:r>
        <w:t>The highest percent of specialist referrals w</w:t>
      </w:r>
      <w:r w:rsidR="00E9643C">
        <w:t>as</w:t>
      </w:r>
      <w:r>
        <w:t xml:space="preserve"> made to </w:t>
      </w:r>
      <w:r w:rsidR="00C32F8C">
        <w:t>gynaecologists</w:t>
      </w:r>
      <w:r>
        <w:t xml:space="preserve"> (</w:t>
      </w:r>
      <w:r w:rsidR="00C32F8C">
        <w:t>56.67</w:t>
      </w:r>
      <w:r>
        <w:t>%), followed by</w:t>
      </w:r>
      <w:r w:rsidR="00C32F8C">
        <w:t xml:space="preserve"> urologists (16.67%) and other</w:t>
      </w:r>
      <w:r>
        <w:t xml:space="preserve"> specialty ‘clinics’ (</w:t>
      </w:r>
      <w:r w:rsidR="00C32F8C">
        <w:t>5.00</w:t>
      </w:r>
      <w:r>
        <w:t>%).</w:t>
      </w:r>
    </w:p>
    <w:p w14:paraId="45A5F698" w14:textId="77777777" w:rsidR="00ED6B6C" w:rsidRDefault="00ED6B6C" w:rsidP="00E32D5F">
      <w:pPr>
        <w:pStyle w:val="AspexBodyStandard"/>
      </w:pPr>
      <w:r>
        <w:t>Assuming that, for the majority of patients, one specialist referral will be made in any given year, it is estimated that</w:t>
      </w:r>
      <w:r w:rsidR="007A21D4">
        <w:t>:</w:t>
      </w:r>
    </w:p>
    <w:p w14:paraId="0AF1F000" w14:textId="77777777" w:rsidR="00ED6B6C" w:rsidRDefault="00ED6B6C" w:rsidP="007A21D4">
      <w:pPr>
        <w:pStyle w:val="IntenseQuote"/>
      </w:pPr>
      <w:r>
        <w:t xml:space="preserve">Around </w:t>
      </w:r>
      <w:r w:rsidR="00125E3E">
        <w:t>5</w:t>
      </w:r>
      <w:r>
        <w:t xml:space="preserve">% </w:t>
      </w:r>
      <w:r w:rsidR="00290886">
        <w:t>(</w:t>
      </w:r>
      <w:r w:rsidR="00E1682E">
        <w:t>Estimate: 4.5</w:t>
      </w:r>
      <w:r w:rsidR="00FC334F">
        <w:t xml:space="preserve">; </w:t>
      </w:r>
      <w:r w:rsidR="00290886">
        <w:t xml:space="preserve">95%CI: </w:t>
      </w:r>
      <w:r w:rsidR="00E1682E">
        <w:t>4.47</w:t>
      </w:r>
      <w:r w:rsidR="00FC334F">
        <w:t>-</w:t>
      </w:r>
      <w:r w:rsidR="00E1682E">
        <w:t>4.57</w:t>
      </w:r>
      <w:r w:rsidR="00290886">
        <w:t xml:space="preserve">) </w:t>
      </w:r>
      <w:r>
        <w:t xml:space="preserve">of all patients presenting to general practice with </w:t>
      </w:r>
      <w:r w:rsidR="00B168A4">
        <w:t>sexual health-</w:t>
      </w:r>
      <w:r>
        <w:t xml:space="preserve">related problems </w:t>
      </w:r>
      <w:r w:rsidR="007A21D4">
        <w:t>are</w:t>
      </w:r>
      <w:r>
        <w:t xml:space="preserve"> referred for</w:t>
      </w:r>
      <w:r w:rsidR="000F00F2">
        <w:t xml:space="preserve"> independent</w:t>
      </w:r>
      <w:r>
        <w:t xml:space="preserve"> specialist </w:t>
      </w:r>
      <w:r w:rsidR="007A21D4">
        <w:t>assessment each year</w:t>
      </w:r>
      <w:r w:rsidR="00DF3827">
        <w:rPr>
          <w:rStyle w:val="FootnoteReference"/>
        </w:rPr>
        <w:footnoteReference w:id="13"/>
      </w:r>
      <w:r>
        <w:t>.</w:t>
      </w:r>
    </w:p>
    <w:p w14:paraId="7E90EE1D" w14:textId="4276603D" w:rsidR="00934F1E" w:rsidRDefault="007A21D4" w:rsidP="007A21D4">
      <w:pPr>
        <w:pStyle w:val="AspexBodyStandard"/>
      </w:pPr>
      <w:r>
        <w:t xml:space="preserve">However, a number of specialists in </w:t>
      </w:r>
      <w:r w:rsidR="00D270B7" w:rsidRPr="00D270B7">
        <w:t xml:space="preserve">sexual health medicine </w:t>
      </w:r>
      <w:r>
        <w:t xml:space="preserve">originally qualified and are currently </w:t>
      </w:r>
      <w:r w:rsidR="00881C11">
        <w:t>billing MBS assessment items</w:t>
      </w:r>
      <w:r>
        <w:t xml:space="preserve"> as </w:t>
      </w:r>
      <w:r w:rsidR="00E57B01">
        <w:t>GPs</w:t>
      </w:r>
      <w:r>
        <w:t xml:space="preserve">.  In order to ascertain a more accurate level of ‘demand’ the assessments provided by these individuals must also be taken into account.  </w:t>
      </w:r>
    </w:p>
    <w:p w14:paraId="190BBEA1" w14:textId="2EBEFA1B" w:rsidR="000F00F2" w:rsidRDefault="007A21D4" w:rsidP="007A21D4">
      <w:pPr>
        <w:pStyle w:val="AspexBodyStandard"/>
      </w:pPr>
      <w:r>
        <w:t xml:space="preserve">Analysis of MBS data from a sample of </w:t>
      </w:r>
      <w:r w:rsidR="00D270B7" w:rsidRPr="00D270B7">
        <w:t xml:space="preserve">sexual health medicine </w:t>
      </w:r>
      <w:r>
        <w:t xml:space="preserve">specialists </w:t>
      </w:r>
      <w:r w:rsidR="00934F1E">
        <w:t>revealed</w:t>
      </w:r>
      <w:r>
        <w:t xml:space="preserve"> that </w:t>
      </w:r>
      <w:r w:rsidR="00934F1E">
        <w:t>an average of around</w:t>
      </w:r>
      <w:r>
        <w:t xml:space="preserve"> </w:t>
      </w:r>
      <w:r w:rsidR="00E871A2">
        <w:t>22.6</w:t>
      </w:r>
      <w:r w:rsidR="00125E3E">
        <w:t>% of all</w:t>
      </w:r>
      <w:r>
        <w:t xml:space="preserve"> occasions of service</w:t>
      </w:r>
      <w:r w:rsidR="00881C11">
        <w:t xml:space="preserve"> per annum</w:t>
      </w:r>
      <w:r>
        <w:t xml:space="preserve"> (between 2010-2012) </w:t>
      </w:r>
      <w:r w:rsidR="00934F1E">
        <w:t>were</w:t>
      </w:r>
      <w:r>
        <w:t xml:space="preserve"> </w:t>
      </w:r>
      <w:r w:rsidR="00934F1E">
        <w:t xml:space="preserve">claimed as assessments undertaken by </w:t>
      </w:r>
      <w:r w:rsidR="00E57B01">
        <w:t>GPs</w:t>
      </w:r>
      <w:r>
        <w:t xml:space="preserve">.  </w:t>
      </w:r>
      <w:r w:rsidR="00934F1E">
        <w:t xml:space="preserve">Adding these numbers to the annual estimated rate of referrals from </w:t>
      </w:r>
      <w:r w:rsidR="00E57B01">
        <w:t>GPs</w:t>
      </w:r>
      <w:r w:rsidR="00934F1E">
        <w:t xml:space="preserve"> who are not </w:t>
      </w:r>
      <w:r w:rsidR="00D270B7" w:rsidRPr="00D270B7">
        <w:t>sexual health medicine</w:t>
      </w:r>
      <w:r w:rsidR="00934F1E">
        <w:t xml:space="preserve"> specialists reveals</w:t>
      </w:r>
      <w:r w:rsidR="000F00F2">
        <w:t xml:space="preserve"> that there is </w:t>
      </w:r>
      <w:r w:rsidR="00934F1E">
        <w:t xml:space="preserve">demand </w:t>
      </w:r>
      <w:r w:rsidR="000F00F2">
        <w:t>for</w:t>
      </w:r>
      <w:r w:rsidR="00934F1E">
        <w:t xml:space="preserve"> around </w:t>
      </w:r>
      <w:r w:rsidR="00DE6572">
        <w:t>16,709</w:t>
      </w:r>
      <w:r w:rsidR="00934F1E">
        <w:t xml:space="preserve"> potential refer</w:t>
      </w:r>
      <w:r w:rsidR="000F00F2">
        <w:t>rals for specialist assessment. Thus:</w:t>
      </w:r>
    </w:p>
    <w:p w14:paraId="729CF622" w14:textId="76966C22" w:rsidR="007A21D4" w:rsidRDefault="000F00F2" w:rsidP="000F00F2">
      <w:pPr>
        <w:pStyle w:val="IntenseQuote"/>
      </w:pPr>
      <w:r>
        <w:t>A</w:t>
      </w:r>
      <w:r w:rsidR="00934F1E">
        <w:t xml:space="preserve">round </w:t>
      </w:r>
      <w:r w:rsidR="00DE6572">
        <w:t>7</w:t>
      </w:r>
      <w:r w:rsidR="00934F1E">
        <w:t xml:space="preserve">% </w:t>
      </w:r>
      <w:r w:rsidR="00290886">
        <w:t>(</w:t>
      </w:r>
      <w:r w:rsidR="00E1682E">
        <w:t>Estimate: 6.9</w:t>
      </w:r>
      <w:r w:rsidR="00FC334F">
        <w:t xml:space="preserve">; </w:t>
      </w:r>
      <w:r w:rsidR="00290886">
        <w:t xml:space="preserve">95%CI: </w:t>
      </w:r>
      <w:r w:rsidR="00E1682E">
        <w:t>6.82-6.94</w:t>
      </w:r>
      <w:r w:rsidR="00290886">
        <w:t xml:space="preserve">) </w:t>
      </w:r>
      <w:r w:rsidR="00934F1E">
        <w:t xml:space="preserve">of all patients presenting with </w:t>
      </w:r>
      <w:r w:rsidR="00B168A4">
        <w:t>sexual health-</w:t>
      </w:r>
      <w:r w:rsidR="00934F1E">
        <w:t>related problems</w:t>
      </w:r>
      <w:r>
        <w:t xml:space="preserve"> actually</w:t>
      </w:r>
      <w:r w:rsidR="00934F1E">
        <w:t xml:space="preserve"> </w:t>
      </w:r>
      <w:r w:rsidR="00DC4A27">
        <w:t>received</w:t>
      </w:r>
      <w:r>
        <w:t xml:space="preserve"> </w:t>
      </w:r>
      <w:r>
        <w:lastRenderedPageBreak/>
        <w:t xml:space="preserve">specialist assessment each year. General </w:t>
      </w:r>
      <w:r w:rsidR="00E57B01">
        <w:t>p</w:t>
      </w:r>
      <w:r>
        <w:t xml:space="preserve">ractitioners who are specialists in </w:t>
      </w:r>
      <w:r w:rsidR="00D270B7" w:rsidRPr="00D270B7">
        <w:t xml:space="preserve">sexual health medicine </w:t>
      </w:r>
      <w:r>
        <w:t>currently assess a third of these patients</w:t>
      </w:r>
      <w:r w:rsidR="00DF3827">
        <w:rPr>
          <w:rStyle w:val="FootnoteReference"/>
        </w:rPr>
        <w:footnoteReference w:id="14"/>
      </w:r>
      <w:r>
        <w:t>.</w:t>
      </w:r>
    </w:p>
    <w:p w14:paraId="0A9B79C8" w14:textId="77777777" w:rsidR="0052787A" w:rsidRDefault="00D9100F" w:rsidP="00F44503">
      <w:pPr>
        <w:pStyle w:val="Heading3"/>
      </w:pPr>
      <w:bookmarkStart w:id="49" w:name="_Toc224038091"/>
      <w:r>
        <w:t>National estimates of public sector referral to specialists</w:t>
      </w:r>
      <w:bookmarkEnd w:id="49"/>
    </w:p>
    <w:p w14:paraId="099B91DA" w14:textId="77777777" w:rsidR="0052787A" w:rsidRPr="0052787A" w:rsidRDefault="00027D52" w:rsidP="0052787A">
      <w:pPr>
        <w:pStyle w:val="AspexBodyStandard"/>
      </w:pPr>
      <w:r>
        <w:t xml:space="preserve">In the public sector, a number of specialist and non-specialist medical practitioners are employed to address the needs of patients with </w:t>
      </w:r>
      <w:r w:rsidR="00B168A4">
        <w:t>sexual health-</w:t>
      </w:r>
      <w:r>
        <w:t>related problems.  As such, specific referrals to specialists may or may not occur. Data is therefore unavailable to estimate the number of specific referrals from non-specialist medical practitioners to specialists in the public sector.</w:t>
      </w:r>
    </w:p>
    <w:p w14:paraId="30370168" w14:textId="77777777" w:rsidR="00F83F09" w:rsidRDefault="00D9100F" w:rsidP="00F44503">
      <w:pPr>
        <w:pStyle w:val="Heading3"/>
      </w:pPr>
      <w:bookmarkStart w:id="50" w:name="_Toc224038092"/>
      <w:r>
        <w:t>Influences upon estimation of demand for specialist services</w:t>
      </w:r>
      <w:bookmarkEnd w:id="50"/>
    </w:p>
    <w:p w14:paraId="493DC8E0" w14:textId="77777777" w:rsidR="0052787A" w:rsidRDefault="0052787A" w:rsidP="0052787A">
      <w:pPr>
        <w:pStyle w:val="AspexBodyStandard"/>
      </w:pPr>
      <w:r>
        <w:t>Estimates of demand for specialist services are likely to be influenced by a number of issues, including:</w:t>
      </w:r>
    </w:p>
    <w:p w14:paraId="625007E6" w14:textId="4C005C54" w:rsidR="0024380B" w:rsidRDefault="0024380B" w:rsidP="00D270B7">
      <w:pPr>
        <w:pStyle w:val="AspexBullet1"/>
      </w:pPr>
      <w:r>
        <w:t xml:space="preserve">Constraints upon general practice referral: It is appreciated that the number of referrals from general practitioners for specialist assessment will be heavily influenced by the known availability of specialists and anticipated time to treatment for patients. Thus, current demand may also be constrained by supply.  Whilst the majority of referrals are currently made to </w:t>
      </w:r>
      <w:r w:rsidR="00125E3E">
        <w:t>a range of specialists</w:t>
      </w:r>
      <w:r>
        <w:t xml:space="preserve">, around </w:t>
      </w:r>
      <w:r w:rsidR="00125E3E">
        <w:t>5</w:t>
      </w:r>
      <w:r>
        <w:t xml:space="preserve">% are made to clinics that employ </w:t>
      </w:r>
      <w:r w:rsidR="00D270B7" w:rsidRPr="00D270B7">
        <w:t xml:space="preserve">sexual health medicine </w:t>
      </w:r>
      <w:r>
        <w:t xml:space="preserve">specialists. Referrals to </w:t>
      </w:r>
      <w:r w:rsidR="00D270B7" w:rsidRPr="00D270B7">
        <w:t xml:space="preserve">sexual health medicine </w:t>
      </w:r>
      <w:r>
        <w:t xml:space="preserve">specialists were not included in the BEACH data (as they were not </w:t>
      </w:r>
      <w:r w:rsidR="00D270B7">
        <w:t>officially recognised until mid-</w:t>
      </w:r>
      <w:r>
        <w:t xml:space="preserve">way through the selected data collection period). Accordingly, it is highly likely that an increase in the supply of </w:t>
      </w:r>
      <w:r w:rsidR="00D270B7" w:rsidRPr="00D270B7">
        <w:t xml:space="preserve">sexual health medicine </w:t>
      </w:r>
      <w:r>
        <w:t xml:space="preserve">specialists may also generate demand for services (supply </w:t>
      </w:r>
      <w:r w:rsidR="00DC4A27">
        <w:t>induced</w:t>
      </w:r>
      <w:r>
        <w:t xml:space="preserve"> demand)</w:t>
      </w:r>
      <w:r w:rsidR="00E57B01">
        <w:t>;</w:t>
      </w:r>
      <w:r>
        <w:t xml:space="preserve"> </w:t>
      </w:r>
    </w:p>
    <w:p w14:paraId="334BEA2E" w14:textId="44E2DA7B" w:rsidR="00075E34" w:rsidRDefault="00075E34" w:rsidP="00F83F09">
      <w:pPr>
        <w:pStyle w:val="AspexBullet1"/>
      </w:pPr>
      <w:r>
        <w:t xml:space="preserve">Constraints upon public sector referral to specialists: Public sector medical practitioners encounter similar issues to those faced by general practitioners.  Specialists working in the public sector base referrals upon the availability and time to assessment for any given patient.  Accordingly, if more specialists are available in the public sector, a higher number of referrals may be anticipated (supply </w:t>
      </w:r>
      <w:r w:rsidR="00125E3E">
        <w:t>constrained</w:t>
      </w:r>
      <w:r>
        <w:t xml:space="preserve"> demand)</w:t>
      </w:r>
      <w:r w:rsidR="00E57B01">
        <w:t>; and</w:t>
      </w:r>
    </w:p>
    <w:p w14:paraId="0263C892" w14:textId="77777777" w:rsidR="007E64B9" w:rsidRDefault="007E64B9" w:rsidP="007E64B9">
      <w:pPr>
        <w:pStyle w:val="AspexBullet1"/>
      </w:pPr>
      <w:r>
        <w:t>Exclusion of dema</w:t>
      </w:r>
      <w:r w:rsidR="0052787A">
        <w:t xml:space="preserve">nd arising from </w:t>
      </w:r>
      <w:r w:rsidR="00CC79FB">
        <w:t>other sources of referral</w:t>
      </w:r>
      <w:r w:rsidR="0052787A">
        <w:t>: As previously identified, i</w:t>
      </w:r>
      <w:r>
        <w:t xml:space="preserve">ndividuals may present for public treatment services on a ‘self-referred’ basis, rather than presenting to their general practitioner.  </w:t>
      </w:r>
      <w:r w:rsidR="00CC79FB">
        <w:t xml:space="preserve">Further, other medical practitioners may also refer for specialist assessment. </w:t>
      </w:r>
      <w:r>
        <w:t xml:space="preserve">Data on public sector self-referrals was not available for analysis, and thus additional demand for </w:t>
      </w:r>
      <w:r w:rsidR="0052787A">
        <w:t>specialist</w:t>
      </w:r>
      <w:r w:rsidR="00DC4A27">
        <w:t xml:space="preserve"> services is likely (and demonstrated in the number of notifiable STIs above the estimated number of consultations with general practitioners and sexual health medicine specialists).</w:t>
      </w:r>
    </w:p>
    <w:p w14:paraId="4912450E" w14:textId="77777777" w:rsidR="00B8708F" w:rsidRDefault="00F3564A" w:rsidP="007333CE">
      <w:pPr>
        <w:pStyle w:val="Heading2"/>
      </w:pPr>
      <w:bookmarkStart w:id="51" w:name="_Toc351480519"/>
      <w:r>
        <w:t xml:space="preserve">Supply of specialist </w:t>
      </w:r>
      <w:r w:rsidR="00DF3827">
        <w:t>services</w:t>
      </w:r>
      <w:bookmarkEnd w:id="51"/>
    </w:p>
    <w:p w14:paraId="5CF016E2" w14:textId="77777777" w:rsidR="007E64B9" w:rsidRPr="007E64B9" w:rsidRDefault="007E64B9" w:rsidP="007E64B9">
      <w:pPr>
        <w:pStyle w:val="AspexBodyStandard"/>
      </w:pPr>
      <w:r>
        <w:t>Every general practice referral should result in a specialist assessment.</w:t>
      </w:r>
    </w:p>
    <w:p w14:paraId="01AAC30F" w14:textId="77777777" w:rsidR="007A21D4" w:rsidRDefault="007A21D4" w:rsidP="00F44503">
      <w:pPr>
        <w:pStyle w:val="Heading3"/>
      </w:pPr>
      <w:bookmarkStart w:id="52" w:name="_Toc224038094"/>
      <w:r>
        <w:lastRenderedPageBreak/>
        <w:t xml:space="preserve">National estimates of </w:t>
      </w:r>
      <w:r w:rsidR="00027D52">
        <w:t xml:space="preserve">private sector </w:t>
      </w:r>
      <w:r w:rsidR="00B8708F">
        <w:t>Specialist assessment</w:t>
      </w:r>
      <w:r w:rsidR="00027D52">
        <w:t>s</w:t>
      </w:r>
      <w:bookmarkEnd w:id="52"/>
    </w:p>
    <w:p w14:paraId="0F09B998" w14:textId="77777777" w:rsidR="001C51A8" w:rsidRPr="00093590" w:rsidRDefault="00093590" w:rsidP="00394E4D">
      <w:pPr>
        <w:pStyle w:val="AspexBodyStandard"/>
      </w:pPr>
      <w:r>
        <w:t xml:space="preserve">MBS data indicates that </w:t>
      </w:r>
      <w:r w:rsidR="001C51A8">
        <w:t xml:space="preserve">an average of </w:t>
      </w:r>
      <w:r w:rsidR="00125E3E">
        <w:t>19,432</w:t>
      </w:r>
      <w:r>
        <w:t xml:space="preserve"> </w:t>
      </w:r>
      <w:r w:rsidR="001C51A8">
        <w:t>specialist assessments</w:t>
      </w:r>
      <w:r>
        <w:t xml:space="preserve"> are provided per annum</w:t>
      </w:r>
      <w:r w:rsidR="001C51A8">
        <w:t xml:space="preserve"> in relation to </w:t>
      </w:r>
      <w:r w:rsidR="00D270B7" w:rsidRPr="00D270B7">
        <w:t>sexual health medicine</w:t>
      </w:r>
      <w:r w:rsidR="00BE0C25">
        <w:rPr>
          <w:rStyle w:val="FootnoteReference"/>
        </w:rPr>
        <w:footnoteReference w:id="15"/>
      </w:r>
      <w:r w:rsidR="001C51A8">
        <w:t>.  Of these</w:t>
      </w:r>
      <w:r w:rsidR="00BE0C25">
        <w:t>, an average of</w:t>
      </w:r>
      <w:r w:rsidR="00394E4D">
        <w:t xml:space="preserve"> </w:t>
      </w:r>
      <w:r w:rsidR="00125E3E">
        <w:t>29</w:t>
      </w:r>
      <w:r w:rsidR="00BE0C25">
        <w:t>%</w:t>
      </w:r>
      <w:r w:rsidR="001C51A8">
        <w:t xml:space="preserve"> are prov</w:t>
      </w:r>
      <w:r w:rsidR="00D270B7">
        <w:t>ided by specialists billing as g</w:t>
      </w:r>
      <w:r w:rsidR="001C51A8">
        <w:t xml:space="preserve">eneral </w:t>
      </w:r>
      <w:r w:rsidR="00D270B7">
        <w:t>p</w:t>
      </w:r>
      <w:r w:rsidR="001C51A8">
        <w:t>ractitioners</w:t>
      </w:r>
      <w:r w:rsidR="00BE0C25">
        <w:rPr>
          <w:rStyle w:val="FootnoteReference"/>
        </w:rPr>
        <w:footnoteReference w:id="16"/>
      </w:r>
      <w:r w:rsidR="00394E4D">
        <w:t>,</w:t>
      </w:r>
      <w:r w:rsidR="001C51A8">
        <w:t xml:space="preserve"> and</w:t>
      </w:r>
      <w:r w:rsidR="00394E4D">
        <w:t xml:space="preserve"> </w:t>
      </w:r>
      <w:r w:rsidR="00125E3E">
        <w:t>71</w:t>
      </w:r>
      <w:r w:rsidR="00BE0C25">
        <w:t xml:space="preserve">% </w:t>
      </w:r>
      <w:r w:rsidR="001C51A8">
        <w:t xml:space="preserve">are provided by </w:t>
      </w:r>
      <w:r w:rsidR="00BE0C25">
        <w:t xml:space="preserve">specialists billing as physicians or </w:t>
      </w:r>
      <w:r w:rsidR="001C51A8">
        <w:t>other medical practitioners</w:t>
      </w:r>
      <w:r w:rsidR="00BE0C25">
        <w:rPr>
          <w:rStyle w:val="FootnoteReference"/>
        </w:rPr>
        <w:footnoteReference w:id="17"/>
      </w:r>
      <w:r w:rsidR="001C51A8">
        <w:t>.</w:t>
      </w:r>
    </w:p>
    <w:p w14:paraId="0321B6F8" w14:textId="77777777" w:rsidR="00093590" w:rsidRPr="00093590" w:rsidRDefault="00093590" w:rsidP="00F44503">
      <w:pPr>
        <w:pStyle w:val="Heading3"/>
      </w:pPr>
      <w:bookmarkStart w:id="53" w:name="_Toc224038095"/>
      <w:r>
        <w:t>National estimates of public sector medical assessments</w:t>
      </w:r>
      <w:bookmarkEnd w:id="53"/>
    </w:p>
    <w:p w14:paraId="3F74FBCB" w14:textId="77777777" w:rsidR="007A21D4" w:rsidRDefault="00BE0C25" w:rsidP="00E32D5F">
      <w:pPr>
        <w:pStyle w:val="AspexBodyStandard"/>
      </w:pPr>
      <w:r>
        <w:t>Estimates derived from jurisdictional data indicate</w:t>
      </w:r>
      <w:r w:rsidR="00DC4A27">
        <w:t>s</w:t>
      </w:r>
      <w:r>
        <w:t xml:space="preserve"> that an average of </w:t>
      </w:r>
      <w:r w:rsidR="00125E3E">
        <w:t xml:space="preserve">64,539 </w:t>
      </w:r>
      <w:r>
        <w:t xml:space="preserve">medical assessments are provided across the public sector for </w:t>
      </w:r>
      <w:r w:rsidR="00DE6572">
        <w:t>sexual health</w:t>
      </w:r>
      <w:r>
        <w:t xml:space="preserve"> related problems each year.  The proportion of these assessments conducted by </w:t>
      </w:r>
      <w:r w:rsidR="00D270B7" w:rsidRPr="00D270B7">
        <w:t xml:space="preserve">sexual health medicine </w:t>
      </w:r>
      <w:r>
        <w:t>specialists remains unknown.</w:t>
      </w:r>
    </w:p>
    <w:p w14:paraId="05EC8154" w14:textId="77777777" w:rsidR="00F83F09" w:rsidRDefault="00093590" w:rsidP="00F44503">
      <w:pPr>
        <w:pStyle w:val="Heading3"/>
      </w:pPr>
      <w:bookmarkStart w:id="54" w:name="_Toc224038096"/>
      <w:r>
        <w:t>National estimates of supply for specialist services</w:t>
      </w:r>
      <w:bookmarkEnd w:id="54"/>
    </w:p>
    <w:p w14:paraId="5D2A312E" w14:textId="77777777" w:rsidR="00061022" w:rsidRDefault="00093590" w:rsidP="00093590">
      <w:pPr>
        <w:pStyle w:val="AspexBodyStandard"/>
      </w:pPr>
      <w:r>
        <w:t>Thus</w:t>
      </w:r>
      <w:r w:rsidR="00BE0C25">
        <w:t>, it is estimated that</w:t>
      </w:r>
      <w:r>
        <w:t xml:space="preserve"> </w:t>
      </w:r>
      <w:r w:rsidR="00BE0C25">
        <w:t xml:space="preserve">an average of at least </w:t>
      </w:r>
      <w:r w:rsidR="00125E3E">
        <w:t>83,791</w:t>
      </w:r>
      <w:r w:rsidR="00BE0C25">
        <w:t xml:space="preserve"> assessments are provided across both public and private sector each year for </w:t>
      </w:r>
      <w:r w:rsidR="00DE6572">
        <w:t>sexual health</w:t>
      </w:r>
      <w:r w:rsidR="00BE0C25">
        <w:t xml:space="preserve"> related </w:t>
      </w:r>
      <w:r w:rsidR="00123CA1">
        <w:t>problems</w:t>
      </w:r>
      <w:r w:rsidR="00BE0C25">
        <w:t>.</w:t>
      </w:r>
      <w:r w:rsidR="00CC79FB">
        <w:t xml:space="preserve">  </w:t>
      </w:r>
      <w:r w:rsidR="00061022">
        <w:t>However, in the absence of public sector data distinguishing services provided by specialist and non-specialist medical practitioners:</w:t>
      </w:r>
    </w:p>
    <w:p w14:paraId="36AD9E5C" w14:textId="77777777" w:rsidR="00061022" w:rsidRDefault="00061022" w:rsidP="00061022">
      <w:pPr>
        <w:pStyle w:val="IntenseQuote"/>
      </w:pPr>
      <w:r>
        <w:t>The true supply of sexual health medicine specialists remains unknown from the available data.</w:t>
      </w:r>
    </w:p>
    <w:p w14:paraId="3DA0F16F" w14:textId="77777777" w:rsidR="00093590" w:rsidRDefault="00093590" w:rsidP="007333CE">
      <w:pPr>
        <w:pStyle w:val="Heading2"/>
      </w:pPr>
      <w:bookmarkStart w:id="55" w:name="_Toc351480520"/>
      <w:r>
        <w:t>Unmet demand for specialist services</w:t>
      </w:r>
      <w:bookmarkEnd w:id="55"/>
    </w:p>
    <w:p w14:paraId="625B0A23" w14:textId="77777777" w:rsidR="00EC6025" w:rsidRDefault="00093590" w:rsidP="00093590">
      <w:pPr>
        <w:pStyle w:val="AspexBodyStandard"/>
      </w:pPr>
      <w:r>
        <w:t xml:space="preserve">If it </w:t>
      </w:r>
      <w:r w:rsidR="00CC79FB">
        <w:t>were</w:t>
      </w:r>
      <w:r>
        <w:t xml:space="preserve"> accepted that (based upon prior assumptions) </w:t>
      </w:r>
      <w:r w:rsidR="00CC79FB">
        <w:t>at least</w:t>
      </w:r>
      <w:r w:rsidR="006574C4">
        <w:t>:</w:t>
      </w:r>
      <w:r w:rsidR="00CC79FB">
        <w:t xml:space="preserve"> </w:t>
      </w:r>
    </w:p>
    <w:p w14:paraId="59A0C03F" w14:textId="77777777" w:rsidR="00EC6025" w:rsidRDefault="00EC6025" w:rsidP="00C93CBD">
      <w:pPr>
        <w:pStyle w:val="AspexBullet1"/>
      </w:pPr>
      <w:r>
        <w:t>48,880</w:t>
      </w:r>
      <w:r w:rsidR="00093590">
        <w:t xml:space="preserve"> patients are referred </w:t>
      </w:r>
      <w:r>
        <w:t>to or seen by a</w:t>
      </w:r>
      <w:r w:rsidR="00093590">
        <w:t xml:space="preserve"> specialist </w:t>
      </w:r>
      <w:r>
        <w:t xml:space="preserve">for </w:t>
      </w:r>
      <w:r w:rsidR="00093590">
        <w:t>assessment</w:t>
      </w:r>
      <w:r>
        <w:t xml:space="preserve"> of sexual health related concerns</w:t>
      </w:r>
      <w:r w:rsidR="00C93CBD">
        <w:t>;</w:t>
      </w:r>
      <w:r>
        <w:t xml:space="preserve"> and that </w:t>
      </w:r>
    </w:p>
    <w:p w14:paraId="06FC216F" w14:textId="77777777" w:rsidR="00EC6025" w:rsidRDefault="00BE5DFE" w:rsidP="00C93CBD">
      <w:pPr>
        <w:pStyle w:val="AspexBullet1"/>
      </w:pPr>
      <w:r>
        <w:t xml:space="preserve">At least </w:t>
      </w:r>
      <w:r w:rsidR="00EC6025">
        <w:t>10% of these patients have one or more notifiable STIs; then</w:t>
      </w:r>
    </w:p>
    <w:p w14:paraId="119B4C0F" w14:textId="77777777" w:rsidR="00C93CBD" w:rsidRDefault="00EC6025" w:rsidP="00C93CBD">
      <w:pPr>
        <w:pStyle w:val="AspexBullet1"/>
      </w:pPr>
      <w:r>
        <w:t xml:space="preserve">Around 4,880 referrals are made for specialist assessment of notifiable </w:t>
      </w:r>
      <w:r w:rsidR="00C93CBD">
        <w:t>STIs</w:t>
      </w:r>
      <w:r>
        <w:t xml:space="preserve"> each year, representing around 4.2% of all notifiable STIs in Australia (on average over the same period).  </w:t>
      </w:r>
    </w:p>
    <w:p w14:paraId="0DC19FCA" w14:textId="687525CD" w:rsidR="00C93CBD" w:rsidRDefault="00EC6025" w:rsidP="00093590">
      <w:pPr>
        <w:pStyle w:val="AspexBodyStandard"/>
      </w:pPr>
      <w:r>
        <w:t xml:space="preserve">If it were also accepted that </w:t>
      </w:r>
      <w:r w:rsidR="00C93CBD">
        <w:t xml:space="preserve">the true prevalence of STI’s in the Australian community was 4.1 times higher than the currently observed rate, then referrals to specialists would increase </w:t>
      </w:r>
      <w:r w:rsidR="00BE5DFE">
        <w:t>by</w:t>
      </w:r>
      <w:r w:rsidR="00C93CBD">
        <w:t xml:space="preserve"> </w:t>
      </w:r>
      <w:r w:rsidR="00BE5DFE">
        <w:t>at least</w:t>
      </w:r>
      <w:r w:rsidR="00C93CBD">
        <w:t xml:space="preserve"> 24,841</w:t>
      </w:r>
      <w:r w:rsidR="006574C4">
        <w:rPr>
          <w:rStyle w:val="FootnoteReference"/>
        </w:rPr>
        <w:footnoteReference w:id="18"/>
      </w:r>
      <w:r w:rsidR="00C93CBD">
        <w:t xml:space="preserve"> per annum for this group of sexual problems alone.  </w:t>
      </w:r>
    </w:p>
    <w:p w14:paraId="581BAEAC" w14:textId="77777777" w:rsidR="00EC6025" w:rsidRDefault="00C93CBD" w:rsidP="00C93CBD">
      <w:pPr>
        <w:pStyle w:val="IntenseQuote"/>
      </w:pPr>
      <w:r>
        <w:t>Estimates based only upon notifiable STIs (ignoring all other sexual health problems) indicate a potential increase of 50% to the workload of all sexual health related medical specialists.</w:t>
      </w:r>
    </w:p>
    <w:p w14:paraId="3908CF5B" w14:textId="77777777" w:rsidR="00FF712E" w:rsidRDefault="00FF712E" w:rsidP="00FF712E">
      <w:pPr>
        <w:pStyle w:val="AspexBodyStandard"/>
      </w:pPr>
      <w:r>
        <w:lastRenderedPageBreak/>
        <w:t xml:space="preserve">Thus, whilst estimates of true demand for the </w:t>
      </w:r>
      <w:r w:rsidR="00BE5DFE">
        <w:t xml:space="preserve">specialist assessment and/or </w:t>
      </w:r>
      <w:r>
        <w:t>treatment of sexual health related problems remain uncertain:</w:t>
      </w:r>
    </w:p>
    <w:p w14:paraId="2207ABDB" w14:textId="77777777" w:rsidR="00FF712E" w:rsidRDefault="00FF712E" w:rsidP="00FF712E">
      <w:pPr>
        <w:pStyle w:val="IntenseQuote"/>
      </w:pPr>
      <w:r>
        <w:t xml:space="preserve">There is sufficient </w:t>
      </w:r>
      <w:r w:rsidR="00BE5DFE">
        <w:t>indication</w:t>
      </w:r>
      <w:r>
        <w:t xml:space="preserve"> that unmet need currently exists within the Australian community – particularly to diagnose and treat </w:t>
      </w:r>
      <w:r w:rsidR="00BE5DFE">
        <w:t xml:space="preserve">more complex cases of STIs in </w:t>
      </w:r>
      <w:r>
        <w:t>individuals who are unaware that they have an STI and may place others at risk of infection.</w:t>
      </w:r>
    </w:p>
    <w:p w14:paraId="1B58A336" w14:textId="77777777" w:rsidR="00FF712E" w:rsidRPr="00FF712E" w:rsidRDefault="00FF712E" w:rsidP="00FF712E">
      <w:pPr>
        <w:pStyle w:val="AspexBodyStandard"/>
      </w:pPr>
      <w:r>
        <w:t>Current specialist services do not appear to meet anticipated levels of demand for notifiable STIs alone, regardless of other STIs and reportable blood borne viruses in the Australian community.</w:t>
      </w:r>
    </w:p>
    <w:p w14:paraId="327A205D" w14:textId="77777777" w:rsidR="00F83F09" w:rsidRDefault="00B53799" w:rsidP="007333CE">
      <w:pPr>
        <w:pStyle w:val="Heading2"/>
      </w:pPr>
      <w:bookmarkStart w:id="56" w:name="_Toc351480521"/>
      <w:r>
        <w:t>The consequences of unmet demand</w:t>
      </w:r>
      <w:bookmarkEnd w:id="56"/>
    </w:p>
    <w:p w14:paraId="12387025" w14:textId="1A703016" w:rsidR="00DC530B" w:rsidRDefault="00DC530B" w:rsidP="00F44503">
      <w:pPr>
        <w:pStyle w:val="Heading3"/>
      </w:pPr>
      <w:r>
        <w:t xml:space="preserve">The Costs of Sexually </w:t>
      </w:r>
      <w:r w:rsidR="00E57B01">
        <w:t xml:space="preserve">TRANSMISSIBLE </w:t>
      </w:r>
      <w:r>
        <w:t>Infections in Australia</w:t>
      </w:r>
    </w:p>
    <w:p w14:paraId="1A33058C" w14:textId="69C96E07" w:rsidR="00DC530B" w:rsidRDefault="00DC530B" w:rsidP="00DC530B">
      <w:pPr>
        <w:pStyle w:val="AspexBodyStandard"/>
      </w:pPr>
      <w:r>
        <w:t xml:space="preserve">STIs </w:t>
      </w:r>
      <w:r w:rsidRPr="00EE484D">
        <w:t xml:space="preserve">cause significant morbidity and mortality and </w:t>
      </w:r>
      <w:r>
        <w:t>place a substantial burden, economic and otherwise, on Australian society. The costs are related to screening, testing and treatment, as well as loss of productivity and income for those affected by STIs. Costs can be high because an infection is particularly common (e.g. Chlamydia – 358.8 notifications per 100,000 population in 2012)</w:t>
      </w:r>
      <w:r>
        <w:rPr>
          <w:rStyle w:val="FootnoteReference"/>
        </w:rPr>
        <w:footnoteReference w:id="19"/>
      </w:r>
      <w:r>
        <w:t>, or requires costly treatments (e.g. HIV/AIDS). Further, some STIs can lead to serious and significant complications; for example, liver cancer in Hepatitis C, or neurocognitive disorders in HIV. Where HIV results in Dementia, the costs of care are estimated at $126,000 per person per year (Cysique et al 2011).</w:t>
      </w:r>
    </w:p>
    <w:p w14:paraId="326897FD" w14:textId="4188F9B6" w:rsidR="00DC530B" w:rsidRDefault="00DC530B" w:rsidP="00DC530B">
      <w:pPr>
        <w:pStyle w:val="AspexBodyStandard"/>
      </w:pPr>
      <w:r>
        <w:t>Unfortunately, detailed information regarding the economic burden of various STIs in Australia is not available. However, comparable data are available from the United States (</w:t>
      </w:r>
      <w:r w:rsidRPr="00EE484D">
        <w:t>Owusu-Edusei</w:t>
      </w:r>
      <w:r>
        <w:t xml:space="preserve"> et al 2013). Using the US costs per case (and assuming parity between US and Australian dollars), and the number of new cases per year in Australia, the direct </w:t>
      </w:r>
      <w:r w:rsidR="00FF712E">
        <w:t>costs of five STIs (Chlamydia, Gonorrhoea, S</w:t>
      </w:r>
      <w:r>
        <w:t xml:space="preserve">yphilis, Hepatitis B and HIV) is presented in </w:t>
      </w:r>
      <w:r>
        <w:fldChar w:fldCharType="begin"/>
      </w:r>
      <w:r>
        <w:instrText xml:space="preserve"> REF _Ref350524152 \h </w:instrText>
      </w:r>
      <w:r>
        <w:fldChar w:fldCharType="separate"/>
      </w:r>
      <w:r w:rsidR="008E6665" w:rsidRPr="00C8389B">
        <w:t>Table</w:t>
      </w:r>
      <w:r w:rsidR="008E6665">
        <w:t xml:space="preserve"> </w:t>
      </w:r>
      <w:r w:rsidR="008E6665">
        <w:rPr>
          <w:noProof/>
        </w:rPr>
        <w:t>2</w:t>
      </w:r>
      <w:r w:rsidR="008E6665" w:rsidRPr="00D72A26">
        <w:noBreakHyphen/>
      </w:r>
      <w:r w:rsidR="008E6665">
        <w:rPr>
          <w:noProof/>
        </w:rPr>
        <w:t>5</w:t>
      </w:r>
      <w:r>
        <w:fldChar w:fldCharType="end"/>
      </w:r>
      <w:r>
        <w:t>.</w:t>
      </w:r>
    </w:p>
    <w:p w14:paraId="79994277" w14:textId="0797C206" w:rsidR="00005DC8" w:rsidRDefault="00005DC8">
      <w:pPr>
        <w:spacing w:before="0" w:after="0" w:line="240" w:lineRule="auto"/>
      </w:pPr>
      <w:r>
        <w:br w:type="page"/>
      </w:r>
    </w:p>
    <w:p w14:paraId="778B1B6C" w14:textId="60B522B3" w:rsidR="00DC530B" w:rsidRDefault="00DC530B" w:rsidP="00CF3A3C">
      <w:pPr>
        <w:pStyle w:val="Caption"/>
      </w:pPr>
      <w:bookmarkStart w:id="57" w:name="_Ref350524152"/>
      <w:bookmarkStart w:id="58" w:name="_Toc351129879"/>
      <w:r w:rsidRPr="00C8389B">
        <w:lastRenderedPageBreak/>
        <w:t>Table</w:t>
      </w:r>
      <w:r>
        <w:t xml:space="preserve"> </w:t>
      </w:r>
      <w:r w:rsidR="008E6665">
        <w:fldChar w:fldCharType="begin"/>
      </w:r>
      <w:r w:rsidR="008E6665">
        <w:instrText xml:space="preserve"> STYLEREF 1 \s </w:instrText>
      </w:r>
      <w:r w:rsidR="008E6665">
        <w:fldChar w:fldCharType="separate"/>
      </w:r>
      <w:r w:rsidR="008E6665">
        <w:rPr>
          <w:noProof/>
        </w:rPr>
        <w:t>2</w:t>
      </w:r>
      <w:r w:rsidR="008E6665">
        <w:rPr>
          <w:noProof/>
        </w:rPr>
        <w:fldChar w:fldCharType="end"/>
      </w:r>
      <w:r w:rsidRPr="00D72A26">
        <w:noBreakHyphen/>
      </w:r>
      <w:r w:rsidR="008E6665">
        <w:fldChar w:fldCharType="begin"/>
      </w:r>
      <w:r w:rsidR="008E6665">
        <w:instrText xml:space="preserve"> SEQ Table \* ARABIC </w:instrText>
      </w:r>
      <w:r w:rsidR="008E6665">
        <w:fldChar w:fldCharType="separate"/>
      </w:r>
      <w:r w:rsidR="008E6665">
        <w:rPr>
          <w:noProof/>
        </w:rPr>
        <w:t>5</w:t>
      </w:r>
      <w:r w:rsidR="008E6665">
        <w:rPr>
          <w:noProof/>
        </w:rPr>
        <w:fldChar w:fldCharType="end"/>
      </w:r>
      <w:bookmarkEnd w:id="57"/>
      <w:r w:rsidR="00AE66EA">
        <w:rPr>
          <w:noProof/>
        </w:rPr>
        <w:t>:</w:t>
      </w:r>
      <w:r>
        <w:tab/>
      </w:r>
      <w:r w:rsidRPr="00EE484D">
        <w:t>Estimated Lifetime Cost Per Case, Number of New Cases, and Total Medical Costs</w:t>
      </w:r>
      <w:r>
        <w:t xml:space="preserve"> (2010 dollars) of Five Major STIs</w:t>
      </w:r>
      <w:r w:rsidRPr="00EE484D">
        <w:t xml:space="preserve"> </w:t>
      </w:r>
      <w:r>
        <w:t>in Australia</w:t>
      </w:r>
      <w:bookmarkEnd w:id="58"/>
    </w:p>
    <w:bookmarkStart w:id="59" w:name="_MON_1425383291"/>
    <w:bookmarkEnd w:id="59"/>
    <w:p w14:paraId="758DB68B" w14:textId="5EBC382C" w:rsidR="00005DC8" w:rsidRDefault="00005DC8" w:rsidP="00005DC8">
      <w:pPr>
        <w:pStyle w:val="AspexBodyStandard"/>
        <w:spacing w:after="0"/>
      </w:pPr>
      <w:r>
        <w:object w:dxaOrig="7477" w:dyaOrig="2741" w14:anchorId="7A904684">
          <v:shape id="_x0000_i1029" type="#_x0000_t75" alt="Table 2 5: Estimated Lifetime Cost Per Case, Number of New Cases, and Total Medical Costs (2010 dollars) of Five Major STIs in Australia" style="width:373.5pt;height:137.25pt" o:ole="">
            <v:imagedata r:id="rId35" o:title=""/>
          </v:shape>
          <o:OLEObject Type="Embed" ProgID="Word.Document.12" ShapeID="_x0000_i1029" DrawAspect="Content" ObjectID="_1457429604" r:id="rId36">
            <o:FieldCodes>\s</o:FieldCodes>
          </o:OLEObject>
        </w:object>
      </w:r>
    </w:p>
    <w:p w14:paraId="1ACF1CBE" w14:textId="1BBBC9BE" w:rsidR="00DC530B" w:rsidRPr="00005DC8" w:rsidRDefault="00005DC8" w:rsidP="00005DC8">
      <w:pPr>
        <w:pStyle w:val="AspexBodyStandard"/>
        <w:tabs>
          <w:tab w:val="left" w:pos="142"/>
        </w:tabs>
        <w:spacing w:before="0"/>
        <w:rPr>
          <w:sz w:val="20"/>
          <w:szCs w:val="20"/>
        </w:rPr>
      </w:pPr>
      <w:r>
        <w:rPr>
          <w:i/>
          <w:sz w:val="20"/>
          <w:szCs w:val="20"/>
        </w:rPr>
        <w:t>*</w:t>
      </w:r>
      <w:r>
        <w:rPr>
          <w:i/>
          <w:sz w:val="20"/>
          <w:szCs w:val="20"/>
        </w:rPr>
        <w:tab/>
      </w:r>
      <w:r w:rsidR="00DC530B" w:rsidRPr="00005DC8">
        <w:rPr>
          <w:i/>
          <w:sz w:val="20"/>
          <w:szCs w:val="20"/>
        </w:rPr>
        <w:t>Numbers of new cases diagnosed each year, derived from the Kirby Institute</w:t>
      </w:r>
    </w:p>
    <w:p w14:paraId="168E6FA8" w14:textId="15ABCB15" w:rsidR="00DC530B" w:rsidRDefault="00DC530B" w:rsidP="00DC530B">
      <w:pPr>
        <w:pStyle w:val="AspexBodyStandard"/>
      </w:pPr>
      <w:r>
        <w:t xml:space="preserve">Overall disease burden can be also expressed as </w:t>
      </w:r>
      <w:r w:rsidRPr="00307A07">
        <w:t>Disability-</w:t>
      </w:r>
      <w:r w:rsidR="00E416F0">
        <w:t>A</w:t>
      </w:r>
      <w:r w:rsidRPr="00307A07">
        <w:t xml:space="preserve">djusted </w:t>
      </w:r>
      <w:r w:rsidR="00E416F0">
        <w:t>L</w:t>
      </w:r>
      <w:r w:rsidRPr="00307A07">
        <w:t xml:space="preserve">ife </w:t>
      </w:r>
      <w:r w:rsidR="00E416F0">
        <w:t>Y</w:t>
      </w:r>
      <w:r w:rsidRPr="00307A07">
        <w:t>ears (DALYs)</w:t>
      </w:r>
      <w:r>
        <w:t>.</w:t>
      </w:r>
      <w:r>
        <w:rPr>
          <w:rStyle w:val="FootnoteReference"/>
          <w:rFonts w:cs="Univers-Light"/>
          <w:sz w:val="20"/>
          <w:lang w:eastAsia="en-AU"/>
        </w:rPr>
        <w:footnoteReference w:id="20"/>
      </w:r>
      <w:r>
        <w:rPr>
          <w:rFonts w:ascii="Univers-Light" w:hAnsi="Univers-Light" w:cs="Univers-Light"/>
          <w:sz w:val="20"/>
          <w:lang w:eastAsia="en-AU"/>
        </w:rPr>
        <w:t xml:space="preserve">  </w:t>
      </w:r>
      <w:r>
        <w:t>In 2003 in Australia</w:t>
      </w:r>
      <w:r w:rsidRPr="00307A07">
        <w:t xml:space="preserve">, </w:t>
      </w:r>
      <w:r>
        <w:t>2,048 DALYs were accounted for by STIs (AIHW).</w:t>
      </w:r>
    </w:p>
    <w:p w14:paraId="715E3035" w14:textId="77777777" w:rsidR="00DC530B" w:rsidRPr="00697FA3" w:rsidRDefault="00DC530B" w:rsidP="00DC530B">
      <w:pPr>
        <w:pStyle w:val="AspexBodyStandard"/>
      </w:pPr>
      <w:r>
        <w:t>Because detailed information regarding the burden of all STIs in Australia is not available, a discussion of the impact of Hepatitis B and C on health and society will now follow as an exemplar of STI/BBV conditions dealt with by Sexual Health Specialists in Australia.</w:t>
      </w:r>
    </w:p>
    <w:p w14:paraId="456C5997" w14:textId="77777777" w:rsidR="00DC530B" w:rsidRDefault="00DC530B" w:rsidP="00F44503">
      <w:pPr>
        <w:pStyle w:val="Heading3"/>
      </w:pPr>
      <w:r>
        <w:t>The Costs and Burdens of Hepatitis B and C in Australia</w:t>
      </w:r>
    </w:p>
    <w:p w14:paraId="68B5C4E7" w14:textId="77777777" w:rsidR="00DC530B" w:rsidRPr="00F61CE4" w:rsidRDefault="00DC530B" w:rsidP="00DC530B">
      <w:pPr>
        <w:pStyle w:val="AspexBodyStandard"/>
      </w:pPr>
      <w:r w:rsidRPr="00775430">
        <w:t>Little is known about the economic burden of hepatitis</w:t>
      </w:r>
      <w:r>
        <w:t xml:space="preserve"> B in Australia (ACT Hepatitis Resource Centre 2013</w:t>
      </w:r>
      <w:r w:rsidRPr="00775430">
        <w:t xml:space="preserve">). </w:t>
      </w:r>
      <w:r w:rsidRPr="00F61CE4">
        <w:t>Whilst the financial burden of hepatitis B is not well understood, Butler and colleagues</w:t>
      </w:r>
      <w:r>
        <w:t xml:space="preserve"> (2004) </w:t>
      </w:r>
      <w:r w:rsidRPr="00F61CE4">
        <w:t>analysed average costs per patient with chronic hepatitis B across six disease states (</w:t>
      </w:r>
      <w:r>
        <w:t xml:space="preserve">e.g. </w:t>
      </w:r>
      <w:r w:rsidRPr="00F61CE4">
        <w:t xml:space="preserve">non-cirrhotic chronic infection, decompensated cirrhosis, </w:t>
      </w:r>
      <w:r>
        <w:t>liver cancer and liver transplantation</w:t>
      </w:r>
      <w:r w:rsidRPr="00F61CE4">
        <w:t>). In 2001 dollars, the study found the annual costs of managing patients with hepatitis B varied between $1,233 (for non-cirrhotic chronic infection) and $144,392 (for a patient who has had a liver transplant).</w:t>
      </w:r>
    </w:p>
    <w:p w14:paraId="204FC3F6" w14:textId="77777777" w:rsidR="00DC530B" w:rsidRDefault="00DC530B" w:rsidP="00DC530B">
      <w:pPr>
        <w:pStyle w:val="AspexBodyStandard"/>
      </w:pPr>
      <w:r>
        <w:t>Regarding Hepatitis C in Australia,</w:t>
      </w:r>
      <w:r w:rsidRPr="00775430">
        <w:t xml:space="preserve"> a recent report </w:t>
      </w:r>
      <w:r>
        <w:t>(Boston Consulting Group 2012)</w:t>
      </w:r>
      <w:r w:rsidRPr="00775430">
        <w:t xml:space="preserve"> found that hepatitis C creates an annual cost to governments of $252 million with a projected five year cost of $1.5 billion. In addition to the costs to the health system, nearly half of those costs are spent to assist those disabled by chronic infection, who are too ill to work or who have lost jobs for reasons related to hepatitis C infection.</w:t>
      </w:r>
    </w:p>
    <w:p w14:paraId="2F1D7961" w14:textId="77777777" w:rsidR="00DC530B" w:rsidRPr="00697FA3" w:rsidRDefault="00DC530B" w:rsidP="00DC530B">
      <w:pPr>
        <w:pStyle w:val="AspexBodyStandard"/>
      </w:pPr>
      <w:r w:rsidRPr="00697FA3">
        <w:t>Each year in Australia, hepatitis C results in approximately 213 cases of liver failure (costing $5.6m), 44 liver transplants ($5.8m), and 48 cases of liver cancer ($2.2m). The bulk of the $252m one-year costs are generated by people with mild or moderate fibrosis ($84m and $39.5m respectively) and cirrhosis ($45.1m). Amounting to an estimated $1.5 billion in costs to government over five years, hepatitis C is expected to cause 24,668 cases of cirrhosis,  1,494 cases of liver failure, 332 cases of liver cancer, and 144 liver transplants</w:t>
      </w:r>
      <w:r>
        <w:t xml:space="preserve"> (ACT Hepatitis Resource Centre 2013</w:t>
      </w:r>
      <w:r w:rsidRPr="00775430">
        <w:t>).</w:t>
      </w:r>
      <w:r w:rsidRPr="00697FA3">
        <w:t>.</w:t>
      </w:r>
    </w:p>
    <w:p w14:paraId="18C63CE2" w14:textId="77777777" w:rsidR="00DC530B" w:rsidRPr="0082076E" w:rsidRDefault="00DC530B" w:rsidP="00DC530B">
      <w:pPr>
        <w:pStyle w:val="AspexBodyStandard"/>
      </w:pPr>
      <w:r w:rsidRPr="0082076E">
        <w:lastRenderedPageBreak/>
        <w:t>The health burden associated with hepatitis B and C is expected to rise sharply in coming years. In 2011, chronic hepatitis B and C infection was the underlying cause of liver disease in nearly one third of liver transplants</w:t>
      </w:r>
      <w:r>
        <w:t xml:space="preserve"> (Kirby Institute 2012)</w:t>
      </w:r>
      <w:r w:rsidRPr="0082076E">
        <w:t>. Alarmingly, the AIHW has reported that on 2007 figures, age-standardised rates of liver cancer</w:t>
      </w:r>
      <w:r>
        <w:t xml:space="preserve"> in Australia</w:t>
      </w:r>
      <w:r w:rsidRPr="0082076E">
        <w:t xml:space="preserve"> are projected to increase by 38% in men and 78% in women by 2020</w:t>
      </w:r>
      <w:r>
        <w:t xml:space="preserve"> (AIHW 2012).</w:t>
      </w:r>
    </w:p>
    <w:p w14:paraId="081A57E3" w14:textId="79890D6E" w:rsidR="00DC530B" w:rsidRDefault="00DC530B" w:rsidP="00DC530B">
      <w:pPr>
        <w:pStyle w:val="AspexBodyStandard"/>
      </w:pPr>
      <w:r w:rsidRPr="00121D52">
        <w:t>Hepatitis B and C create burdens beyond economic costs. In a study of psychosocial aspects of living with hepatitis C, The National Centre in HIV Social Research</w:t>
      </w:r>
      <w:r>
        <w:t xml:space="preserve"> (Harris &amp; Richters 2008) </w:t>
      </w:r>
      <w:r w:rsidRPr="00121D52">
        <w:t>found that, in addition to health impacts, living with a chronic stigmatised illness with an uncertain future creates dilemmas around disclosure, accessing support, and sustaining self-esteem, employment and relationships.</w:t>
      </w:r>
      <w:r>
        <w:t xml:space="preserve"> Other consequences of Hepatitis C include </w:t>
      </w:r>
      <w:r w:rsidRPr="000F4A6F">
        <w:t>high levels of psychological distress, impaired quality of life (Coughlan et al 2005), anxiety, depression, reduced quality of life, feelings of loss of control, and difficulties in coping (Zickmund et al 2003</w:t>
      </w:r>
      <w:r>
        <w:t xml:space="preserve">; </w:t>
      </w:r>
      <w:r w:rsidRPr="000F4A6F">
        <w:t xml:space="preserve">Conrad et al 2006; </w:t>
      </w:r>
      <w:r>
        <w:t>Olsen et al</w:t>
      </w:r>
      <w:r w:rsidR="00141284">
        <w:t>).</w:t>
      </w:r>
    </w:p>
    <w:p w14:paraId="75AA5243" w14:textId="77777777" w:rsidR="00DC530B" w:rsidRDefault="00DC530B" w:rsidP="00B53799">
      <w:pPr>
        <w:pStyle w:val="AspexBodyStandard"/>
      </w:pPr>
    </w:p>
    <w:p w14:paraId="2222DA64" w14:textId="77777777" w:rsidR="005E19FF" w:rsidRDefault="005E19FF" w:rsidP="007333CE">
      <w:pPr>
        <w:pStyle w:val="Heading1"/>
      </w:pPr>
      <w:bookmarkStart w:id="60" w:name="_Toc351480522"/>
      <w:r>
        <w:lastRenderedPageBreak/>
        <w:t xml:space="preserve">The clinical </w:t>
      </w:r>
      <w:r w:rsidR="006301B9">
        <w:t xml:space="preserve">safety and </w:t>
      </w:r>
      <w:r>
        <w:t>effectiveness of interventions</w:t>
      </w:r>
      <w:bookmarkEnd w:id="60"/>
    </w:p>
    <w:p w14:paraId="2E20E028" w14:textId="77777777" w:rsidR="006301B9" w:rsidRDefault="006301B9" w:rsidP="007333CE">
      <w:pPr>
        <w:pStyle w:val="Heading2"/>
      </w:pPr>
      <w:bookmarkStart w:id="61" w:name="_Toc351480523"/>
      <w:r>
        <w:t xml:space="preserve">Types of intervention provided for </w:t>
      </w:r>
      <w:r w:rsidR="00280F78">
        <w:t>sexual health problems</w:t>
      </w:r>
      <w:bookmarkEnd w:id="61"/>
    </w:p>
    <w:p w14:paraId="3E44305A" w14:textId="151DA0F1" w:rsidR="00631158" w:rsidRDefault="00631158" w:rsidP="00546339">
      <w:pPr>
        <w:pStyle w:val="AspexBodyStandard"/>
      </w:pPr>
      <w:r>
        <w:t xml:space="preserve">Medical practitioners in Australia provide a number of different clinical interventions to patients with </w:t>
      </w:r>
      <w:r w:rsidR="00B05A21">
        <w:t>sexual health related problems</w:t>
      </w:r>
      <w:r>
        <w:t xml:space="preserve">.  </w:t>
      </w:r>
      <w:r w:rsidR="00C0204C">
        <w:t>The practice of sexual health medicine typically embraces two perspectives: a clinical perspective that consist</w:t>
      </w:r>
      <w:r w:rsidR="007F22A9">
        <w:t>s</w:t>
      </w:r>
      <w:r w:rsidR="00C0204C">
        <w:t xml:space="preserve"> of</w:t>
      </w:r>
      <w:r w:rsidR="007F22A9">
        <w:t xml:space="preserve"> the</w:t>
      </w:r>
      <w:r w:rsidR="00C0204C">
        <w:t xml:space="preserve"> use of diagnostic and treatment</w:t>
      </w:r>
      <w:r w:rsidR="007F22A9">
        <w:t xml:space="preserve"> modalities</w:t>
      </w:r>
      <w:r w:rsidR="00C0204C">
        <w:t xml:space="preserve"> including </w:t>
      </w:r>
      <w:r w:rsidR="00546339">
        <w:t>pharmacotherapy</w:t>
      </w:r>
      <w:r>
        <w:t xml:space="preserve"> and</w:t>
      </w:r>
      <w:r w:rsidR="00546339">
        <w:t xml:space="preserve"> p</w:t>
      </w:r>
      <w:r>
        <w:t>sycho</w:t>
      </w:r>
      <w:r w:rsidR="0058273B">
        <w:t>sexual</w:t>
      </w:r>
      <w:r w:rsidR="00C0204C">
        <w:t xml:space="preserve"> interventions, together with a public health approach to sexual health problems.</w:t>
      </w:r>
    </w:p>
    <w:p w14:paraId="58FFD405" w14:textId="77777777" w:rsidR="00765439" w:rsidRDefault="00631158" w:rsidP="00546339">
      <w:pPr>
        <w:pStyle w:val="AspexBullet1"/>
        <w:numPr>
          <w:ilvl w:val="0"/>
          <w:numId w:val="0"/>
        </w:numPr>
      </w:pPr>
      <w:r>
        <w:t xml:space="preserve">A </w:t>
      </w:r>
      <w:r w:rsidR="00816016">
        <w:t>large number</w:t>
      </w:r>
      <w:r w:rsidR="00B86A82">
        <w:t xml:space="preserve"> of pharmacotherapies are prescribed to treat comorbidities and complications associated with HIV and other chronic sexual health conditions.  </w:t>
      </w:r>
      <w:r w:rsidR="00716203">
        <w:t>The majority of drugs used in the treatment of sexual health diseases are section</w:t>
      </w:r>
      <w:r w:rsidR="00F4226E">
        <w:t xml:space="preserve"> 100 </w:t>
      </w:r>
      <w:r w:rsidR="00716203">
        <w:t>drugs or authority/restricted</w:t>
      </w:r>
      <w:r w:rsidR="0058273B">
        <w:t xml:space="preserve"> </w:t>
      </w:r>
      <w:r w:rsidR="00B86A82">
        <w:t>drugs</w:t>
      </w:r>
      <w:r w:rsidR="00716203">
        <w:t xml:space="preserve">.  Examples of drugs used in the treatment of sexual health diseases include: </w:t>
      </w:r>
    </w:p>
    <w:p w14:paraId="6975B029" w14:textId="77777777" w:rsidR="006067A4" w:rsidRDefault="006067A4" w:rsidP="006067A4">
      <w:pPr>
        <w:pStyle w:val="AspexBullet1"/>
      </w:pPr>
      <w:r>
        <w:t xml:space="preserve">A range of drugs </w:t>
      </w:r>
      <w:r w:rsidR="00090540">
        <w:t xml:space="preserve">section 100 drugs </w:t>
      </w:r>
      <w:r>
        <w:t>used</w:t>
      </w:r>
      <w:r w:rsidR="00AE167B">
        <w:t xml:space="preserve"> in the treatment of HIV including but not limited to</w:t>
      </w:r>
      <w:r>
        <w:t>:</w:t>
      </w:r>
    </w:p>
    <w:p w14:paraId="62F407C2" w14:textId="77777777" w:rsidR="006067A4" w:rsidRDefault="006067A4" w:rsidP="006067A4">
      <w:pPr>
        <w:pStyle w:val="AspexBullet2"/>
      </w:pPr>
      <w:r>
        <w:t>A</w:t>
      </w:r>
      <w:r w:rsidRPr="006067A4">
        <w:t>bacavir</w:t>
      </w:r>
      <w:r>
        <w:t>;</w:t>
      </w:r>
    </w:p>
    <w:p w14:paraId="46DA88C6" w14:textId="77777777" w:rsidR="006067A4" w:rsidRDefault="006067A4" w:rsidP="006067A4">
      <w:pPr>
        <w:pStyle w:val="AspexBullet2"/>
      </w:pPr>
      <w:r w:rsidRPr="006067A4">
        <w:t>Didanosine</w:t>
      </w:r>
      <w:r w:rsidR="00090540">
        <w:t>;</w:t>
      </w:r>
    </w:p>
    <w:p w14:paraId="48BDF1F7" w14:textId="77777777" w:rsidR="00090540" w:rsidRDefault="00090540" w:rsidP="00090540">
      <w:pPr>
        <w:pStyle w:val="AspexBullet2"/>
      </w:pPr>
      <w:r w:rsidRPr="00090540">
        <w:t>Lamivudine</w:t>
      </w:r>
      <w:r>
        <w:t>;</w:t>
      </w:r>
    </w:p>
    <w:p w14:paraId="39F868FF" w14:textId="77777777" w:rsidR="00090540" w:rsidRDefault="00090540" w:rsidP="00090540">
      <w:pPr>
        <w:pStyle w:val="AspexBullet2"/>
      </w:pPr>
      <w:r w:rsidRPr="00090540">
        <w:t>Saquinavir</w:t>
      </w:r>
      <w:r>
        <w:t>; and</w:t>
      </w:r>
    </w:p>
    <w:p w14:paraId="09E0D76E" w14:textId="77777777" w:rsidR="007D1707" w:rsidRDefault="006067A4" w:rsidP="00546339">
      <w:pPr>
        <w:pStyle w:val="AspexBullet2"/>
      </w:pPr>
      <w:r>
        <w:t>Zidovudine</w:t>
      </w:r>
      <w:r w:rsidR="00090540">
        <w:t>.</w:t>
      </w:r>
    </w:p>
    <w:p w14:paraId="11B553CE" w14:textId="77777777" w:rsidR="00816904" w:rsidRDefault="00F4226E" w:rsidP="00090540">
      <w:pPr>
        <w:pStyle w:val="AspexBullet1"/>
      </w:pPr>
      <w:r>
        <w:t>Section 100 d</w:t>
      </w:r>
      <w:r w:rsidR="00090540">
        <w:t>rugs used in the treatment of chronic hepatitis B and C, such as:</w:t>
      </w:r>
    </w:p>
    <w:p w14:paraId="745CCC31" w14:textId="77777777" w:rsidR="00090540" w:rsidRDefault="00090540" w:rsidP="00090540">
      <w:pPr>
        <w:pStyle w:val="AspexBullet2"/>
      </w:pPr>
      <w:r w:rsidRPr="00090540">
        <w:t>Adefovir Dipivoxil</w:t>
      </w:r>
      <w:r>
        <w:t>;</w:t>
      </w:r>
    </w:p>
    <w:p w14:paraId="27126325" w14:textId="77777777" w:rsidR="00090540" w:rsidRDefault="00090540" w:rsidP="00090540">
      <w:pPr>
        <w:pStyle w:val="AspexBullet2"/>
      </w:pPr>
      <w:r>
        <w:t>I</w:t>
      </w:r>
      <w:r w:rsidRPr="00090540">
        <w:t>nterferon Alfa-2b</w:t>
      </w:r>
      <w:r>
        <w:t>;</w:t>
      </w:r>
    </w:p>
    <w:p w14:paraId="07725949" w14:textId="77777777" w:rsidR="00090540" w:rsidRDefault="00090540" w:rsidP="00090540">
      <w:pPr>
        <w:pStyle w:val="AspexBullet2"/>
      </w:pPr>
      <w:r w:rsidRPr="00090540">
        <w:t>Peginterferon Alfa-2a</w:t>
      </w:r>
      <w:r>
        <w:t>; and</w:t>
      </w:r>
    </w:p>
    <w:p w14:paraId="48D80D00" w14:textId="77777777" w:rsidR="00090540" w:rsidRDefault="00090540" w:rsidP="00090540">
      <w:pPr>
        <w:pStyle w:val="AspexBullet2"/>
      </w:pPr>
      <w:r w:rsidRPr="00090540">
        <w:t>Ribavirin And Peginterferon Alfa-2a</w:t>
      </w:r>
      <w:r>
        <w:t>.</w:t>
      </w:r>
    </w:p>
    <w:p w14:paraId="23779DC8" w14:textId="77777777" w:rsidR="00090540" w:rsidRDefault="00090540" w:rsidP="00090540">
      <w:pPr>
        <w:pStyle w:val="AspexBullet1"/>
      </w:pPr>
      <w:r>
        <w:t>Drugs used in the treatment of a range of sexually transmissible infections including;</w:t>
      </w:r>
    </w:p>
    <w:p w14:paraId="3EECC0E5" w14:textId="77777777" w:rsidR="00090540" w:rsidRDefault="00090540" w:rsidP="00090540">
      <w:pPr>
        <w:pStyle w:val="AspexBullet2"/>
      </w:pPr>
      <w:r w:rsidRPr="00090540">
        <w:t>Aciclovir</w:t>
      </w:r>
      <w:r>
        <w:t xml:space="preserve"> in the treatment of herpes simplex;</w:t>
      </w:r>
    </w:p>
    <w:p w14:paraId="1BB0F6B9" w14:textId="77777777" w:rsidR="00090540" w:rsidRDefault="00090540" w:rsidP="00090540">
      <w:pPr>
        <w:pStyle w:val="AspexBullet2"/>
      </w:pPr>
      <w:r w:rsidRPr="00090540">
        <w:t>Ceftriaxone</w:t>
      </w:r>
      <w:r>
        <w:t xml:space="preserve"> in the treatment of u</w:t>
      </w:r>
      <w:r w:rsidR="00A65B73">
        <w:t>ncomplicated gonorrhoea;</w:t>
      </w:r>
    </w:p>
    <w:p w14:paraId="6EF5CF67" w14:textId="77777777" w:rsidR="00090540" w:rsidRDefault="00090540" w:rsidP="00090540">
      <w:pPr>
        <w:pStyle w:val="AspexBullet2"/>
      </w:pPr>
      <w:r w:rsidRPr="00090540">
        <w:t>Nystatin</w:t>
      </w:r>
      <w:r>
        <w:t xml:space="preserve"> in the treatment of fungal or yeast infections; and</w:t>
      </w:r>
    </w:p>
    <w:p w14:paraId="67228519" w14:textId="77777777" w:rsidR="00090540" w:rsidRDefault="00090540" w:rsidP="00090540">
      <w:pPr>
        <w:pStyle w:val="AspexBullet2"/>
      </w:pPr>
      <w:r w:rsidRPr="00090540">
        <w:t>Vardenafil</w:t>
      </w:r>
      <w:r>
        <w:t xml:space="preserve"> used in the treatment of erectile dysfunction.</w:t>
      </w:r>
    </w:p>
    <w:p w14:paraId="3258F277" w14:textId="77777777" w:rsidR="00631158" w:rsidRDefault="00090540" w:rsidP="00546339">
      <w:pPr>
        <w:pStyle w:val="AspexBodyStandard"/>
      </w:pPr>
      <w:r>
        <w:t xml:space="preserve">A </w:t>
      </w:r>
      <w:r w:rsidR="0058273B">
        <w:t>more comprehensive</w:t>
      </w:r>
      <w:r>
        <w:t xml:space="preserve"> list of pharmacotherapies used in the treatment of sexual health related problems is detailed at</w:t>
      </w:r>
      <w:r w:rsidR="00AE167B">
        <w:t xml:space="preserve"> Appendix 2</w:t>
      </w:r>
      <w:r w:rsidR="00B86A82">
        <w:t>.</w:t>
      </w:r>
      <w:r w:rsidR="0058273B">
        <w:t xml:space="preserve">  </w:t>
      </w:r>
    </w:p>
    <w:p w14:paraId="195A85AA" w14:textId="77777777" w:rsidR="006301B9" w:rsidRDefault="006301B9" w:rsidP="007333CE">
      <w:pPr>
        <w:pStyle w:val="Heading2"/>
      </w:pPr>
      <w:bookmarkStart w:id="62" w:name="_Toc351480524"/>
      <w:r>
        <w:t>Clinical safety of interventions</w:t>
      </w:r>
      <w:bookmarkEnd w:id="62"/>
    </w:p>
    <w:p w14:paraId="40C69AB5" w14:textId="128A70C1" w:rsidR="007D1707" w:rsidRDefault="007D1707" w:rsidP="007D1707">
      <w:pPr>
        <w:shd w:val="clear" w:color="auto" w:fill="FFFFFF"/>
        <w:spacing w:before="100" w:beforeAutospacing="1" w:after="100" w:afterAutospacing="1" w:line="240" w:lineRule="auto"/>
        <w:jc w:val="both"/>
        <w:rPr>
          <w:rFonts w:cs="Arial"/>
          <w:color w:val="000000"/>
          <w:lang w:val="en" w:eastAsia="en-AU"/>
        </w:rPr>
      </w:pPr>
      <w:r w:rsidRPr="003366E0">
        <w:rPr>
          <w:rFonts w:cs="Arial"/>
          <w:color w:val="000000"/>
          <w:lang w:val="en" w:eastAsia="en-AU"/>
        </w:rPr>
        <w:t>The Therapeutic Goods Administration (TGA) is responsible for regulating therapeutic goods including medicines, medical devices, blood and blood products.</w:t>
      </w:r>
      <w:r w:rsidRPr="000F29B0">
        <w:rPr>
          <w:rFonts w:cs="Arial"/>
          <w:color w:val="000000"/>
          <w:lang w:val="en" w:eastAsia="en-AU"/>
        </w:rPr>
        <w:t xml:space="preserve">  </w:t>
      </w:r>
      <w:r w:rsidRPr="003366E0">
        <w:rPr>
          <w:rFonts w:cs="Arial"/>
          <w:color w:val="000000"/>
          <w:lang w:val="en" w:eastAsia="en-AU"/>
        </w:rPr>
        <w:t xml:space="preserve">The TGA administers the </w:t>
      </w:r>
      <w:r w:rsidRPr="000F29B0">
        <w:rPr>
          <w:rFonts w:cs="Arial"/>
          <w:i/>
          <w:iCs/>
          <w:color w:val="000000"/>
          <w:lang w:val="en" w:eastAsia="en-AU"/>
        </w:rPr>
        <w:t>Therapeutic Goods Act 1989</w:t>
      </w:r>
      <w:r>
        <w:rPr>
          <w:rFonts w:cs="Arial"/>
          <w:i/>
          <w:iCs/>
          <w:color w:val="000000"/>
          <w:lang w:val="en" w:eastAsia="en-AU"/>
        </w:rPr>
        <w:t>,</w:t>
      </w:r>
      <w:r w:rsidRPr="000F29B0">
        <w:rPr>
          <w:rFonts w:cs="Arial"/>
          <w:color w:val="000000"/>
          <w:lang w:val="en" w:eastAsia="en-AU"/>
        </w:rPr>
        <w:t xml:space="preserve"> which</w:t>
      </w:r>
      <w:r w:rsidRPr="003366E0">
        <w:rPr>
          <w:rFonts w:cs="Arial"/>
          <w:color w:val="000000"/>
          <w:lang w:val="en" w:eastAsia="en-AU"/>
        </w:rPr>
        <w:t xml:space="preserve"> provides </w:t>
      </w:r>
      <w:r w:rsidRPr="000F29B0">
        <w:rPr>
          <w:rFonts w:cs="Arial"/>
          <w:color w:val="000000"/>
          <w:lang w:val="en" w:eastAsia="en-AU"/>
        </w:rPr>
        <w:t xml:space="preserve">the legislative </w:t>
      </w:r>
      <w:r w:rsidRPr="003366E0">
        <w:rPr>
          <w:rFonts w:cs="Arial"/>
          <w:color w:val="000000"/>
          <w:lang w:val="en" w:eastAsia="en-AU"/>
        </w:rPr>
        <w:t xml:space="preserve">framework for a risk management approach that </w:t>
      </w:r>
      <w:r w:rsidRPr="000F29B0">
        <w:rPr>
          <w:rFonts w:cs="Arial"/>
          <w:color w:val="000000"/>
          <w:lang w:val="en" w:eastAsia="en-AU"/>
        </w:rPr>
        <w:t>ensures that the Australian community has</w:t>
      </w:r>
      <w:r w:rsidRPr="003366E0">
        <w:rPr>
          <w:rFonts w:cs="Arial"/>
          <w:color w:val="000000"/>
          <w:lang w:val="en" w:eastAsia="en-AU"/>
        </w:rPr>
        <w:t xml:space="preserve"> timely access to therapeutic goods which</w:t>
      </w:r>
      <w:r w:rsidR="00D07F5F" w:rsidRPr="003366E0">
        <w:rPr>
          <w:rFonts w:cs="Arial"/>
          <w:color w:val="000000"/>
          <w:lang w:val="en" w:eastAsia="en-AU"/>
        </w:rPr>
        <w:t xml:space="preserve"> </w:t>
      </w:r>
      <w:r w:rsidRPr="003366E0">
        <w:rPr>
          <w:rFonts w:cs="Arial"/>
          <w:color w:val="000000"/>
          <w:lang w:val="en" w:eastAsia="en-AU"/>
        </w:rPr>
        <w:t xml:space="preserve">are </w:t>
      </w:r>
      <w:r w:rsidRPr="003366E0">
        <w:rPr>
          <w:rFonts w:cs="Arial"/>
          <w:b/>
          <w:color w:val="000000"/>
          <w:lang w:val="en" w:eastAsia="en-AU"/>
        </w:rPr>
        <w:t>consistently safe, effective and of high quality</w:t>
      </w:r>
      <w:r w:rsidRPr="003366E0">
        <w:rPr>
          <w:rFonts w:cs="Arial"/>
          <w:color w:val="000000"/>
          <w:lang w:val="en" w:eastAsia="en-AU"/>
        </w:rPr>
        <w:t>.</w:t>
      </w:r>
      <w:r w:rsidRPr="000F29B0">
        <w:rPr>
          <w:rFonts w:cs="Arial"/>
          <w:color w:val="000000"/>
          <w:lang w:val="en" w:eastAsia="en-AU"/>
        </w:rPr>
        <w:t xml:space="preserve">  In effect, no therapeutic product can be supplied in Australia unless it has been assessed and approved </w:t>
      </w:r>
      <w:r w:rsidRPr="000F29B0">
        <w:rPr>
          <w:rFonts w:cs="Arial"/>
          <w:color w:val="000000"/>
          <w:lang w:val="en" w:eastAsia="en-AU"/>
        </w:rPr>
        <w:lastRenderedPageBreak/>
        <w:t>for registration by the TGA.  The TGA is also responsible for ongoing monitoring of products once they are available on the Australian market.</w:t>
      </w:r>
      <w:r w:rsidR="00816904">
        <w:rPr>
          <w:rFonts w:cs="Arial"/>
          <w:color w:val="000000"/>
          <w:lang w:val="en" w:eastAsia="en-AU"/>
        </w:rPr>
        <w:t xml:space="preserve">  </w:t>
      </w:r>
    </w:p>
    <w:p w14:paraId="1E29E454" w14:textId="77777777" w:rsidR="0076777F" w:rsidRDefault="0076777F" w:rsidP="0076777F">
      <w:pPr>
        <w:pStyle w:val="AspexBodyStandard"/>
      </w:pPr>
      <w:r>
        <w:t xml:space="preserve">Analysis of available evidence from the BEACH (2012) data suggests that the 10 most common medications prescribed by </w:t>
      </w:r>
      <w:r w:rsidR="0058273B">
        <w:t>g</w:t>
      </w:r>
      <w:r>
        <w:t xml:space="preserve">eneral practitioners for the treatment of </w:t>
      </w:r>
      <w:r w:rsidR="00123CA1">
        <w:t xml:space="preserve">sexual health </w:t>
      </w:r>
      <w:r>
        <w:t>related problems include (in descending order):</w:t>
      </w:r>
    </w:p>
    <w:p w14:paraId="4829246F" w14:textId="77777777" w:rsidR="0076777F" w:rsidRDefault="00B86A82" w:rsidP="0076777F">
      <w:pPr>
        <w:pStyle w:val="AspexBullet1"/>
      </w:pPr>
      <w:r>
        <w:t>Sildenafil citrate</w:t>
      </w:r>
      <w:r w:rsidR="0076777F">
        <w:t xml:space="preserve"> (</w:t>
      </w:r>
      <w:r>
        <w:t>17.28</w:t>
      </w:r>
      <w:r w:rsidR="0076777F">
        <w:t>%);</w:t>
      </w:r>
    </w:p>
    <w:p w14:paraId="6D679FD2" w14:textId="77777777" w:rsidR="0076777F" w:rsidRDefault="00B86A82" w:rsidP="0076777F">
      <w:pPr>
        <w:pStyle w:val="AspexBullet1"/>
      </w:pPr>
      <w:r>
        <w:t>Tadalafil</w:t>
      </w:r>
      <w:r w:rsidR="0076777F">
        <w:t xml:space="preserve"> (</w:t>
      </w:r>
      <w:r>
        <w:t>13.34</w:t>
      </w:r>
      <w:r w:rsidR="0076777F">
        <w:t>%);</w:t>
      </w:r>
    </w:p>
    <w:p w14:paraId="3B6B31E7" w14:textId="77777777" w:rsidR="0076777F" w:rsidRDefault="00B86A82" w:rsidP="0076777F">
      <w:pPr>
        <w:pStyle w:val="AspexBullet1"/>
      </w:pPr>
      <w:r>
        <w:t>Valaciclovir</w:t>
      </w:r>
      <w:r w:rsidR="0076777F">
        <w:t xml:space="preserve"> (</w:t>
      </w:r>
      <w:r>
        <w:t>10.10</w:t>
      </w:r>
      <w:r w:rsidR="0076777F">
        <w:t>%);</w:t>
      </w:r>
    </w:p>
    <w:p w14:paraId="1A663314" w14:textId="77777777" w:rsidR="0076777F" w:rsidRDefault="00B86A82" w:rsidP="0076777F">
      <w:pPr>
        <w:pStyle w:val="AspexBullet1"/>
      </w:pPr>
      <w:r>
        <w:t>Azithromycin</w:t>
      </w:r>
      <w:r w:rsidR="0076777F">
        <w:t xml:space="preserve"> (</w:t>
      </w:r>
      <w:r>
        <w:t>8.29</w:t>
      </w:r>
      <w:r w:rsidR="0076777F">
        <w:t>%);</w:t>
      </w:r>
    </w:p>
    <w:p w14:paraId="5DC236AB" w14:textId="77777777" w:rsidR="0076777F" w:rsidRDefault="00B86A82" w:rsidP="0076777F">
      <w:pPr>
        <w:pStyle w:val="AspexBullet1"/>
      </w:pPr>
      <w:r>
        <w:t>Famciclovir</w:t>
      </w:r>
      <w:r w:rsidR="0076777F">
        <w:t xml:space="preserve"> (4.</w:t>
      </w:r>
      <w:r>
        <w:t>55</w:t>
      </w:r>
      <w:r w:rsidR="0076777F">
        <w:t>%)</w:t>
      </w:r>
    </w:p>
    <w:p w14:paraId="7EB824FE" w14:textId="77777777" w:rsidR="0076777F" w:rsidRDefault="00B86A82" w:rsidP="0076777F">
      <w:pPr>
        <w:pStyle w:val="AspexBullet1"/>
      </w:pPr>
      <w:r>
        <w:t>Testosterone</w:t>
      </w:r>
      <w:r w:rsidR="0076777F">
        <w:t xml:space="preserve"> (3.</w:t>
      </w:r>
      <w:r>
        <w:t>30</w:t>
      </w:r>
      <w:r w:rsidR="0076777F">
        <w:t>%);</w:t>
      </w:r>
    </w:p>
    <w:p w14:paraId="79703388" w14:textId="77777777" w:rsidR="0076777F" w:rsidRDefault="00B86A82" w:rsidP="0076777F">
      <w:pPr>
        <w:pStyle w:val="AspexBullet1"/>
      </w:pPr>
      <w:r>
        <w:t>Clotrimazole vaginal</w:t>
      </w:r>
      <w:r w:rsidR="0076777F">
        <w:t xml:space="preserve"> (</w:t>
      </w:r>
      <w:r>
        <w:t>3.21</w:t>
      </w:r>
      <w:r w:rsidR="0076777F">
        <w:t>%);</w:t>
      </w:r>
    </w:p>
    <w:p w14:paraId="6075F3FF" w14:textId="77777777" w:rsidR="0076777F" w:rsidRDefault="00B86A82" w:rsidP="0076777F">
      <w:pPr>
        <w:pStyle w:val="AspexBullet1"/>
      </w:pPr>
      <w:r>
        <w:t>Doxy</w:t>
      </w:r>
      <w:r w:rsidR="0058273B">
        <w:t>cyline</w:t>
      </w:r>
      <w:r w:rsidR="0076777F">
        <w:t xml:space="preserve"> (2.</w:t>
      </w:r>
      <w:r w:rsidR="0058273B">
        <w:t>77</w:t>
      </w:r>
      <w:r w:rsidR="0076777F">
        <w:t>%);</w:t>
      </w:r>
    </w:p>
    <w:p w14:paraId="281E66C3" w14:textId="77777777" w:rsidR="0076777F" w:rsidRDefault="0058273B" w:rsidP="0076777F">
      <w:pPr>
        <w:pStyle w:val="AspexBullet1"/>
      </w:pPr>
      <w:r>
        <w:t xml:space="preserve">Vardenafil </w:t>
      </w:r>
      <w:r w:rsidR="0076777F">
        <w:t>(2.</w:t>
      </w:r>
      <w:r>
        <w:t>54</w:t>
      </w:r>
      <w:r w:rsidR="0076777F">
        <w:t>%); and</w:t>
      </w:r>
    </w:p>
    <w:p w14:paraId="31591A9C" w14:textId="77777777" w:rsidR="0076777F" w:rsidRDefault="0058273B" w:rsidP="0076777F">
      <w:pPr>
        <w:pStyle w:val="AspexBullet1"/>
      </w:pPr>
      <w:r>
        <w:t>Fluconazole (2.42</w:t>
      </w:r>
      <w:r w:rsidR="0076777F">
        <w:t>%)</w:t>
      </w:r>
      <w:r w:rsidR="00EE1430">
        <w:t>.</w:t>
      </w:r>
    </w:p>
    <w:p w14:paraId="425EAF5C" w14:textId="77777777" w:rsidR="0076777F" w:rsidRDefault="00716203" w:rsidP="0076777F">
      <w:pPr>
        <w:pStyle w:val="AspexBodyStandard"/>
      </w:pPr>
      <w:r w:rsidRPr="00716203">
        <w:t>T</w:t>
      </w:r>
      <w:r w:rsidR="00774704" w:rsidRPr="00716203">
        <w:t xml:space="preserve">he drugs used by GPs as noted above, </w:t>
      </w:r>
      <w:r w:rsidRPr="00716203">
        <w:t xml:space="preserve">include a number of section 100 and authority/restricted drugs that </w:t>
      </w:r>
      <w:r w:rsidR="0076777F" w:rsidRPr="00716203">
        <w:t xml:space="preserve">have been approved for listing on the PBS and account for </w:t>
      </w:r>
      <w:r w:rsidRPr="00716203">
        <w:t>68</w:t>
      </w:r>
      <w:r w:rsidR="0076777F" w:rsidRPr="00716203">
        <w:t xml:space="preserve">% of all medications prescribed to patients presenting to general practice with </w:t>
      </w:r>
      <w:r w:rsidRPr="00716203">
        <w:t>sexual health</w:t>
      </w:r>
      <w:r w:rsidR="0076777F" w:rsidRPr="00716203">
        <w:t xml:space="preserve"> related problems.</w:t>
      </w:r>
    </w:p>
    <w:p w14:paraId="457A2A59" w14:textId="77777777" w:rsidR="0076777F" w:rsidRDefault="0076777F" w:rsidP="0076777F">
      <w:pPr>
        <w:pStyle w:val="AspexBodyStandard"/>
      </w:pPr>
      <w:r w:rsidRPr="00B60630">
        <w:t xml:space="preserve">The specific safety of </w:t>
      </w:r>
      <w:r w:rsidR="00B60630" w:rsidRPr="00B60630">
        <w:t>psychosexual</w:t>
      </w:r>
      <w:r w:rsidRPr="00B60630">
        <w:t xml:space="preserve"> interventions is less well documented in systematic reviews.  Notwithstanding, it is re</w:t>
      </w:r>
      <w:r w:rsidR="00B60630" w:rsidRPr="00B60630">
        <w:t xml:space="preserve">cognised that the safety of these </w:t>
      </w:r>
      <w:r w:rsidRPr="00B60630">
        <w:t>intervention is dependent upon the training and competencies of individual medical practitioners.  Individual Colleges regulate these standards through fellowship training and ongoing professional education.</w:t>
      </w:r>
    </w:p>
    <w:p w14:paraId="7AB76E92" w14:textId="77777777" w:rsidR="006E70DF" w:rsidRDefault="006E70DF" w:rsidP="006E70DF">
      <w:pPr>
        <w:pStyle w:val="AspexBodyStandard"/>
      </w:pPr>
      <w:r>
        <w:t xml:space="preserve">Having reviewed the range of interventions provided by </w:t>
      </w:r>
      <w:r w:rsidR="00D270B7" w:rsidRPr="00D270B7">
        <w:t xml:space="preserve">sexual health medicine </w:t>
      </w:r>
      <w:r>
        <w:t xml:space="preserve">specialists, the Australian Medical Council </w:t>
      </w:r>
      <w:r w:rsidR="003D6FE7">
        <w:t xml:space="preserve">(2006) </w:t>
      </w:r>
      <w:r>
        <w:t>has concluded that:</w:t>
      </w:r>
    </w:p>
    <w:p w14:paraId="6A19D9DD" w14:textId="69DA5A3A" w:rsidR="009159CF" w:rsidRDefault="00816016" w:rsidP="009159CF">
      <w:pPr>
        <w:pStyle w:val="IntenseQuote"/>
      </w:pPr>
      <w:r>
        <w:t>“…t</w:t>
      </w:r>
      <w:r w:rsidR="009159CF" w:rsidRPr="009159CF">
        <w:t>hat there is a demonstrable link between the skills and expertise of sexual health physicians and healthcare outcomes, including safety; and that this link is supported in the scholarly literature</w:t>
      </w:r>
      <w:r w:rsidR="009159CF">
        <w:t>.” (p.2</w:t>
      </w:r>
      <w:r w:rsidR="002F40B4">
        <w:t>4</w:t>
      </w:r>
      <w:r w:rsidR="009159CF">
        <w:t>)</w:t>
      </w:r>
    </w:p>
    <w:p w14:paraId="7CC7D2D1" w14:textId="43E91DE5" w:rsidR="009159CF" w:rsidRDefault="009159CF" w:rsidP="006E70DF">
      <w:pPr>
        <w:pStyle w:val="AspexBodyStandard"/>
      </w:pPr>
    </w:p>
    <w:p w14:paraId="18EF8C79" w14:textId="77777777" w:rsidR="006301B9" w:rsidRPr="00B60630" w:rsidRDefault="006301B9" w:rsidP="007333CE">
      <w:pPr>
        <w:pStyle w:val="Heading2"/>
      </w:pPr>
      <w:bookmarkStart w:id="63" w:name="_Toc351480525"/>
      <w:r w:rsidRPr="00B60630">
        <w:t>Clinical effectiveness of interventions</w:t>
      </w:r>
      <w:bookmarkEnd w:id="63"/>
    </w:p>
    <w:p w14:paraId="38ECAAD7" w14:textId="4C3E0490" w:rsidR="000B6567" w:rsidRDefault="00B60630" w:rsidP="00B60630">
      <w:pPr>
        <w:pStyle w:val="AspexBodyStandard"/>
      </w:pPr>
      <w:bookmarkStart w:id="64" w:name="_Toc224038108"/>
      <w:r>
        <w:t xml:space="preserve">A total of </w:t>
      </w:r>
      <w:r w:rsidR="005471AE">
        <w:t>88</w:t>
      </w:r>
      <w:r>
        <w:t xml:space="preserve"> studies of the highest levels of evidence were reviewed to evaluate the clinical effectiveness of interventions provided for </w:t>
      </w:r>
      <w:r>
        <w:rPr>
          <w:lang w:eastAsia="en-AU"/>
        </w:rPr>
        <w:t>sexually transmissible infections (STIs) and blood borne viruses (BBVs)</w:t>
      </w:r>
      <w:r>
        <w:t>. A detailed list of these refer</w:t>
      </w:r>
      <w:r w:rsidR="00123CA1">
        <w:t>ences is presented in Appendix 3</w:t>
      </w:r>
      <w:r>
        <w:t>.</w:t>
      </w:r>
    </w:p>
    <w:p w14:paraId="0241E155" w14:textId="77777777" w:rsidR="000B6567" w:rsidRDefault="000B6567" w:rsidP="000B6567">
      <w:pPr>
        <w:pStyle w:val="AspexBodyStandard"/>
      </w:pPr>
      <w:r>
        <w:br w:type="page"/>
      </w:r>
    </w:p>
    <w:p w14:paraId="6A62CC60" w14:textId="77777777" w:rsidR="00B60630" w:rsidRDefault="00B60630" w:rsidP="003C7AD0">
      <w:pPr>
        <w:pStyle w:val="Heading3"/>
      </w:pPr>
      <w:bookmarkStart w:id="65" w:name="_Toc350079589"/>
      <w:r>
        <w:lastRenderedPageBreak/>
        <w:t>Comparison of different therapies</w:t>
      </w:r>
      <w:bookmarkEnd w:id="65"/>
    </w:p>
    <w:p w14:paraId="6B4769A5" w14:textId="77777777" w:rsidR="00B60630" w:rsidRDefault="00B60630" w:rsidP="00B60630">
      <w:pPr>
        <w:pStyle w:val="IntenseQuote"/>
      </w:pPr>
      <w:r>
        <w:t xml:space="preserve">The literature demonstrates clear evidence for the effectiveness of a range of pharmacological and other interventions for sexual health-related conditions. </w:t>
      </w:r>
    </w:p>
    <w:p w14:paraId="2DACD8ED" w14:textId="666BBA4B" w:rsidR="00B60630" w:rsidRDefault="00B60630" w:rsidP="00B60630">
      <w:pPr>
        <w:pStyle w:val="AspexBodyStandard"/>
      </w:pPr>
      <w:r>
        <w:t xml:space="preserve">Findings from the published literature regarding the effectiveness of pharmacological therapies for a range of sexually </w:t>
      </w:r>
      <w:r w:rsidR="002F40B4" w:rsidRPr="0014785D">
        <w:t>transmi</w:t>
      </w:r>
      <w:r w:rsidR="002F40B4">
        <w:t>ssible</w:t>
      </w:r>
      <w:r w:rsidR="002F40B4" w:rsidRPr="0014785D">
        <w:t xml:space="preserve"> </w:t>
      </w:r>
      <w:r>
        <w:t>infections are summarised in</w:t>
      </w:r>
      <w:r w:rsidR="008C3FA8">
        <w:t xml:space="preserve"> </w:t>
      </w:r>
      <w:r w:rsidR="008C3FA8">
        <w:fldChar w:fldCharType="begin"/>
      </w:r>
      <w:r w:rsidR="008C3FA8">
        <w:instrText xml:space="preserve"> REF _Ref351129859 \h </w:instrText>
      </w:r>
      <w:r w:rsidR="008C3FA8">
        <w:fldChar w:fldCharType="separate"/>
      </w:r>
      <w:r w:rsidR="008E6665" w:rsidRPr="00C8389B">
        <w:t>Table</w:t>
      </w:r>
      <w:r w:rsidR="008E6665">
        <w:t xml:space="preserve"> </w:t>
      </w:r>
      <w:r w:rsidR="008E6665">
        <w:rPr>
          <w:noProof/>
        </w:rPr>
        <w:t>3</w:t>
      </w:r>
      <w:r w:rsidR="008E6665" w:rsidRPr="00D72A26">
        <w:noBreakHyphen/>
      </w:r>
      <w:r w:rsidR="008E6665">
        <w:rPr>
          <w:noProof/>
        </w:rPr>
        <w:t>1</w:t>
      </w:r>
      <w:r w:rsidR="008C3FA8">
        <w:fldChar w:fldCharType="end"/>
      </w:r>
      <w:r>
        <w:t xml:space="preserve">. </w:t>
      </w:r>
    </w:p>
    <w:p w14:paraId="2F9626F0" w14:textId="0E5F4540" w:rsidR="008C3FA8" w:rsidRDefault="008C3FA8" w:rsidP="008C3FA8">
      <w:pPr>
        <w:pStyle w:val="Caption"/>
      </w:pPr>
      <w:bookmarkStart w:id="66" w:name="_Ref351129859"/>
      <w:bookmarkStart w:id="67" w:name="_Toc301618125"/>
      <w:bookmarkStart w:id="68" w:name="_Toc304372357"/>
      <w:bookmarkStart w:id="69" w:name="_Toc304979603"/>
      <w:bookmarkStart w:id="70" w:name="_Toc308620254"/>
      <w:bookmarkStart w:id="71" w:name="_Toc351129880"/>
      <w:r w:rsidRPr="00C8389B">
        <w:t>Table</w:t>
      </w:r>
      <w:r>
        <w:t xml:space="preserve"> </w:t>
      </w:r>
      <w:r w:rsidR="008E6665">
        <w:fldChar w:fldCharType="begin"/>
      </w:r>
      <w:r w:rsidR="008E6665">
        <w:instrText xml:space="preserve"> STYLEREF 1 \s </w:instrText>
      </w:r>
      <w:r w:rsidR="008E6665">
        <w:fldChar w:fldCharType="separate"/>
      </w:r>
      <w:r w:rsidR="008E6665">
        <w:rPr>
          <w:noProof/>
        </w:rPr>
        <w:t>3</w:t>
      </w:r>
      <w:r w:rsidR="008E6665">
        <w:rPr>
          <w:noProof/>
        </w:rPr>
        <w:fldChar w:fldCharType="end"/>
      </w:r>
      <w:r w:rsidRPr="00D72A26">
        <w:noBreakHyphen/>
      </w:r>
      <w:r w:rsidR="008E6665">
        <w:fldChar w:fldCharType="begin"/>
      </w:r>
      <w:r w:rsidR="008E6665">
        <w:instrText xml:space="preserve"> SEQ Table \* ARABIC \s 1 </w:instrText>
      </w:r>
      <w:r w:rsidR="008E6665">
        <w:fldChar w:fldCharType="separate"/>
      </w:r>
      <w:r w:rsidR="008E6665">
        <w:rPr>
          <w:noProof/>
        </w:rPr>
        <w:t>1</w:t>
      </w:r>
      <w:r w:rsidR="008E6665">
        <w:rPr>
          <w:noProof/>
        </w:rPr>
        <w:fldChar w:fldCharType="end"/>
      </w:r>
      <w:bookmarkEnd w:id="66"/>
      <w:r>
        <w:rPr>
          <w:noProof/>
        </w:rPr>
        <w:t>:</w:t>
      </w:r>
      <w:r>
        <w:tab/>
      </w:r>
      <w:bookmarkEnd w:id="67"/>
      <w:bookmarkEnd w:id="68"/>
      <w:bookmarkEnd w:id="69"/>
      <w:bookmarkEnd w:id="70"/>
      <w:r>
        <w:t>Sexual Health</w:t>
      </w:r>
      <w:r w:rsidRPr="00C57AFB">
        <w:t xml:space="preserve"> Medicine Interventions proved to</w:t>
      </w:r>
      <w:r w:rsidR="00D07F5F">
        <w:t xml:space="preserve"> be</w:t>
      </w:r>
      <w:r w:rsidRPr="00C57AFB">
        <w:t xml:space="preserve"> beneficial/effective or </w:t>
      </w:r>
      <w:r>
        <w:tab/>
      </w:r>
      <w:r w:rsidRPr="00C57AFB">
        <w:t>likely to be beneficial/effective</w:t>
      </w:r>
      <w:bookmarkEnd w:id="71"/>
    </w:p>
    <w:tbl>
      <w:tblPr>
        <w:tblStyle w:val="AspexTable1"/>
        <w:tblW w:w="0" w:type="auto"/>
        <w:tblLook w:val="04A0" w:firstRow="1" w:lastRow="0" w:firstColumn="1" w:lastColumn="0" w:noHBand="0" w:noVBand="1"/>
        <w:tblCaption w:val="Table 3 1: Sexual Health Medicine Interventions proved to be beneficial/effective or  likely to be beneficial/effective"/>
      </w:tblPr>
      <w:tblGrid>
        <w:gridCol w:w="2203"/>
        <w:gridCol w:w="3347"/>
        <w:gridCol w:w="2374"/>
        <w:gridCol w:w="1055"/>
      </w:tblGrid>
      <w:tr w:rsidR="00B60630" w:rsidRPr="003D6FE7" w14:paraId="1981960B" w14:textId="77777777" w:rsidTr="0075009F">
        <w:trPr>
          <w:cnfStyle w:val="100000000000" w:firstRow="1" w:lastRow="0" w:firstColumn="0" w:lastColumn="0" w:oddVBand="0" w:evenVBand="0" w:oddHBand="0" w:evenHBand="0" w:firstRowFirstColumn="0" w:firstRowLastColumn="0" w:lastRowFirstColumn="0" w:lastRowLastColumn="0"/>
          <w:tblHeader/>
        </w:trPr>
        <w:tc>
          <w:tcPr>
            <w:tcW w:w="2203" w:type="dxa"/>
          </w:tcPr>
          <w:p w14:paraId="4814BD00" w14:textId="77777777" w:rsidR="00B60630" w:rsidRPr="00820A18" w:rsidRDefault="00B60630" w:rsidP="00B60630">
            <w:pPr>
              <w:pStyle w:val="AspexBullet1"/>
              <w:numPr>
                <w:ilvl w:val="0"/>
                <w:numId w:val="0"/>
              </w:numPr>
              <w:spacing w:beforeLines="0" w:before="144" w:afterLines="0" w:after="144"/>
              <w:jc w:val="center"/>
              <w:rPr>
                <w:rFonts w:ascii="Arial Narrow" w:hAnsi="Arial Narrow"/>
                <w:color w:val="FFFFFF" w:themeColor="background1"/>
                <w:sz w:val="20"/>
                <w:szCs w:val="20"/>
              </w:rPr>
            </w:pPr>
            <w:r w:rsidRPr="00820A18">
              <w:rPr>
                <w:rFonts w:ascii="Arial Narrow" w:hAnsi="Arial Narrow"/>
                <w:color w:val="FFFFFF" w:themeColor="background1"/>
                <w:sz w:val="20"/>
                <w:szCs w:val="20"/>
              </w:rPr>
              <w:t>CONDITION</w:t>
            </w:r>
          </w:p>
        </w:tc>
        <w:tc>
          <w:tcPr>
            <w:tcW w:w="3347" w:type="dxa"/>
          </w:tcPr>
          <w:p w14:paraId="5EA37E7E" w14:textId="77777777" w:rsidR="00B60630" w:rsidRPr="00820A18" w:rsidRDefault="00B60630" w:rsidP="00B60630">
            <w:pPr>
              <w:pStyle w:val="AspexBullet1"/>
              <w:numPr>
                <w:ilvl w:val="0"/>
                <w:numId w:val="0"/>
              </w:numPr>
              <w:spacing w:beforeLines="0" w:before="144" w:afterLines="0" w:after="144"/>
              <w:jc w:val="center"/>
              <w:rPr>
                <w:rFonts w:ascii="Arial Narrow" w:hAnsi="Arial Narrow"/>
                <w:color w:val="FFFFFF" w:themeColor="background1"/>
                <w:sz w:val="20"/>
                <w:szCs w:val="20"/>
              </w:rPr>
            </w:pPr>
            <w:r w:rsidRPr="00820A18">
              <w:rPr>
                <w:rFonts w:ascii="Arial Narrow" w:hAnsi="Arial Narrow"/>
                <w:color w:val="FFFFFF" w:themeColor="background1"/>
                <w:sz w:val="20"/>
                <w:szCs w:val="20"/>
              </w:rPr>
              <w:t>TREATMENT OR INTERVENTION</w:t>
            </w:r>
          </w:p>
        </w:tc>
        <w:tc>
          <w:tcPr>
            <w:tcW w:w="2374" w:type="dxa"/>
          </w:tcPr>
          <w:p w14:paraId="41388B47" w14:textId="77777777" w:rsidR="00B60630" w:rsidRPr="00820A18" w:rsidRDefault="00B60630" w:rsidP="00B60630">
            <w:pPr>
              <w:pStyle w:val="AspexBullet1"/>
              <w:numPr>
                <w:ilvl w:val="0"/>
                <w:numId w:val="0"/>
              </w:numPr>
              <w:spacing w:beforeLines="0" w:before="144" w:afterLines="0" w:after="144"/>
              <w:jc w:val="center"/>
              <w:rPr>
                <w:rFonts w:ascii="Arial Narrow" w:hAnsi="Arial Narrow"/>
                <w:color w:val="FFFFFF" w:themeColor="background1"/>
                <w:sz w:val="20"/>
                <w:szCs w:val="20"/>
              </w:rPr>
            </w:pPr>
            <w:r w:rsidRPr="00820A18">
              <w:rPr>
                <w:rFonts w:ascii="Arial Narrow" w:hAnsi="Arial Narrow"/>
                <w:color w:val="FFFFFF" w:themeColor="background1"/>
                <w:sz w:val="20"/>
                <w:szCs w:val="20"/>
              </w:rPr>
              <w:t>OUTCOME</w:t>
            </w:r>
          </w:p>
        </w:tc>
        <w:tc>
          <w:tcPr>
            <w:tcW w:w="1055" w:type="dxa"/>
          </w:tcPr>
          <w:p w14:paraId="31440506" w14:textId="77777777" w:rsidR="00B60630" w:rsidRPr="00820A18" w:rsidRDefault="00B60630" w:rsidP="00B60630">
            <w:pPr>
              <w:pStyle w:val="AspexBullet1"/>
              <w:numPr>
                <w:ilvl w:val="0"/>
                <w:numId w:val="0"/>
              </w:numPr>
              <w:spacing w:beforeLines="0" w:before="144" w:afterLines="0" w:after="144"/>
              <w:jc w:val="center"/>
              <w:rPr>
                <w:rFonts w:ascii="Arial Narrow" w:hAnsi="Arial Narrow"/>
                <w:color w:val="FFFFFF" w:themeColor="background1"/>
                <w:sz w:val="20"/>
                <w:szCs w:val="20"/>
              </w:rPr>
            </w:pPr>
            <w:r w:rsidRPr="00820A18">
              <w:rPr>
                <w:rFonts w:ascii="Arial Narrow" w:hAnsi="Arial Narrow"/>
                <w:color w:val="FFFFFF" w:themeColor="background1"/>
                <w:sz w:val="20"/>
                <w:szCs w:val="20"/>
              </w:rPr>
              <w:t>LEVEL OF EVIDENCE</w:t>
            </w:r>
          </w:p>
        </w:tc>
      </w:tr>
      <w:tr w:rsidR="0075009F" w:rsidRPr="003D6FE7" w14:paraId="256A3AE9" w14:textId="77777777" w:rsidTr="0075009F">
        <w:tc>
          <w:tcPr>
            <w:tcW w:w="2203" w:type="dxa"/>
            <w:tcBorders>
              <w:bottom w:val="single" w:sz="2" w:space="0" w:color="FFFFFF" w:themeColor="background1"/>
            </w:tcBorders>
          </w:tcPr>
          <w:p w14:paraId="5C7188E9" w14:textId="69C68343" w:rsidR="0075009F" w:rsidRPr="00F333A1" w:rsidRDefault="0075009F" w:rsidP="00B60630">
            <w:pPr>
              <w:pStyle w:val="AspexBullet1"/>
              <w:numPr>
                <w:ilvl w:val="0"/>
                <w:numId w:val="0"/>
              </w:numPr>
              <w:spacing w:before="0" w:after="0"/>
              <w:rPr>
                <w:rFonts w:ascii="Arial Narrow" w:hAnsi="Arial Narrow"/>
                <w:sz w:val="20"/>
              </w:rPr>
            </w:pPr>
            <w:r w:rsidRPr="00F333A1">
              <w:rPr>
                <w:rFonts w:ascii="Arial Narrow" w:hAnsi="Arial Narrow"/>
                <w:sz w:val="20"/>
              </w:rPr>
              <w:t>CHLAMYDIA</w:t>
            </w:r>
          </w:p>
        </w:tc>
        <w:tc>
          <w:tcPr>
            <w:tcW w:w="3347" w:type="dxa"/>
          </w:tcPr>
          <w:p w14:paraId="0A9E2CC9" w14:textId="503C6907" w:rsidR="0075009F" w:rsidRDefault="0075009F" w:rsidP="00B60630">
            <w:pPr>
              <w:pStyle w:val="AspexBullet1"/>
              <w:numPr>
                <w:ilvl w:val="0"/>
                <w:numId w:val="0"/>
              </w:numPr>
              <w:spacing w:before="0" w:after="0"/>
              <w:jc w:val="left"/>
              <w:rPr>
                <w:rFonts w:ascii="Arial Narrow" w:hAnsi="Arial Narrow"/>
                <w:sz w:val="18"/>
              </w:rPr>
            </w:pPr>
            <w:r>
              <w:rPr>
                <w:rFonts w:ascii="Arial Narrow" w:hAnsi="Arial Narrow"/>
                <w:sz w:val="18"/>
              </w:rPr>
              <w:t>Azithromycin</w:t>
            </w:r>
          </w:p>
        </w:tc>
        <w:tc>
          <w:tcPr>
            <w:tcW w:w="2374" w:type="dxa"/>
          </w:tcPr>
          <w:p w14:paraId="7128E233" w14:textId="389622AF" w:rsidR="0075009F" w:rsidRDefault="0075009F" w:rsidP="00B60630">
            <w:pPr>
              <w:pStyle w:val="AspexBullet1"/>
              <w:numPr>
                <w:ilvl w:val="0"/>
                <w:numId w:val="0"/>
              </w:numPr>
              <w:spacing w:before="0" w:after="0"/>
              <w:jc w:val="left"/>
              <w:rPr>
                <w:rFonts w:ascii="Arial Narrow" w:hAnsi="Arial Narrow"/>
                <w:sz w:val="18"/>
              </w:rPr>
            </w:pPr>
            <w:r>
              <w:rPr>
                <w:rFonts w:ascii="Arial Narrow" w:hAnsi="Arial Narrow"/>
                <w:sz w:val="18"/>
              </w:rPr>
              <w:t>97% cure rate</w:t>
            </w:r>
          </w:p>
        </w:tc>
        <w:tc>
          <w:tcPr>
            <w:tcW w:w="1055" w:type="dxa"/>
          </w:tcPr>
          <w:p w14:paraId="487AADCC" w14:textId="72BD780D" w:rsidR="0075009F" w:rsidRPr="003D6FE7" w:rsidRDefault="0075009F"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p>
        </w:tc>
      </w:tr>
      <w:tr w:rsidR="0075009F" w:rsidRPr="003D6FE7" w14:paraId="49C25D5F" w14:textId="77777777" w:rsidTr="0075009F">
        <w:tc>
          <w:tcPr>
            <w:tcW w:w="2203" w:type="dxa"/>
            <w:tcBorders>
              <w:top w:val="single" w:sz="2" w:space="0" w:color="FFFFFF" w:themeColor="background1"/>
              <w:bottom w:val="single" w:sz="2" w:space="0" w:color="FFFFFF" w:themeColor="background1"/>
            </w:tcBorders>
          </w:tcPr>
          <w:p w14:paraId="36A1328D" w14:textId="77777777" w:rsidR="0075009F" w:rsidRPr="00F333A1" w:rsidRDefault="0075009F" w:rsidP="00B60630">
            <w:pPr>
              <w:pStyle w:val="AspexBullet1"/>
              <w:numPr>
                <w:ilvl w:val="0"/>
                <w:numId w:val="0"/>
              </w:numPr>
              <w:spacing w:before="0" w:after="0"/>
              <w:rPr>
                <w:rFonts w:ascii="Arial Narrow" w:hAnsi="Arial Narrow"/>
                <w:sz w:val="20"/>
              </w:rPr>
            </w:pPr>
          </w:p>
        </w:tc>
        <w:tc>
          <w:tcPr>
            <w:tcW w:w="3347" w:type="dxa"/>
          </w:tcPr>
          <w:p w14:paraId="611D1673" w14:textId="69B37AD0" w:rsidR="0075009F" w:rsidRDefault="0075009F" w:rsidP="00B60630">
            <w:pPr>
              <w:pStyle w:val="AspexBullet1"/>
              <w:numPr>
                <w:ilvl w:val="0"/>
                <w:numId w:val="0"/>
              </w:numPr>
              <w:spacing w:before="0" w:after="0"/>
              <w:jc w:val="left"/>
              <w:rPr>
                <w:rFonts w:ascii="Arial Narrow" w:hAnsi="Arial Narrow"/>
                <w:sz w:val="18"/>
              </w:rPr>
            </w:pPr>
            <w:r>
              <w:rPr>
                <w:rFonts w:ascii="Arial Narrow" w:hAnsi="Arial Narrow"/>
                <w:sz w:val="18"/>
              </w:rPr>
              <w:t>Doxycycline</w:t>
            </w:r>
          </w:p>
        </w:tc>
        <w:tc>
          <w:tcPr>
            <w:tcW w:w="2374" w:type="dxa"/>
          </w:tcPr>
          <w:p w14:paraId="33F321B4" w14:textId="257B7394" w:rsidR="0075009F" w:rsidRDefault="0075009F" w:rsidP="00B60630">
            <w:pPr>
              <w:pStyle w:val="AspexBullet1"/>
              <w:numPr>
                <w:ilvl w:val="0"/>
                <w:numId w:val="0"/>
              </w:numPr>
              <w:spacing w:before="0" w:after="0"/>
              <w:jc w:val="left"/>
              <w:rPr>
                <w:rFonts w:ascii="Arial Narrow" w:hAnsi="Arial Narrow"/>
                <w:sz w:val="18"/>
              </w:rPr>
            </w:pPr>
            <w:r>
              <w:rPr>
                <w:rFonts w:ascii="Arial Narrow" w:hAnsi="Arial Narrow"/>
                <w:sz w:val="18"/>
              </w:rPr>
              <w:t>98% cure rate</w:t>
            </w:r>
          </w:p>
        </w:tc>
        <w:tc>
          <w:tcPr>
            <w:tcW w:w="1055" w:type="dxa"/>
          </w:tcPr>
          <w:p w14:paraId="1160CDC3" w14:textId="0C0DAB77" w:rsidR="0075009F" w:rsidRPr="003D6FE7" w:rsidRDefault="0075009F"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p>
        </w:tc>
      </w:tr>
      <w:tr w:rsidR="0075009F" w:rsidRPr="003D6FE7" w14:paraId="5B2624A4" w14:textId="77777777" w:rsidTr="0075009F">
        <w:tc>
          <w:tcPr>
            <w:tcW w:w="2203" w:type="dxa"/>
            <w:tcBorders>
              <w:top w:val="single" w:sz="2" w:space="0" w:color="FFFFFF" w:themeColor="background1"/>
              <w:bottom w:val="single" w:sz="2" w:space="0" w:color="FFFFFF" w:themeColor="background1"/>
            </w:tcBorders>
          </w:tcPr>
          <w:p w14:paraId="01FDE8CA" w14:textId="77777777" w:rsidR="0075009F" w:rsidRPr="00F333A1" w:rsidRDefault="0075009F" w:rsidP="00B60630">
            <w:pPr>
              <w:pStyle w:val="AspexBullet1"/>
              <w:numPr>
                <w:ilvl w:val="0"/>
                <w:numId w:val="0"/>
              </w:numPr>
              <w:spacing w:before="0" w:after="0"/>
              <w:rPr>
                <w:rFonts w:ascii="Arial Narrow" w:hAnsi="Arial Narrow"/>
                <w:sz w:val="20"/>
              </w:rPr>
            </w:pPr>
          </w:p>
        </w:tc>
        <w:tc>
          <w:tcPr>
            <w:tcW w:w="3347" w:type="dxa"/>
          </w:tcPr>
          <w:p w14:paraId="04D85086" w14:textId="0377BEA3" w:rsidR="0075009F" w:rsidRDefault="0075009F" w:rsidP="00B60630">
            <w:pPr>
              <w:pStyle w:val="AspexBullet1"/>
              <w:numPr>
                <w:ilvl w:val="0"/>
                <w:numId w:val="0"/>
              </w:numPr>
              <w:spacing w:before="0" w:after="0"/>
              <w:jc w:val="left"/>
              <w:rPr>
                <w:rFonts w:ascii="Arial Narrow" w:hAnsi="Arial Narrow"/>
                <w:sz w:val="18"/>
              </w:rPr>
            </w:pPr>
            <w:r>
              <w:rPr>
                <w:rFonts w:ascii="Arial Narrow" w:hAnsi="Arial Narrow"/>
                <w:sz w:val="18"/>
              </w:rPr>
              <w:t>Single-dose A</w:t>
            </w:r>
            <w:r w:rsidRPr="00AC063A">
              <w:rPr>
                <w:rFonts w:ascii="Arial Narrow" w:hAnsi="Arial Narrow"/>
                <w:sz w:val="18"/>
              </w:rPr>
              <w:t xml:space="preserve">zithromycin </w:t>
            </w:r>
            <w:r>
              <w:rPr>
                <w:rFonts w:ascii="Arial Narrow" w:hAnsi="Arial Narrow"/>
                <w:sz w:val="18"/>
              </w:rPr>
              <w:t>in non-pregnant women</w:t>
            </w:r>
          </w:p>
        </w:tc>
        <w:tc>
          <w:tcPr>
            <w:tcW w:w="2374" w:type="dxa"/>
          </w:tcPr>
          <w:p w14:paraId="7995CE90" w14:textId="23D934DB" w:rsidR="0075009F" w:rsidRDefault="0075009F" w:rsidP="00B60630">
            <w:pPr>
              <w:pStyle w:val="AspexBullet1"/>
              <w:numPr>
                <w:ilvl w:val="0"/>
                <w:numId w:val="0"/>
              </w:numPr>
              <w:spacing w:before="0" w:after="0"/>
              <w:jc w:val="left"/>
              <w:rPr>
                <w:rFonts w:ascii="Arial Narrow" w:hAnsi="Arial Narrow"/>
                <w:sz w:val="18"/>
              </w:rPr>
            </w:pPr>
            <w:r w:rsidRPr="0015444C">
              <w:rPr>
                <w:rFonts w:ascii="Arial Narrow" w:hAnsi="Arial Narrow"/>
                <w:sz w:val="18"/>
              </w:rPr>
              <w:t xml:space="preserve">95%  to 100% </w:t>
            </w:r>
            <w:r>
              <w:rPr>
                <w:rFonts w:ascii="Arial Narrow" w:hAnsi="Arial Narrow"/>
                <w:sz w:val="18"/>
              </w:rPr>
              <w:t>cure rate</w:t>
            </w:r>
          </w:p>
        </w:tc>
        <w:tc>
          <w:tcPr>
            <w:tcW w:w="1055" w:type="dxa"/>
          </w:tcPr>
          <w:p w14:paraId="03226FC2" w14:textId="5ECD6D87" w:rsidR="0075009F" w:rsidRPr="003D6FE7" w:rsidRDefault="0075009F"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p>
        </w:tc>
      </w:tr>
      <w:tr w:rsidR="0075009F" w:rsidRPr="003D6FE7" w14:paraId="6FD7A7F2" w14:textId="77777777" w:rsidTr="0075009F">
        <w:tc>
          <w:tcPr>
            <w:tcW w:w="2203" w:type="dxa"/>
            <w:tcBorders>
              <w:top w:val="single" w:sz="2" w:space="0" w:color="FFFFFF" w:themeColor="background1"/>
            </w:tcBorders>
          </w:tcPr>
          <w:p w14:paraId="081E4B4D" w14:textId="77777777" w:rsidR="0075009F" w:rsidRPr="00F333A1" w:rsidRDefault="0075009F" w:rsidP="00B60630">
            <w:pPr>
              <w:pStyle w:val="AspexBullet1"/>
              <w:numPr>
                <w:ilvl w:val="0"/>
                <w:numId w:val="0"/>
              </w:numPr>
              <w:spacing w:before="0" w:after="0"/>
              <w:rPr>
                <w:rFonts w:ascii="Arial Narrow" w:hAnsi="Arial Narrow"/>
                <w:sz w:val="20"/>
              </w:rPr>
            </w:pPr>
          </w:p>
        </w:tc>
        <w:tc>
          <w:tcPr>
            <w:tcW w:w="3347" w:type="dxa"/>
          </w:tcPr>
          <w:p w14:paraId="0D3B849E" w14:textId="09EFC82F" w:rsidR="0075009F" w:rsidRDefault="0075009F" w:rsidP="00B60630">
            <w:pPr>
              <w:pStyle w:val="AspexBullet1"/>
              <w:numPr>
                <w:ilvl w:val="0"/>
                <w:numId w:val="0"/>
              </w:numPr>
              <w:spacing w:before="0" w:after="0"/>
              <w:jc w:val="left"/>
              <w:rPr>
                <w:rFonts w:ascii="Arial Narrow" w:hAnsi="Arial Narrow"/>
                <w:sz w:val="18"/>
              </w:rPr>
            </w:pPr>
            <w:r w:rsidRPr="006E0ED6">
              <w:rPr>
                <w:rFonts w:ascii="Arial Narrow" w:hAnsi="Arial Narrow"/>
                <w:sz w:val="18"/>
              </w:rPr>
              <w:t>Oral doxycycline 200 mg/day for 7 days in non</w:t>
            </w:r>
            <w:r>
              <w:rPr>
                <w:rFonts w:ascii="Arial Narrow" w:hAnsi="Arial Narrow"/>
                <w:sz w:val="18"/>
              </w:rPr>
              <w:t>-</w:t>
            </w:r>
            <w:r w:rsidRPr="006E0ED6">
              <w:rPr>
                <w:rFonts w:ascii="Arial Narrow" w:hAnsi="Arial Narrow"/>
                <w:sz w:val="18"/>
              </w:rPr>
              <w:t>pregnant women.</w:t>
            </w:r>
          </w:p>
        </w:tc>
        <w:tc>
          <w:tcPr>
            <w:tcW w:w="2374" w:type="dxa"/>
          </w:tcPr>
          <w:p w14:paraId="3F5B6B5A" w14:textId="4EDF7B61" w:rsidR="0075009F" w:rsidRDefault="0075009F" w:rsidP="00B60630">
            <w:pPr>
              <w:pStyle w:val="AspexBullet1"/>
              <w:numPr>
                <w:ilvl w:val="0"/>
                <w:numId w:val="0"/>
              </w:numPr>
              <w:spacing w:before="0" w:after="0"/>
              <w:jc w:val="left"/>
              <w:rPr>
                <w:rFonts w:ascii="Arial Narrow" w:hAnsi="Arial Narrow"/>
                <w:sz w:val="18"/>
              </w:rPr>
            </w:pPr>
            <w:r w:rsidRPr="006E0ED6">
              <w:rPr>
                <w:rFonts w:ascii="Arial Narrow" w:hAnsi="Arial Narrow"/>
                <w:sz w:val="18"/>
              </w:rPr>
              <w:t>88% to 100% cure rate</w:t>
            </w:r>
          </w:p>
        </w:tc>
        <w:tc>
          <w:tcPr>
            <w:tcW w:w="1055" w:type="dxa"/>
          </w:tcPr>
          <w:p w14:paraId="31324040" w14:textId="6E8D1CF0" w:rsidR="0075009F" w:rsidRPr="003D6FE7" w:rsidRDefault="0075009F" w:rsidP="00B60630">
            <w:pPr>
              <w:pStyle w:val="AspexBullet1"/>
              <w:numPr>
                <w:ilvl w:val="0"/>
                <w:numId w:val="0"/>
              </w:numPr>
              <w:spacing w:before="0" w:after="0"/>
              <w:rPr>
                <w:rFonts w:ascii="Arial Narrow" w:hAnsi="Arial Narrow"/>
                <w:sz w:val="18"/>
              </w:rPr>
            </w:pPr>
            <w:r w:rsidRPr="003D6FE7">
              <w:rPr>
                <w:rFonts w:ascii="Arial Narrow" w:hAnsi="Arial Narrow"/>
                <w:sz w:val="18"/>
              </w:rPr>
              <w:t xml:space="preserve">Level </w:t>
            </w:r>
            <w:r>
              <w:rPr>
                <w:rFonts w:ascii="Arial Narrow" w:hAnsi="Arial Narrow"/>
                <w:sz w:val="18"/>
              </w:rPr>
              <w:t>I</w:t>
            </w:r>
          </w:p>
        </w:tc>
      </w:tr>
      <w:tr w:rsidR="00B60630" w:rsidRPr="003D6FE7" w14:paraId="73D7ADB3" w14:textId="77777777" w:rsidTr="000F7E5D">
        <w:tc>
          <w:tcPr>
            <w:tcW w:w="2203" w:type="dxa"/>
            <w:tcBorders>
              <w:bottom w:val="single" w:sz="2" w:space="0" w:color="000000"/>
            </w:tcBorders>
          </w:tcPr>
          <w:p w14:paraId="694E607B" w14:textId="77777777" w:rsidR="00B60630" w:rsidRPr="00F333A1" w:rsidRDefault="00B60630" w:rsidP="00B60630">
            <w:pPr>
              <w:pStyle w:val="AspexBullet1"/>
              <w:numPr>
                <w:ilvl w:val="0"/>
                <w:numId w:val="0"/>
              </w:numPr>
              <w:spacing w:before="0" w:after="0"/>
              <w:rPr>
                <w:rFonts w:ascii="Arial Narrow" w:hAnsi="Arial Narrow"/>
                <w:sz w:val="20"/>
              </w:rPr>
            </w:pPr>
            <w:r w:rsidRPr="00F333A1">
              <w:rPr>
                <w:rFonts w:ascii="Arial Narrow" w:hAnsi="Arial Narrow"/>
                <w:sz w:val="20"/>
              </w:rPr>
              <w:t>GONORRHOEA</w:t>
            </w:r>
          </w:p>
        </w:tc>
        <w:tc>
          <w:tcPr>
            <w:tcW w:w="3347" w:type="dxa"/>
          </w:tcPr>
          <w:p w14:paraId="7ED84ECF" w14:textId="77777777" w:rsidR="00B60630" w:rsidRPr="003D6FE7" w:rsidRDefault="00B60630" w:rsidP="00B60630">
            <w:pPr>
              <w:pStyle w:val="AspexBullet1"/>
              <w:numPr>
                <w:ilvl w:val="0"/>
                <w:numId w:val="0"/>
              </w:numPr>
              <w:spacing w:before="0" w:after="0"/>
              <w:jc w:val="left"/>
              <w:rPr>
                <w:rFonts w:ascii="Arial Narrow" w:hAnsi="Arial Narrow"/>
                <w:sz w:val="18"/>
              </w:rPr>
            </w:pPr>
            <w:r>
              <w:rPr>
                <w:rFonts w:ascii="Arial Narrow" w:hAnsi="Arial Narrow"/>
                <w:sz w:val="18"/>
              </w:rPr>
              <w:t>C</w:t>
            </w:r>
            <w:r w:rsidRPr="001415E2">
              <w:rPr>
                <w:rFonts w:ascii="Arial Narrow" w:hAnsi="Arial Narrow"/>
                <w:sz w:val="18"/>
              </w:rPr>
              <w:t>eftriaxone</w:t>
            </w:r>
          </w:p>
        </w:tc>
        <w:tc>
          <w:tcPr>
            <w:tcW w:w="2374" w:type="dxa"/>
          </w:tcPr>
          <w:p w14:paraId="4B544C44" w14:textId="77777777" w:rsidR="00B60630" w:rsidRPr="003D6FE7" w:rsidRDefault="00B60630" w:rsidP="00B60630">
            <w:pPr>
              <w:pStyle w:val="AspexBullet1"/>
              <w:numPr>
                <w:ilvl w:val="0"/>
                <w:numId w:val="0"/>
              </w:numPr>
              <w:spacing w:before="0" w:after="0"/>
              <w:jc w:val="left"/>
              <w:rPr>
                <w:rFonts w:ascii="Arial Narrow" w:hAnsi="Arial Narrow"/>
                <w:sz w:val="18"/>
              </w:rPr>
            </w:pPr>
            <w:r w:rsidRPr="006E0ED6">
              <w:rPr>
                <w:rFonts w:ascii="Arial Narrow" w:hAnsi="Arial Narrow"/>
                <w:sz w:val="18"/>
              </w:rPr>
              <w:t>88% cure rate</w:t>
            </w:r>
          </w:p>
        </w:tc>
        <w:tc>
          <w:tcPr>
            <w:tcW w:w="1055" w:type="dxa"/>
          </w:tcPr>
          <w:p w14:paraId="7BFEAA49" w14:textId="77777777" w:rsidR="00B60630" w:rsidRPr="003D6FE7" w:rsidRDefault="00B60630"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p>
        </w:tc>
      </w:tr>
      <w:tr w:rsidR="000F7E5D" w:rsidRPr="003D6FE7" w14:paraId="5B8A0F6B" w14:textId="77777777" w:rsidTr="000F7E5D">
        <w:tc>
          <w:tcPr>
            <w:tcW w:w="2203" w:type="dxa"/>
            <w:tcBorders>
              <w:bottom w:val="single" w:sz="2" w:space="0" w:color="FFFFFF" w:themeColor="background1"/>
            </w:tcBorders>
          </w:tcPr>
          <w:p w14:paraId="7C288435" w14:textId="01E7DB88" w:rsidR="000F7E5D" w:rsidRPr="00F333A1" w:rsidRDefault="000F7E5D" w:rsidP="00B60630">
            <w:pPr>
              <w:pStyle w:val="AspexBullet1"/>
              <w:numPr>
                <w:ilvl w:val="0"/>
                <w:numId w:val="0"/>
              </w:numPr>
              <w:spacing w:before="0" w:after="0"/>
              <w:rPr>
                <w:rFonts w:ascii="Arial Narrow" w:hAnsi="Arial Narrow"/>
                <w:sz w:val="20"/>
              </w:rPr>
            </w:pPr>
            <w:r w:rsidRPr="00F333A1">
              <w:rPr>
                <w:rFonts w:ascii="Arial Narrow" w:hAnsi="Arial Narrow"/>
                <w:sz w:val="20"/>
              </w:rPr>
              <w:t>SYPHILIS</w:t>
            </w:r>
          </w:p>
        </w:tc>
        <w:tc>
          <w:tcPr>
            <w:tcW w:w="3347" w:type="dxa"/>
          </w:tcPr>
          <w:p w14:paraId="3964CE01" w14:textId="690F5C2F" w:rsidR="000F7E5D" w:rsidRDefault="000F7E5D" w:rsidP="00B60630">
            <w:pPr>
              <w:pStyle w:val="AspexBullet1"/>
              <w:numPr>
                <w:ilvl w:val="0"/>
                <w:numId w:val="0"/>
              </w:numPr>
              <w:spacing w:before="0" w:after="0"/>
              <w:jc w:val="left"/>
              <w:rPr>
                <w:rFonts w:ascii="Arial Narrow" w:hAnsi="Arial Narrow"/>
                <w:sz w:val="18"/>
              </w:rPr>
            </w:pPr>
            <w:r w:rsidRPr="00A90DA2">
              <w:rPr>
                <w:rFonts w:ascii="Arial Narrow" w:hAnsi="Arial Narrow"/>
                <w:sz w:val="18"/>
              </w:rPr>
              <w:t>Azithromycin</w:t>
            </w:r>
          </w:p>
        </w:tc>
        <w:tc>
          <w:tcPr>
            <w:tcW w:w="2374" w:type="dxa"/>
          </w:tcPr>
          <w:p w14:paraId="6B3FD3A7" w14:textId="0D505DA8" w:rsidR="000F7E5D" w:rsidRPr="006E0ED6"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95</w:t>
            </w:r>
            <w:r w:rsidRPr="006E0ED6">
              <w:rPr>
                <w:rFonts w:ascii="Arial Narrow" w:hAnsi="Arial Narrow"/>
                <w:sz w:val="18"/>
              </w:rPr>
              <w:t>% cure rate</w:t>
            </w:r>
          </w:p>
        </w:tc>
        <w:tc>
          <w:tcPr>
            <w:tcW w:w="1055" w:type="dxa"/>
          </w:tcPr>
          <w:p w14:paraId="0AA79EF7" w14:textId="5F259CB1" w:rsidR="000F7E5D" w:rsidRPr="003D6FE7" w:rsidRDefault="000F7E5D"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p>
        </w:tc>
      </w:tr>
      <w:tr w:rsidR="000F7E5D" w:rsidRPr="003D6FE7" w14:paraId="53C1BCFD" w14:textId="77777777" w:rsidTr="000F7E5D">
        <w:tc>
          <w:tcPr>
            <w:tcW w:w="2203" w:type="dxa"/>
            <w:tcBorders>
              <w:top w:val="single" w:sz="2" w:space="0" w:color="FFFFFF" w:themeColor="background1"/>
            </w:tcBorders>
          </w:tcPr>
          <w:p w14:paraId="0FBDC453" w14:textId="77777777" w:rsidR="000F7E5D" w:rsidRPr="00F333A1" w:rsidRDefault="000F7E5D" w:rsidP="00B60630">
            <w:pPr>
              <w:pStyle w:val="AspexBullet1"/>
              <w:numPr>
                <w:ilvl w:val="0"/>
                <w:numId w:val="0"/>
              </w:numPr>
              <w:spacing w:before="0" w:after="0"/>
              <w:rPr>
                <w:rFonts w:ascii="Arial Narrow" w:hAnsi="Arial Narrow"/>
                <w:sz w:val="20"/>
              </w:rPr>
            </w:pPr>
          </w:p>
        </w:tc>
        <w:tc>
          <w:tcPr>
            <w:tcW w:w="3347" w:type="dxa"/>
          </w:tcPr>
          <w:p w14:paraId="7E2158D3" w14:textId="56FE8FC4" w:rsidR="000F7E5D" w:rsidRPr="00A90DA2" w:rsidRDefault="000F7E5D" w:rsidP="00B60630">
            <w:pPr>
              <w:pStyle w:val="AspexBullet1"/>
              <w:numPr>
                <w:ilvl w:val="0"/>
                <w:numId w:val="0"/>
              </w:numPr>
              <w:spacing w:before="0" w:after="0"/>
              <w:jc w:val="left"/>
              <w:rPr>
                <w:rFonts w:ascii="Arial Narrow" w:hAnsi="Arial Narrow"/>
                <w:sz w:val="18"/>
              </w:rPr>
            </w:pPr>
            <w:r w:rsidRPr="00A90DA2">
              <w:rPr>
                <w:rFonts w:ascii="Arial Narrow" w:hAnsi="Arial Narrow"/>
                <w:sz w:val="18"/>
              </w:rPr>
              <w:t>Penicillin G</w:t>
            </w:r>
          </w:p>
        </w:tc>
        <w:tc>
          <w:tcPr>
            <w:tcW w:w="2374" w:type="dxa"/>
          </w:tcPr>
          <w:p w14:paraId="60598B17" w14:textId="7EDE32C8"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84</w:t>
            </w:r>
            <w:r w:rsidRPr="006E0ED6">
              <w:rPr>
                <w:rFonts w:ascii="Arial Narrow" w:hAnsi="Arial Narrow"/>
                <w:sz w:val="18"/>
              </w:rPr>
              <w:t>% cure rate</w:t>
            </w:r>
          </w:p>
        </w:tc>
        <w:tc>
          <w:tcPr>
            <w:tcW w:w="1055" w:type="dxa"/>
          </w:tcPr>
          <w:p w14:paraId="6639D588" w14:textId="2D4F2808" w:rsidR="000F7E5D" w:rsidRPr="003D6FE7" w:rsidRDefault="000F7E5D"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p>
        </w:tc>
      </w:tr>
      <w:tr w:rsidR="000F7E5D" w:rsidRPr="003D6FE7" w14:paraId="4EB54542" w14:textId="77777777" w:rsidTr="008C3FA8">
        <w:tc>
          <w:tcPr>
            <w:tcW w:w="2203" w:type="dxa"/>
          </w:tcPr>
          <w:p w14:paraId="1540974F" w14:textId="77777777" w:rsidR="000F7E5D" w:rsidRPr="00660A23" w:rsidRDefault="000F7E5D" w:rsidP="00B60630">
            <w:pPr>
              <w:pStyle w:val="AspexBullet1"/>
              <w:numPr>
                <w:ilvl w:val="0"/>
                <w:numId w:val="0"/>
              </w:numPr>
              <w:spacing w:before="0" w:after="0"/>
              <w:jc w:val="left"/>
              <w:rPr>
                <w:rFonts w:ascii="Arial Narrow" w:hAnsi="Arial Narrow"/>
                <w:sz w:val="20"/>
              </w:rPr>
            </w:pPr>
            <w:r w:rsidRPr="00660A23">
              <w:rPr>
                <w:rFonts w:ascii="Arial Narrow" w:hAnsi="Arial Narrow"/>
                <w:sz w:val="20"/>
              </w:rPr>
              <w:t>HUMAN IMMUNODEFICIENCY VIRUS</w:t>
            </w:r>
          </w:p>
        </w:tc>
        <w:tc>
          <w:tcPr>
            <w:tcW w:w="3347" w:type="dxa"/>
          </w:tcPr>
          <w:p w14:paraId="69F97FB3" w14:textId="77777777" w:rsidR="000F7E5D" w:rsidRPr="003D6FE7" w:rsidRDefault="000F7E5D" w:rsidP="00B60630">
            <w:pPr>
              <w:pStyle w:val="AspexBullet1"/>
              <w:numPr>
                <w:ilvl w:val="0"/>
                <w:numId w:val="0"/>
              </w:numPr>
              <w:spacing w:before="0" w:after="0"/>
              <w:jc w:val="left"/>
              <w:rPr>
                <w:rFonts w:ascii="Arial Narrow" w:hAnsi="Arial Narrow"/>
                <w:sz w:val="18"/>
              </w:rPr>
            </w:pPr>
            <w:r w:rsidRPr="00F439C0">
              <w:rPr>
                <w:rFonts w:ascii="Arial Narrow" w:hAnsi="Arial Narrow"/>
                <w:sz w:val="18"/>
              </w:rPr>
              <w:t>HIV Integrase Inhibitors (e.g. Raltegrovir</w:t>
            </w:r>
            <w:r>
              <w:rPr>
                <w:rFonts w:ascii="Arial Narrow" w:hAnsi="Arial Narrow"/>
                <w:sz w:val="18"/>
              </w:rPr>
              <w:t>)</w:t>
            </w:r>
          </w:p>
        </w:tc>
        <w:tc>
          <w:tcPr>
            <w:tcW w:w="2374" w:type="dxa"/>
          </w:tcPr>
          <w:p w14:paraId="23A4D33D" w14:textId="77777777" w:rsidR="000F7E5D" w:rsidRPr="003D6FE7" w:rsidRDefault="000F7E5D" w:rsidP="00B60630">
            <w:pPr>
              <w:pStyle w:val="AspexBullet1"/>
              <w:numPr>
                <w:ilvl w:val="0"/>
                <w:numId w:val="0"/>
              </w:numPr>
              <w:spacing w:before="0" w:after="0"/>
              <w:jc w:val="left"/>
              <w:rPr>
                <w:rFonts w:ascii="Arial Narrow" w:hAnsi="Arial Narrow"/>
                <w:sz w:val="18"/>
              </w:rPr>
            </w:pPr>
            <w:r w:rsidRPr="0010752F">
              <w:rPr>
                <w:rFonts w:ascii="Arial Narrow" w:hAnsi="Arial Narrow"/>
                <w:sz w:val="18"/>
              </w:rPr>
              <w:t>Preferred drug in the setting of treatment-naive and as beneficial addition in treatment-experienced patients with virological failure, based on virological efficacy</w:t>
            </w:r>
          </w:p>
        </w:tc>
        <w:tc>
          <w:tcPr>
            <w:tcW w:w="1055" w:type="dxa"/>
          </w:tcPr>
          <w:p w14:paraId="0548A381" w14:textId="77777777" w:rsidR="000F7E5D" w:rsidRPr="003D6FE7" w:rsidRDefault="000F7E5D" w:rsidP="00B60630">
            <w:pPr>
              <w:pStyle w:val="AspexBullet1"/>
              <w:numPr>
                <w:ilvl w:val="0"/>
                <w:numId w:val="0"/>
              </w:numPr>
              <w:spacing w:before="0" w:after="0"/>
              <w:rPr>
                <w:rFonts w:ascii="Arial Narrow" w:hAnsi="Arial Narrow"/>
                <w:sz w:val="18"/>
              </w:rPr>
            </w:pPr>
            <w:r>
              <w:rPr>
                <w:rFonts w:ascii="Arial Narrow" w:hAnsi="Arial Narrow"/>
                <w:sz w:val="18"/>
              </w:rPr>
              <w:t>Level I</w:t>
            </w:r>
          </w:p>
        </w:tc>
      </w:tr>
      <w:tr w:rsidR="000F7E5D" w:rsidRPr="003D6FE7" w14:paraId="7503C389" w14:textId="77777777" w:rsidTr="008C3FA8">
        <w:tc>
          <w:tcPr>
            <w:tcW w:w="2203" w:type="dxa"/>
          </w:tcPr>
          <w:p w14:paraId="1B2ED410" w14:textId="77777777" w:rsidR="000F7E5D" w:rsidRPr="00660A23" w:rsidRDefault="000F7E5D" w:rsidP="00B60630">
            <w:pPr>
              <w:pStyle w:val="AspexBullet1"/>
              <w:numPr>
                <w:ilvl w:val="0"/>
                <w:numId w:val="0"/>
              </w:numPr>
              <w:spacing w:before="0" w:after="0"/>
              <w:jc w:val="left"/>
              <w:rPr>
                <w:rFonts w:ascii="Arial Narrow" w:hAnsi="Arial Narrow"/>
                <w:sz w:val="20"/>
              </w:rPr>
            </w:pPr>
            <w:r>
              <w:rPr>
                <w:rFonts w:ascii="Arial Narrow" w:hAnsi="Arial Narrow"/>
                <w:sz w:val="20"/>
              </w:rPr>
              <w:t>HEPATITIS B / C</w:t>
            </w:r>
          </w:p>
        </w:tc>
        <w:tc>
          <w:tcPr>
            <w:tcW w:w="3347" w:type="dxa"/>
          </w:tcPr>
          <w:p w14:paraId="6E8A308B" w14:textId="77777777" w:rsidR="000F7E5D" w:rsidRPr="003D6FE7"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Entecavir (vs Lamivudine)</w:t>
            </w:r>
          </w:p>
        </w:tc>
        <w:tc>
          <w:tcPr>
            <w:tcW w:w="2374" w:type="dxa"/>
          </w:tcPr>
          <w:p w14:paraId="46753051" w14:textId="77777777" w:rsidR="000F7E5D" w:rsidRPr="007F5B0E"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S</w:t>
            </w:r>
            <w:r w:rsidRPr="007F5B0E">
              <w:rPr>
                <w:rFonts w:ascii="Arial Narrow" w:hAnsi="Arial Narrow"/>
                <w:sz w:val="18"/>
              </w:rPr>
              <w:t>ignificantly improved liver histology</w:t>
            </w:r>
          </w:p>
          <w:p w14:paraId="18CB7BF4" w14:textId="77777777" w:rsidR="000F7E5D" w:rsidRPr="007F5B0E"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S</w:t>
            </w:r>
            <w:r w:rsidRPr="007F5B0E">
              <w:rPr>
                <w:rFonts w:ascii="Arial Narrow" w:hAnsi="Arial Narrow"/>
                <w:sz w:val="18"/>
              </w:rPr>
              <w:t>ignificantly greater</w:t>
            </w:r>
          </w:p>
          <w:p w14:paraId="515F0207" w14:textId="77777777" w:rsidR="000F7E5D" w:rsidRPr="007F5B0E" w:rsidRDefault="000F7E5D" w:rsidP="00B60630">
            <w:pPr>
              <w:pStyle w:val="AspexBullet1"/>
              <w:numPr>
                <w:ilvl w:val="0"/>
                <w:numId w:val="0"/>
              </w:numPr>
              <w:spacing w:before="0" w:after="0"/>
              <w:jc w:val="left"/>
              <w:rPr>
                <w:rFonts w:ascii="Arial Narrow" w:hAnsi="Arial Narrow"/>
                <w:sz w:val="18"/>
              </w:rPr>
            </w:pPr>
            <w:r w:rsidRPr="007F5B0E">
              <w:rPr>
                <w:rFonts w:ascii="Arial Narrow" w:hAnsi="Arial Narrow"/>
                <w:sz w:val="18"/>
              </w:rPr>
              <w:t xml:space="preserve">HBV-DNA loss </w:t>
            </w:r>
          </w:p>
          <w:p w14:paraId="44DD9DD6" w14:textId="77777777" w:rsidR="000F7E5D" w:rsidRPr="003D6FE7" w:rsidRDefault="000F7E5D" w:rsidP="00B60630">
            <w:pPr>
              <w:pStyle w:val="AspexBullet1"/>
              <w:numPr>
                <w:ilvl w:val="0"/>
                <w:numId w:val="0"/>
              </w:numPr>
              <w:spacing w:before="0" w:after="0"/>
              <w:jc w:val="left"/>
              <w:rPr>
                <w:rFonts w:ascii="Arial Narrow" w:hAnsi="Arial Narrow"/>
                <w:sz w:val="18"/>
              </w:rPr>
            </w:pPr>
            <w:r w:rsidRPr="007F5B0E">
              <w:rPr>
                <w:rFonts w:ascii="Arial Narrow" w:hAnsi="Arial Narrow"/>
                <w:sz w:val="18"/>
              </w:rPr>
              <w:t>Significantly better ALT levels</w:t>
            </w:r>
          </w:p>
        </w:tc>
        <w:tc>
          <w:tcPr>
            <w:tcW w:w="1055" w:type="dxa"/>
          </w:tcPr>
          <w:p w14:paraId="04FCE5AD" w14:textId="77777777" w:rsidR="000F7E5D" w:rsidRPr="003D6FE7" w:rsidRDefault="000F7E5D" w:rsidP="00B60630">
            <w:pPr>
              <w:pStyle w:val="AspexBullet1"/>
              <w:numPr>
                <w:ilvl w:val="0"/>
                <w:numId w:val="0"/>
              </w:numPr>
              <w:spacing w:before="0" w:after="0"/>
              <w:rPr>
                <w:rFonts w:ascii="Arial Narrow" w:hAnsi="Arial Narrow"/>
                <w:sz w:val="18"/>
              </w:rPr>
            </w:pPr>
            <w:r>
              <w:rPr>
                <w:rFonts w:ascii="Arial Narrow" w:hAnsi="Arial Narrow"/>
                <w:sz w:val="18"/>
              </w:rPr>
              <w:t>Level I</w:t>
            </w:r>
          </w:p>
        </w:tc>
      </w:tr>
      <w:tr w:rsidR="000F7E5D" w:rsidRPr="003D6FE7" w14:paraId="044EC723" w14:textId="77777777" w:rsidTr="008C3FA8">
        <w:tc>
          <w:tcPr>
            <w:tcW w:w="2203" w:type="dxa"/>
          </w:tcPr>
          <w:p w14:paraId="2C71469F" w14:textId="77777777" w:rsidR="000F7E5D" w:rsidRDefault="000F7E5D" w:rsidP="00B60630">
            <w:pPr>
              <w:pStyle w:val="AspexBullet1"/>
              <w:numPr>
                <w:ilvl w:val="0"/>
                <w:numId w:val="0"/>
              </w:numPr>
              <w:spacing w:before="0" w:after="0"/>
              <w:jc w:val="left"/>
              <w:rPr>
                <w:rFonts w:ascii="Arial Narrow" w:hAnsi="Arial Narrow"/>
                <w:sz w:val="20"/>
              </w:rPr>
            </w:pPr>
          </w:p>
        </w:tc>
        <w:tc>
          <w:tcPr>
            <w:tcW w:w="3347" w:type="dxa"/>
          </w:tcPr>
          <w:p w14:paraId="10AF1250" w14:textId="77777777" w:rsidR="000F7E5D" w:rsidRDefault="000F7E5D" w:rsidP="00B60630">
            <w:pPr>
              <w:pStyle w:val="AspexBullet1"/>
              <w:numPr>
                <w:ilvl w:val="0"/>
                <w:numId w:val="0"/>
              </w:numPr>
              <w:spacing w:before="0" w:after="0"/>
              <w:jc w:val="left"/>
              <w:rPr>
                <w:rFonts w:ascii="Arial Narrow" w:hAnsi="Arial Narrow"/>
                <w:sz w:val="18"/>
              </w:rPr>
            </w:pPr>
            <w:r w:rsidRPr="00721A34">
              <w:rPr>
                <w:rFonts w:ascii="Arial Narrow" w:hAnsi="Arial Narrow"/>
                <w:sz w:val="18"/>
              </w:rPr>
              <w:t>Tenofevir (vs lamivudine, pegylated interferon, adefovir, entecavir, and telbivudine)</w:t>
            </w:r>
          </w:p>
        </w:tc>
        <w:tc>
          <w:tcPr>
            <w:tcW w:w="2374" w:type="dxa"/>
          </w:tcPr>
          <w:p w14:paraId="275E44A8"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Most effective in reducing HBV-DNA</w:t>
            </w:r>
          </w:p>
          <w:p w14:paraId="667CA058"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Most effective in normalising ALT levels</w:t>
            </w:r>
          </w:p>
          <w:p w14:paraId="56203C77"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Most effective in HBeAg seroconversion</w:t>
            </w:r>
          </w:p>
          <w:p w14:paraId="2DBC7BAC"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 xml:space="preserve">Most effective in hepatitis B </w:t>
            </w:r>
            <w:r w:rsidRPr="00721A34">
              <w:rPr>
                <w:rFonts w:ascii="Arial Narrow" w:hAnsi="Arial Narrow"/>
                <w:sz w:val="18"/>
              </w:rPr>
              <w:t>surface antigen loss</w:t>
            </w:r>
          </w:p>
        </w:tc>
        <w:tc>
          <w:tcPr>
            <w:tcW w:w="1055" w:type="dxa"/>
          </w:tcPr>
          <w:p w14:paraId="32E1322D" w14:textId="77777777" w:rsidR="000F7E5D" w:rsidRPr="003D6FE7" w:rsidRDefault="000F7E5D" w:rsidP="00B60630">
            <w:pPr>
              <w:pStyle w:val="AspexBullet1"/>
              <w:numPr>
                <w:ilvl w:val="0"/>
                <w:numId w:val="0"/>
              </w:numPr>
              <w:spacing w:before="0" w:after="0"/>
              <w:rPr>
                <w:rFonts w:ascii="Arial Narrow" w:hAnsi="Arial Narrow"/>
                <w:sz w:val="18"/>
              </w:rPr>
            </w:pPr>
            <w:r>
              <w:rPr>
                <w:rFonts w:ascii="Arial Narrow" w:hAnsi="Arial Narrow"/>
                <w:sz w:val="18"/>
              </w:rPr>
              <w:t>Level I</w:t>
            </w:r>
          </w:p>
        </w:tc>
      </w:tr>
      <w:tr w:rsidR="000F7E5D" w:rsidRPr="003D6FE7" w14:paraId="245D8045" w14:textId="77777777" w:rsidTr="00D927D0">
        <w:tc>
          <w:tcPr>
            <w:tcW w:w="2203" w:type="dxa"/>
            <w:tcBorders>
              <w:bottom w:val="single" w:sz="2" w:space="0" w:color="000000"/>
            </w:tcBorders>
          </w:tcPr>
          <w:p w14:paraId="5D3A3493" w14:textId="77777777" w:rsidR="000F7E5D" w:rsidRDefault="000F7E5D" w:rsidP="00B60630">
            <w:pPr>
              <w:pStyle w:val="AspexBullet1"/>
              <w:numPr>
                <w:ilvl w:val="0"/>
                <w:numId w:val="0"/>
              </w:numPr>
              <w:spacing w:before="0" w:after="0"/>
              <w:jc w:val="left"/>
              <w:rPr>
                <w:rFonts w:ascii="Arial Narrow" w:hAnsi="Arial Narrow"/>
                <w:sz w:val="20"/>
              </w:rPr>
            </w:pPr>
          </w:p>
        </w:tc>
        <w:tc>
          <w:tcPr>
            <w:tcW w:w="3347" w:type="dxa"/>
          </w:tcPr>
          <w:p w14:paraId="1CFFC159" w14:textId="77777777" w:rsidR="000F7E5D" w:rsidRDefault="000F7E5D" w:rsidP="00B60630">
            <w:pPr>
              <w:pStyle w:val="AspexBullet1"/>
              <w:numPr>
                <w:ilvl w:val="0"/>
                <w:numId w:val="0"/>
              </w:numPr>
              <w:spacing w:before="0" w:after="0"/>
              <w:jc w:val="left"/>
              <w:rPr>
                <w:rFonts w:ascii="Arial Narrow" w:hAnsi="Arial Narrow"/>
                <w:sz w:val="18"/>
              </w:rPr>
            </w:pPr>
            <w:r w:rsidRPr="00721A34">
              <w:rPr>
                <w:rFonts w:ascii="Arial Narrow" w:hAnsi="Arial Narrow"/>
                <w:sz w:val="18"/>
              </w:rPr>
              <w:t>Entecavir (vs lamivudine, pegylated interferon, adefovir, telbivudine, and tenofovir)</w:t>
            </w:r>
          </w:p>
        </w:tc>
        <w:tc>
          <w:tcPr>
            <w:tcW w:w="2374" w:type="dxa"/>
          </w:tcPr>
          <w:p w14:paraId="1AA933EC"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 xml:space="preserve">Most effective in </w:t>
            </w:r>
            <w:r w:rsidRPr="00721A34">
              <w:rPr>
                <w:rFonts w:ascii="Arial Narrow" w:hAnsi="Arial Narrow"/>
                <w:sz w:val="18"/>
              </w:rPr>
              <w:t>improving liver histology</w:t>
            </w:r>
          </w:p>
          <w:p w14:paraId="6839AE3D"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Second most effective in reducing HBV-DNA</w:t>
            </w:r>
          </w:p>
          <w:p w14:paraId="0D6BE41C" w14:textId="77777777" w:rsidR="000F7E5D" w:rsidRDefault="000F7E5D" w:rsidP="00B60630">
            <w:pPr>
              <w:pStyle w:val="AspexBullet1"/>
              <w:numPr>
                <w:ilvl w:val="0"/>
                <w:numId w:val="0"/>
              </w:numPr>
              <w:spacing w:before="0" w:after="0"/>
              <w:jc w:val="left"/>
              <w:rPr>
                <w:rFonts w:ascii="Arial Narrow" w:hAnsi="Arial Narrow"/>
                <w:sz w:val="18"/>
              </w:rPr>
            </w:pPr>
            <w:r>
              <w:rPr>
                <w:rFonts w:ascii="Arial Narrow" w:hAnsi="Arial Narrow"/>
                <w:sz w:val="18"/>
              </w:rPr>
              <w:t xml:space="preserve">Second most effective in </w:t>
            </w:r>
            <w:r>
              <w:rPr>
                <w:rFonts w:ascii="Arial Narrow" w:hAnsi="Arial Narrow"/>
                <w:sz w:val="18"/>
              </w:rPr>
              <w:lastRenderedPageBreak/>
              <w:t>normalising ALT levels</w:t>
            </w:r>
          </w:p>
          <w:p w14:paraId="07DE3B45" w14:textId="77777777" w:rsidR="00D927D0" w:rsidRDefault="00D927D0" w:rsidP="00B60630">
            <w:pPr>
              <w:pStyle w:val="AspexBullet1"/>
              <w:numPr>
                <w:ilvl w:val="0"/>
                <w:numId w:val="0"/>
              </w:numPr>
              <w:spacing w:before="0" w:after="0"/>
              <w:jc w:val="left"/>
              <w:rPr>
                <w:rFonts w:ascii="Arial Narrow" w:hAnsi="Arial Narrow"/>
                <w:sz w:val="18"/>
              </w:rPr>
            </w:pPr>
          </w:p>
        </w:tc>
        <w:tc>
          <w:tcPr>
            <w:tcW w:w="1055" w:type="dxa"/>
          </w:tcPr>
          <w:p w14:paraId="73948920" w14:textId="77777777" w:rsidR="000F7E5D" w:rsidRPr="003D6FE7" w:rsidRDefault="000F7E5D" w:rsidP="00B60630">
            <w:pPr>
              <w:pStyle w:val="AspexBullet1"/>
              <w:numPr>
                <w:ilvl w:val="0"/>
                <w:numId w:val="0"/>
              </w:numPr>
              <w:spacing w:before="0" w:after="0"/>
              <w:rPr>
                <w:rFonts w:ascii="Arial Narrow" w:hAnsi="Arial Narrow"/>
                <w:sz w:val="18"/>
              </w:rPr>
            </w:pPr>
            <w:r>
              <w:rPr>
                <w:rFonts w:ascii="Arial Narrow" w:hAnsi="Arial Narrow"/>
                <w:sz w:val="18"/>
              </w:rPr>
              <w:lastRenderedPageBreak/>
              <w:t>Level I</w:t>
            </w:r>
          </w:p>
        </w:tc>
      </w:tr>
      <w:tr w:rsidR="00D927D0" w:rsidRPr="003D6FE7" w14:paraId="7FF5E767" w14:textId="77777777" w:rsidTr="00D927D0">
        <w:tc>
          <w:tcPr>
            <w:tcW w:w="2203" w:type="dxa"/>
            <w:tcBorders>
              <w:bottom w:val="single" w:sz="2" w:space="0" w:color="FFFFFF" w:themeColor="background1"/>
            </w:tcBorders>
          </w:tcPr>
          <w:p w14:paraId="1529F6C6" w14:textId="71FC05B4" w:rsidR="00D927D0" w:rsidRDefault="00D927D0" w:rsidP="00B60630">
            <w:pPr>
              <w:pStyle w:val="AspexBullet1"/>
              <w:numPr>
                <w:ilvl w:val="0"/>
                <w:numId w:val="0"/>
              </w:numPr>
              <w:spacing w:before="0" w:after="0"/>
              <w:jc w:val="left"/>
              <w:rPr>
                <w:rFonts w:ascii="Arial Narrow" w:hAnsi="Arial Narrow"/>
                <w:sz w:val="20"/>
              </w:rPr>
            </w:pPr>
            <w:r w:rsidRPr="00660A23">
              <w:rPr>
                <w:rFonts w:ascii="Arial Narrow" w:hAnsi="Arial Narrow"/>
                <w:sz w:val="20"/>
              </w:rPr>
              <w:lastRenderedPageBreak/>
              <w:t>HUMAN PAPILLOMA VIRUS</w:t>
            </w:r>
            <w:r>
              <w:rPr>
                <w:rFonts w:ascii="Arial Narrow" w:hAnsi="Arial Narrow"/>
                <w:sz w:val="20"/>
              </w:rPr>
              <w:t xml:space="preserve"> (</w:t>
            </w:r>
            <w:r w:rsidRPr="00E4103C">
              <w:rPr>
                <w:rFonts w:ascii="Arial Narrow" w:hAnsi="Arial Narrow"/>
                <w:sz w:val="20"/>
              </w:rPr>
              <w:t>condylomata acuminata)</w:t>
            </w:r>
          </w:p>
        </w:tc>
        <w:tc>
          <w:tcPr>
            <w:tcW w:w="3347" w:type="dxa"/>
          </w:tcPr>
          <w:p w14:paraId="05ECD264" w14:textId="2B1863C1" w:rsidR="00D927D0" w:rsidRPr="00721A34" w:rsidRDefault="00D927D0" w:rsidP="00B60630">
            <w:pPr>
              <w:pStyle w:val="AspexBullet1"/>
              <w:numPr>
                <w:ilvl w:val="0"/>
                <w:numId w:val="0"/>
              </w:numPr>
              <w:spacing w:before="0" w:after="0"/>
              <w:jc w:val="left"/>
              <w:rPr>
                <w:rFonts w:ascii="Arial Narrow" w:hAnsi="Arial Narrow"/>
                <w:sz w:val="18"/>
              </w:rPr>
            </w:pPr>
            <w:r w:rsidRPr="00E4103C">
              <w:rPr>
                <w:rFonts w:ascii="Arial Narrow" w:hAnsi="Arial Narrow"/>
                <w:bCs/>
                <w:sz w:val="18"/>
              </w:rPr>
              <w:t>Podophyllotoxin</w:t>
            </w:r>
          </w:p>
        </w:tc>
        <w:tc>
          <w:tcPr>
            <w:tcW w:w="2374" w:type="dxa"/>
          </w:tcPr>
          <w:p w14:paraId="694FEC3D" w14:textId="61B7A353" w:rsidR="00D927D0"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45% to 77% successful clearance rate; 38% recurrence rate</w:t>
            </w:r>
          </w:p>
        </w:tc>
        <w:tc>
          <w:tcPr>
            <w:tcW w:w="1055" w:type="dxa"/>
          </w:tcPr>
          <w:p w14:paraId="3A26DCEB" w14:textId="5D019A8A" w:rsidR="00D927D0" w:rsidRDefault="00D927D0"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r>
              <w:rPr>
                <w:rFonts w:ascii="Arial Narrow" w:hAnsi="Arial Narrow"/>
                <w:sz w:val="18"/>
              </w:rPr>
              <w:t>I</w:t>
            </w:r>
          </w:p>
        </w:tc>
      </w:tr>
      <w:tr w:rsidR="00D927D0" w:rsidRPr="003D6FE7" w14:paraId="19AE964A" w14:textId="77777777" w:rsidTr="00D927D0">
        <w:tc>
          <w:tcPr>
            <w:tcW w:w="2203" w:type="dxa"/>
            <w:tcBorders>
              <w:top w:val="single" w:sz="2" w:space="0" w:color="FFFFFF" w:themeColor="background1"/>
              <w:bottom w:val="single" w:sz="2" w:space="0" w:color="FFFFFF" w:themeColor="background1"/>
            </w:tcBorders>
          </w:tcPr>
          <w:p w14:paraId="01CD4A81" w14:textId="77777777" w:rsidR="00D927D0" w:rsidRDefault="00D927D0" w:rsidP="00B60630">
            <w:pPr>
              <w:pStyle w:val="AspexBullet1"/>
              <w:numPr>
                <w:ilvl w:val="0"/>
                <w:numId w:val="0"/>
              </w:numPr>
              <w:spacing w:before="0" w:after="0"/>
              <w:jc w:val="left"/>
              <w:rPr>
                <w:rFonts w:ascii="Arial Narrow" w:hAnsi="Arial Narrow"/>
                <w:sz w:val="20"/>
              </w:rPr>
            </w:pPr>
          </w:p>
        </w:tc>
        <w:tc>
          <w:tcPr>
            <w:tcW w:w="3347" w:type="dxa"/>
          </w:tcPr>
          <w:p w14:paraId="3BAFECD0" w14:textId="202ED576" w:rsidR="00D927D0" w:rsidRPr="00721A34" w:rsidRDefault="00D927D0" w:rsidP="00B60630">
            <w:pPr>
              <w:pStyle w:val="AspexBullet1"/>
              <w:numPr>
                <w:ilvl w:val="0"/>
                <w:numId w:val="0"/>
              </w:numPr>
              <w:spacing w:before="0" w:after="0"/>
              <w:jc w:val="left"/>
              <w:rPr>
                <w:rFonts w:ascii="Arial Narrow" w:hAnsi="Arial Narrow"/>
                <w:sz w:val="18"/>
              </w:rPr>
            </w:pPr>
            <w:r w:rsidRPr="00E4103C">
              <w:rPr>
                <w:rFonts w:ascii="Arial Narrow" w:hAnsi="Arial Narrow"/>
                <w:bCs/>
                <w:sz w:val="18"/>
              </w:rPr>
              <w:t>Imiquimod (imidazoquinolinamine) 5% cream</w:t>
            </w:r>
          </w:p>
        </w:tc>
        <w:tc>
          <w:tcPr>
            <w:tcW w:w="2374" w:type="dxa"/>
          </w:tcPr>
          <w:p w14:paraId="671CB903" w14:textId="3FBFCC56" w:rsidR="00D927D0"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40% to 77% successful clearance rate; 13% recurrence rate</w:t>
            </w:r>
          </w:p>
        </w:tc>
        <w:tc>
          <w:tcPr>
            <w:tcW w:w="1055" w:type="dxa"/>
          </w:tcPr>
          <w:p w14:paraId="53F28394" w14:textId="3C0EC91F" w:rsidR="00D927D0" w:rsidRDefault="00D927D0"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r>
              <w:rPr>
                <w:rFonts w:ascii="Arial Narrow" w:hAnsi="Arial Narrow"/>
                <w:sz w:val="18"/>
              </w:rPr>
              <w:t>I</w:t>
            </w:r>
          </w:p>
        </w:tc>
      </w:tr>
      <w:tr w:rsidR="00D927D0" w:rsidRPr="003D6FE7" w14:paraId="6A8F6891" w14:textId="77777777" w:rsidTr="00D927D0">
        <w:tc>
          <w:tcPr>
            <w:tcW w:w="2203" w:type="dxa"/>
            <w:tcBorders>
              <w:top w:val="single" w:sz="2" w:space="0" w:color="FFFFFF" w:themeColor="background1"/>
              <w:bottom w:val="single" w:sz="2" w:space="0" w:color="FFFFFF" w:themeColor="background1"/>
            </w:tcBorders>
          </w:tcPr>
          <w:p w14:paraId="24847BC2" w14:textId="77777777" w:rsidR="00D927D0" w:rsidRDefault="00D927D0" w:rsidP="00B60630">
            <w:pPr>
              <w:pStyle w:val="AspexBullet1"/>
              <w:numPr>
                <w:ilvl w:val="0"/>
                <w:numId w:val="0"/>
              </w:numPr>
              <w:spacing w:before="0" w:after="0"/>
              <w:jc w:val="left"/>
              <w:rPr>
                <w:rFonts w:ascii="Arial Narrow" w:hAnsi="Arial Narrow"/>
                <w:sz w:val="20"/>
              </w:rPr>
            </w:pPr>
          </w:p>
        </w:tc>
        <w:tc>
          <w:tcPr>
            <w:tcW w:w="3347" w:type="dxa"/>
          </w:tcPr>
          <w:p w14:paraId="098C8E22" w14:textId="41F2513B" w:rsidR="00D927D0" w:rsidRPr="00721A34" w:rsidRDefault="00D927D0" w:rsidP="00B60630">
            <w:pPr>
              <w:pStyle w:val="AspexBullet1"/>
              <w:numPr>
                <w:ilvl w:val="0"/>
                <w:numId w:val="0"/>
              </w:numPr>
              <w:spacing w:before="0" w:after="0"/>
              <w:jc w:val="left"/>
              <w:rPr>
                <w:rFonts w:ascii="Arial Narrow" w:hAnsi="Arial Narrow"/>
                <w:sz w:val="18"/>
              </w:rPr>
            </w:pPr>
            <w:r w:rsidRPr="008B3E91">
              <w:rPr>
                <w:rFonts w:ascii="Arial Narrow" w:hAnsi="Arial Narrow"/>
                <w:bCs/>
                <w:sz w:val="18"/>
              </w:rPr>
              <w:t>Sinecatechins</w:t>
            </w:r>
          </w:p>
        </w:tc>
        <w:tc>
          <w:tcPr>
            <w:tcW w:w="2374" w:type="dxa"/>
          </w:tcPr>
          <w:p w14:paraId="70355ADB" w14:textId="08231D61" w:rsidR="00D927D0"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58% successful clearance rate; 9% recurrence rate</w:t>
            </w:r>
          </w:p>
        </w:tc>
        <w:tc>
          <w:tcPr>
            <w:tcW w:w="1055" w:type="dxa"/>
          </w:tcPr>
          <w:p w14:paraId="49EB7FB7" w14:textId="462AB6A7" w:rsidR="00D927D0" w:rsidRDefault="00D927D0"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r>
              <w:rPr>
                <w:rFonts w:ascii="Arial Narrow" w:hAnsi="Arial Narrow"/>
                <w:sz w:val="18"/>
              </w:rPr>
              <w:t>I</w:t>
            </w:r>
          </w:p>
        </w:tc>
      </w:tr>
      <w:tr w:rsidR="00D927D0" w:rsidRPr="003D6FE7" w14:paraId="42BE4C54" w14:textId="77777777" w:rsidTr="00D927D0">
        <w:tc>
          <w:tcPr>
            <w:tcW w:w="2203" w:type="dxa"/>
            <w:tcBorders>
              <w:top w:val="single" w:sz="2" w:space="0" w:color="FFFFFF" w:themeColor="background1"/>
              <w:bottom w:val="single" w:sz="2" w:space="0" w:color="FFFFFF" w:themeColor="background1"/>
            </w:tcBorders>
          </w:tcPr>
          <w:p w14:paraId="693610ED" w14:textId="77777777" w:rsidR="00D927D0" w:rsidRDefault="00D927D0" w:rsidP="00B60630">
            <w:pPr>
              <w:pStyle w:val="AspexBullet1"/>
              <w:numPr>
                <w:ilvl w:val="0"/>
                <w:numId w:val="0"/>
              </w:numPr>
              <w:spacing w:before="0" w:after="0"/>
              <w:jc w:val="left"/>
              <w:rPr>
                <w:rFonts w:ascii="Arial Narrow" w:hAnsi="Arial Narrow"/>
                <w:sz w:val="20"/>
              </w:rPr>
            </w:pPr>
          </w:p>
        </w:tc>
        <w:tc>
          <w:tcPr>
            <w:tcW w:w="3347" w:type="dxa"/>
          </w:tcPr>
          <w:p w14:paraId="5A344F94" w14:textId="505C72EB" w:rsidR="00D927D0" w:rsidRPr="00721A34"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Surgical excision</w:t>
            </w:r>
          </w:p>
        </w:tc>
        <w:tc>
          <w:tcPr>
            <w:tcW w:w="2374" w:type="dxa"/>
          </w:tcPr>
          <w:p w14:paraId="23DDC7CB" w14:textId="05B185B4" w:rsidR="00D927D0"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94% successful clearance rate; 29% recurrence rate</w:t>
            </w:r>
          </w:p>
        </w:tc>
        <w:tc>
          <w:tcPr>
            <w:tcW w:w="1055" w:type="dxa"/>
          </w:tcPr>
          <w:p w14:paraId="0E468739" w14:textId="06630630" w:rsidR="00D927D0" w:rsidRDefault="00D927D0"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r>
              <w:rPr>
                <w:rFonts w:ascii="Arial Narrow" w:hAnsi="Arial Narrow"/>
                <w:sz w:val="18"/>
              </w:rPr>
              <w:t>I</w:t>
            </w:r>
          </w:p>
        </w:tc>
      </w:tr>
      <w:tr w:rsidR="00D927D0" w:rsidRPr="003D6FE7" w14:paraId="1019CE6F" w14:textId="77777777" w:rsidTr="003A485D">
        <w:tc>
          <w:tcPr>
            <w:tcW w:w="2203" w:type="dxa"/>
            <w:tcBorders>
              <w:top w:val="single" w:sz="2" w:space="0" w:color="FFFFFF" w:themeColor="background1"/>
              <w:bottom w:val="single" w:sz="2" w:space="0" w:color="000000"/>
            </w:tcBorders>
          </w:tcPr>
          <w:p w14:paraId="72FD3396" w14:textId="77777777" w:rsidR="00D927D0" w:rsidRDefault="00D927D0" w:rsidP="00B60630">
            <w:pPr>
              <w:pStyle w:val="AspexBullet1"/>
              <w:numPr>
                <w:ilvl w:val="0"/>
                <w:numId w:val="0"/>
              </w:numPr>
              <w:spacing w:before="0" w:after="0"/>
              <w:jc w:val="left"/>
              <w:rPr>
                <w:rFonts w:ascii="Arial Narrow" w:hAnsi="Arial Narrow"/>
                <w:sz w:val="20"/>
              </w:rPr>
            </w:pPr>
          </w:p>
        </w:tc>
        <w:tc>
          <w:tcPr>
            <w:tcW w:w="3347" w:type="dxa"/>
          </w:tcPr>
          <w:p w14:paraId="76B0E452" w14:textId="2760FEC5" w:rsidR="00D927D0" w:rsidRPr="00721A34"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Cryotherapy</w:t>
            </w:r>
          </w:p>
        </w:tc>
        <w:tc>
          <w:tcPr>
            <w:tcW w:w="2374" w:type="dxa"/>
          </w:tcPr>
          <w:p w14:paraId="7B340E1A" w14:textId="4F1A87A9" w:rsidR="00D927D0" w:rsidRDefault="00D927D0" w:rsidP="00B60630">
            <w:pPr>
              <w:pStyle w:val="AspexBullet1"/>
              <w:numPr>
                <w:ilvl w:val="0"/>
                <w:numId w:val="0"/>
              </w:numPr>
              <w:spacing w:before="0" w:after="0"/>
              <w:jc w:val="left"/>
              <w:rPr>
                <w:rFonts w:ascii="Arial Narrow" w:hAnsi="Arial Narrow"/>
                <w:sz w:val="18"/>
              </w:rPr>
            </w:pPr>
            <w:r>
              <w:rPr>
                <w:rFonts w:ascii="Arial Narrow" w:hAnsi="Arial Narrow"/>
                <w:sz w:val="18"/>
              </w:rPr>
              <w:t>88% successful clearance rate; 39% recurrence rate</w:t>
            </w:r>
          </w:p>
        </w:tc>
        <w:tc>
          <w:tcPr>
            <w:tcW w:w="1055" w:type="dxa"/>
          </w:tcPr>
          <w:p w14:paraId="170E0671" w14:textId="47D33A2E" w:rsidR="00D927D0" w:rsidRDefault="00D927D0" w:rsidP="00B60630">
            <w:pPr>
              <w:pStyle w:val="AspexBullet1"/>
              <w:numPr>
                <w:ilvl w:val="0"/>
                <w:numId w:val="0"/>
              </w:numPr>
              <w:spacing w:before="0" w:after="0"/>
              <w:rPr>
                <w:rFonts w:ascii="Arial Narrow" w:hAnsi="Arial Narrow"/>
                <w:sz w:val="18"/>
              </w:rPr>
            </w:pPr>
            <w:r w:rsidRPr="003D6FE7">
              <w:rPr>
                <w:rFonts w:ascii="Arial Narrow" w:hAnsi="Arial Narrow"/>
                <w:sz w:val="18"/>
              </w:rPr>
              <w:t>Level I</w:t>
            </w:r>
            <w:r>
              <w:rPr>
                <w:rFonts w:ascii="Arial Narrow" w:hAnsi="Arial Narrow"/>
                <w:sz w:val="18"/>
              </w:rPr>
              <w:t>I</w:t>
            </w:r>
          </w:p>
        </w:tc>
      </w:tr>
      <w:tr w:rsidR="003A485D" w:rsidRPr="003D6FE7" w14:paraId="1A8EAC63" w14:textId="77777777" w:rsidTr="003A485D">
        <w:tc>
          <w:tcPr>
            <w:tcW w:w="2203" w:type="dxa"/>
            <w:tcBorders>
              <w:top w:val="single" w:sz="2" w:space="0" w:color="000000"/>
              <w:bottom w:val="single" w:sz="2" w:space="0" w:color="FFFFFF" w:themeColor="background1"/>
            </w:tcBorders>
          </w:tcPr>
          <w:p w14:paraId="137D599C" w14:textId="40DB612B" w:rsidR="003A485D" w:rsidRDefault="003A485D" w:rsidP="00B60630">
            <w:pPr>
              <w:pStyle w:val="AspexBullet1"/>
              <w:numPr>
                <w:ilvl w:val="0"/>
                <w:numId w:val="0"/>
              </w:numPr>
              <w:spacing w:before="0" w:after="0"/>
              <w:jc w:val="left"/>
              <w:rPr>
                <w:rFonts w:ascii="Arial Narrow" w:hAnsi="Arial Narrow"/>
                <w:sz w:val="20"/>
              </w:rPr>
            </w:pPr>
            <w:r w:rsidRPr="00F333A1">
              <w:rPr>
                <w:rFonts w:ascii="Arial Narrow" w:hAnsi="Arial Narrow"/>
                <w:sz w:val="20"/>
              </w:rPr>
              <w:t>ACUTE VULVOVAGINAL CANDIDIASIS</w:t>
            </w:r>
          </w:p>
        </w:tc>
        <w:tc>
          <w:tcPr>
            <w:tcW w:w="3347" w:type="dxa"/>
          </w:tcPr>
          <w:p w14:paraId="3E8C5116" w14:textId="77777777" w:rsidR="003A485D" w:rsidRPr="00CF0272" w:rsidRDefault="003A485D" w:rsidP="0033254C">
            <w:pPr>
              <w:pStyle w:val="AspexBullet1"/>
              <w:numPr>
                <w:ilvl w:val="0"/>
                <w:numId w:val="0"/>
              </w:numPr>
              <w:spacing w:before="0" w:after="0"/>
              <w:jc w:val="left"/>
              <w:rPr>
                <w:rFonts w:ascii="Arial Narrow" w:hAnsi="Arial Narrow"/>
                <w:sz w:val="18"/>
              </w:rPr>
            </w:pPr>
            <w:r w:rsidRPr="00CF0272">
              <w:rPr>
                <w:rFonts w:ascii="Arial Narrow" w:hAnsi="Arial Narrow"/>
                <w:sz w:val="18"/>
              </w:rPr>
              <w:t>All topical and oral azole therapies give cure</w:t>
            </w:r>
          </w:p>
          <w:p w14:paraId="280F8725" w14:textId="77777777" w:rsidR="003A485D" w:rsidRPr="00CF0272" w:rsidRDefault="003A485D" w:rsidP="0033254C">
            <w:pPr>
              <w:pStyle w:val="AspexBullet1"/>
              <w:numPr>
                <w:ilvl w:val="0"/>
                <w:numId w:val="0"/>
              </w:numPr>
              <w:spacing w:before="0" w:after="0"/>
              <w:jc w:val="left"/>
              <w:rPr>
                <w:rFonts w:ascii="Arial Narrow" w:hAnsi="Arial Narrow"/>
                <w:sz w:val="18"/>
              </w:rPr>
            </w:pPr>
            <w:r w:rsidRPr="00CF0272">
              <w:rPr>
                <w:rFonts w:ascii="Arial Narrow" w:hAnsi="Arial Narrow"/>
                <w:sz w:val="18"/>
              </w:rPr>
              <w:t>rates of 80-95% in non-pregnant women.</w:t>
            </w:r>
          </w:p>
          <w:p w14:paraId="76C05B39" w14:textId="77777777" w:rsidR="003A485D" w:rsidRPr="00CF0272" w:rsidRDefault="003A485D" w:rsidP="0033254C">
            <w:pPr>
              <w:pStyle w:val="AspexBullet1"/>
              <w:numPr>
                <w:ilvl w:val="0"/>
                <w:numId w:val="0"/>
              </w:numPr>
              <w:spacing w:before="0" w:after="0"/>
              <w:jc w:val="left"/>
              <w:rPr>
                <w:rFonts w:ascii="Arial Narrow" w:hAnsi="Arial Narrow"/>
                <w:sz w:val="18"/>
              </w:rPr>
            </w:pPr>
            <w:r w:rsidRPr="00CF0272">
              <w:rPr>
                <w:rFonts w:ascii="Arial Narrow" w:hAnsi="Arial Narrow"/>
                <w:sz w:val="18"/>
              </w:rPr>
              <w:t>Nystatin preparations give cure rates of 70 to 90%.</w:t>
            </w:r>
          </w:p>
          <w:p w14:paraId="4C78902B" w14:textId="77777777" w:rsidR="003A485D" w:rsidRPr="00CF0272" w:rsidRDefault="003A485D" w:rsidP="0033254C">
            <w:pPr>
              <w:pStyle w:val="AspexBullet1"/>
              <w:numPr>
                <w:ilvl w:val="0"/>
                <w:numId w:val="0"/>
              </w:numPr>
              <w:spacing w:before="0" w:after="0"/>
              <w:jc w:val="left"/>
              <w:rPr>
                <w:rFonts w:ascii="Arial Narrow" w:hAnsi="Arial Narrow"/>
                <w:sz w:val="18"/>
              </w:rPr>
            </w:pPr>
            <w:r w:rsidRPr="00CF0272">
              <w:rPr>
                <w:rFonts w:ascii="Arial Narrow" w:hAnsi="Arial Narrow"/>
                <w:sz w:val="18"/>
              </w:rPr>
              <w:t>Treatments are fungistatic, not fungicidal, and</w:t>
            </w:r>
          </w:p>
          <w:p w14:paraId="4AE36A45" w14:textId="483FA234" w:rsidR="003A485D" w:rsidRDefault="003A485D" w:rsidP="00B60630">
            <w:pPr>
              <w:pStyle w:val="AspexBullet1"/>
              <w:numPr>
                <w:ilvl w:val="0"/>
                <w:numId w:val="0"/>
              </w:numPr>
              <w:spacing w:before="0" w:after="0"/>
              <w:jc w:val="left"/>
              <w:rPr>
                <w:rFonts w:ascii="Arial Narrow" w:hAnsi="Arial Narrow"/>
                <w:sz w:val="18"/>
              </w:rPr>
            </w:pPr>
            <w:r w:rsidRPr="00CF0272">
              <w:rPr>
                <w:rFonts w:ascii="Arial Narrow" w:hAnsi="Arial Narrow"/>
                <w:sz w:val="18"/>
              </w:rPr>
              <w:t>relapses occur.</w:t>
            </w:r>
          </w:p>
        </w:tc>
        <w:tc>
          <w:tcPr>
            <w:tcW w:w="2374" w:type="dxa"/>
          </w:tcPr>
          <w:p w14:paraId="1170C68A" w14:textId="4C3E83E6" w:rsidR="003A485D" w:rsidRDefault="003A485D" w:rsidP="00B60630">
            <w:pPr>
              <w:pStyle w:val="AspexBullet1"/>
              <w:numPr>
                <w:ilvl w:val="0"/>
                <w:numId w:val="0"/>
              </w:numPr>
              <w:spacing w:before="0" w:after="0"/>
              <w:jc w:val="left"/>
              <w:rPr>
                <w:rFonts w:ascii="Arial Narrow" w:hAnsi="Arial Narrow"/>
                <w:sz w:val="18"/>
              </w:rPr>
            </w:pPr>
            <w:r>
              <w:rPr>
                <w:rFonts w:ascii="Arial Narrow" w:hAnsi="Arial Narrow"/>
                <w:sz w:val="18"/>
              </w:rPr>
              <w:t>80% to 95% cure rate in non-pregant women</w:t>
            </w:r>
          </w:p>
        </w:tc>
        <w:tc>
          <w:tcPr>
            <w:tcW w:w="1055" w:type="dxa"/>
          </w:tcPr>
          <w:p w14:paraId="2E7D5E12" w14:textId="1556F4AF" w:rsidR="003A485D" w:rsidRPr="003D6FE7" w:rsidRDefault="003A485D" w:rsidP="00B60630">
            <w:pPr>
              <w:pStyle w:val="AspexBullet1"/>
              <w:numPr>
                <w:ilvl w:val="0"/>
                <w:numId w:val="0"/>
              </w:numPr>
              <w:spacing w:before="0" w:after="0"/>
              <w:rPr>
                <w:rFonts w:ascii="Arial Narrow" w:hAnsi="Arial Narrow"/>
                <w:sz w:val="18"/>
              </w:rPr>
            </w:pPr>
            <w:r>
              <w:rPr>
                <w:rFonts w:ascii="Arial Narrow" w:hAnsi="Arial Narrow"/>
                <w:sz w:val="18"/>
              </w:rPr>
              <w:t>Level I equivalent</w:t>
            </w:r>
          </w:p>
        </w:tc>
      </w:tr>
      <w:tr w:rsidR="003A485D" w:rsidRPr="003D6FE7" w14:paraId="3204E029" w14:textId="77777777" w:rsidTr="00D927D0">
        <w:tc>
          <w:tcPr>
            <w:tcW w:w="2203" w:type="dxa"/>
            <w:tcBorders>
              <w:top w:val="single" w:sz="2" w:space="0" w:color="FFFFFF" w:themeColor="background1"/>
            </w:tcBorders>
          </w:tcPr>
          <w:p w14:paraId="6BB5D62E" w14:textId="77777777" w:rsidR="003A485D" w:rsidRDefault="003A485D" w:rsidP="00B60630">
            <w:pPr>
              <w:pStyle w:val="AspexBullet1"/>
              <w:numPr>
                <w:ilvl w:val="0"/>
                <w:numId w:val="0"/>
              </w:numPr>
              <w:spacing w:before="0" w:after="0"/>
              <w:jc w:val="left"/>
              <w:rPr>
                <w:rFonts w:ascii="Arial Narrow" w:hAnsi="Arial Narrow"/>
                <w:sz w:val="20"/>
              </w:rPr>
            </w:pPr>
          </w:p>
        </w:tc>
        <w:tc>
          <w:tcPr>
            <w:tcW w:w="3347" w:type="dxa"/>
          </w:tcPr>
          <w:p w14:paraId="39E68791" w14:textId="0E0F801A" w:rsidR="003A485D" w:rsidRDefault="003A485D" w:rsidP="00B60630">
            <w:pPr>
              <w:pStyle w:val="AspexBullet1"/>
              <w:numPr>
                <w:ilvl w:val="0"/>
                <w:numId w:val="0"/>
              </w:numPr>
              <w:spacing w:before="0" w:after="0"/>
              <w:jc w:val="left"/>
              <w:rPr>
                <w:rFonts w:ascii="Arial Narrow" w:hAnsi="Arial Narrow"/>
                <w:sz w:val="18"/>
              </w:rPr>
            </w:pPr>
            <w:r w:rsidRPr="00CF0272">
              <w:rPr>
                <w:rFonts w:ascii="Arial Narrow" w:hAnsi="Arial Narrow"/>
                <w:sz w:val="18"/>
              </w:rPr>
              <w:t>Nystatin preparations</w:t>
            </w:r>
          </w:p>
        </w:tc>
        <w:tc>
          <w:tcPr>
            <w:tcW w:w="2374" w:type="dxa"/>
          </w:tcPr>
          <w:p w14:paraId="5BEB8BE2" w14:textId="77777777" w:rsidR="003A485D" w:rsidRDefault="003A485D" w:rsidP="00B60630">
            <w:pPr>
              <w:pStyle w:val="AspexBullet1"/>
              <w:numPr>
                <w:ilvl w:val="0"/>
                <w:numId w:val="0"/>
              </w:numPr>
              <w:spacing w:before="0" w:after="0"/>
              <w:jc w:val="left"/>
              <w:rPr>
                <w:rFonts w:ascii="Arial Narrow" w:hAnsi="Arial Narrow"/>
                <w:sz w:val="18"/>
              </w:rPr>
            </w:pPr>
          </w:p>
        </w:tc>
        <w:tc>
          <w:tcPr>
            <w:tcW w:w="1055" w:type="dxa"/>
          </w:tcPr>
          <w:p w14:paraId="76623E81" w14:textId="03B22810" w:rsidR="003A485D" w:rsidRPr="003D6FE7" w:rsidRDefault="003A485D" w:rsidP="00B60630">
            <w:pPr>
              <w:pStyle w:val="AspexBullet1"/>
              <w:numPr>
                <w:ilvl w:val="0"/>
                <w:numId w:val="0"/>
              </w:numPr>
              <w:spacing w:before="0" w:after="0"/>
              <w:rPr>
                <w:rFonts w:ascii="Arial Narrow" w:hAnsi="Arial Narrow"/>
                <w:sz w:val="18"/>
              </w:rPr>
            </w:pPr>
            <w:r>
              <w:rPr>
                <w:rFonts w:ascii="Arial Narrow" w:hAnsi="Arial Narrow"/>
                <w:sz w:val="18"/>
              </w:rPr>
              <w:t>Level I equivalent</w:t>
            </w:r>
          </w:p>
        </w:tc>
      </w:tr>
    </w:tbl>
    <w:p w14:paraId="5D9127ED" w14:textId="77777777" w:rsidR="00B60630" w:rsidRDefault="00B60630" w:rsidP="00B60630">
      <w:pPr>
        <w:pStyle w:val="AspexBullet1"/>
        <w:numPr>
          <w:ilvl w:val="0"/>
          <w:numId w:val="0"/>
        </w:numPr>
        <w:rPr>
          <w:i/>
          <w:sz w:val="16"/>
          <w:szCs w:val="16"/>
        </w:rPr>
      </w:pPr>
    </w:p>
    <w:p w14:paraId="24B58B7C" w14:textId="77777777" w:rsidR="00B60630" w:rsidRDefault="00B60630" w:rsidP="003C7AD0">
      <w:pPr>
        <w:pStyle w:val="Heading3"/>
      </w:pPr>
      <w:r>
        <w:t>Treatment of non-infective sexual health problems</w:t>
      </w:r>
    </w:p>
    <w:p w14:paraId="63B4EC76" w14:textId="77777777" w:rsidR="00B60630" w:rsidRDefault="00B60630" w:rsidP="00B60630">
      <w:pPr>
        <w:pStyle w:val="IntenseQuote"/>
      </w:pPr>
      <w:r>
        <w:t xml:space="preserve">Evidence also indicates that an appropriate mix of interventions is required in order to maximise the likelihood of success for patients with non-infective sexual health conditions.  </w:t>
      </w:r>
    </w:p>
    <w:p w14:paraId="2EE05198" w14:textId="77777777" w:rsidR="00B60630" w:rsidRDefault="00B60630" w:rsidP="00B60630">
      <w:pPr>
        <w:pStyle w:val="AspexBodyStandard"/>
      </w:pPr>
      <w:r>
        <w:t>Treatment of other sexual health conditions can benefit from specialist knowledge and/or multi-disciplinary care. Examples include:</w:t>
      </w:r>
    </w:p>
    <w:p w14:paraId="6EA70F2E" w14:textId="77777777" w:rsidR="00B60630" w:rsidRDefault="00B60630" w:rsidP="00B60630">
      <w:pPr>
        <w:pStyle w:val="AspexBullet1"/>
      </w:pPr>
      <w:r w:rsidRPr="00154D3D">
        <w:rPr>
          <w:i/>
        </w:rPr>
        <w:t>Genital</w:t>
      </w:r>
      <w:r>
        <w:rPr>
          <w:i/>
        </w:rPr>
        <w:t>/Pelvic</w:t>
      </w:r>
      <w:r w:rsidRPr="00154D3D">
        <w:rPr>
          <w:i/>
        </w:rPr>
        <w:t xml:space="preserve"> Pain</w:t>
      </w:r>
      <w:r>
        <w:t>.  Empirical evidence suggests the existence of multiple aetiologic pathways leading to the development and persistence of genital pain. Physical factors such as biomedical/mechanical trauma, inflammatory processes and pelvic floor muscle dysfunctions may combine with cognitive, behavioural, affective, and interpersonal factors leading to persistent pain and/or sexual dysfunction (General Review - No NHMRC Level of Evidence, Bergeron et al 2011). Accordingly, a range of effective therapies may be employed via multi-disciplinary services, including:</w:t>
      </w:r>
    </w:p>
    <w:p w14:paraId="19FE452F" w14:textId="77777777" w:rsidR="00B60630" w:rsidRDefault="00B60630" w:rsidP="00B60630">
      <w:pPr>
        <w:pStyle w:val="AspexBullet2"/>
        <w:spacing w:before="120" w:after="120"/>
      </w:pPr>
      <w:r>
        <w:t>T</w:t>
      </w:r>
      <w:r w:rsidRPr="00BB075C">
        <w:t>opical amitriptyline-ketamine</w:t>
      </w:r>
      <w:r>
        <w:rPr>
          <w:rFonts w:cs="Arial"/>
          <w:sz w:val="20"/>
        </w:rPr>
        <w:t xml:space="preserve"> (</w:t>
      </w:r>
      <w:r>
        <w:t>Retrospective Review - No NHMRC Level of Evidence, Poterucha et al 2012);</w:t>
      </w:r>
    </w:p>
    <w:p w14:paraId="4AB0DE16" w14:textId="77777777" w:rsidR="00B60630" w:rsidRDefault="00B60630" w:rsidP="00B60630">
      <w:pPr>
        <w:pStyle w:val="AspexBullet2"/>
        <w:spacing w:before="120" w:after="120"/>
      </w:pPr>
      <w:r>
        <w:t xml:space="preserve">Gabapentin alone or in combination with amitriptyline (Level II evidence; Sator-Katzenschlager et al 2005); </w:t>
      </w:r>
    </w:p>
    <w:p w14:paraId="7E44CCCD" w14:textId="187C4D77" w:rsidR="00B60630" w:rsidRDefault="00B60630" w:rsidP="00B60630">
      <w:pPr>
        <w:pStyle w:val="AspexBullet2"/>
        <w:spacing w:before="120" w:after="120"/>
      </w:pPr>
      <w:r>
        <w:lastRenderedPageBreak/>
        <w:t>C</w:t>
      </w:r>
      <w:r w:rsidRPr="00D34E67">
        <w:t>ognitive-behavioural therapy</w:t>
      </w:r>
      <w:r>
        <w:t xml:space="preserve"> for dyspareunia/vulvodynia (Level II evidence; Masheb et al 2009; Level II equivalent evidence</w:t>
      </w:r>
      <w:r>
        <w:rPr>
          <w:rStyle w:val="FootnoteReference"/>
        </w:rPr>
        <w:footnoteReference w:id="21"/>
      </w:r>
      <w:r>
        <w:t>; Lofrisco et al 2011)</w:t>
      </w:r>
      <w:r w:rsidR="00F4201F">
        <w:t>;</w:t>
      </w:r>
    </w:p>
    <w:p w14:paraId="3071DA5F" w14:textId="77777777" w:rsidR="00B60630" w:rsidRDefault="00B60630" w:rsidP="00B60630">
      <w:pPr>
        <w:pStyle w:val="AspexBullet2"/>
        <w:spacing w:before="120" w:after="120"/>
      </w:pPr>
      <w:r>
        <w:t xml:space="preserve">Relationship/couples therapy for vulvodynia (Level II evidence, Reese 2009); </w:t>
      </w:r>
    </w:p>
    <w:p w14:paraId="1AD338C5" w14:textId="77777777" w:rsidR="00B60630" w:rsidRDefault="00B60630" w:rsidP="00B60630">
      <w:pPr>
        <w:pStyle w:val="AspexBullet2"/>
        <w:spacing w:before="120" w:after="120"/>
      </w:pPr>
      <w:r>
        <w:t xml:space="preserve">Psychotherapy for </w:t>
      </w:r>
      <w:r w:rsidRPr="00461744">
        <w:t>non-specific male genital pain</w:t>
      </w:r>
      <w:r>
        <w:t xml:space="preserve"> (Level IV evidence, Naim &amp; Ende 2011); </w:t>
      </w:r>
    </w:p>
    <w:p w14:paraId="34359145" w14:textId="176A4EC0" w:rsidR="00B60630" w:rsidRDefault="00B60630" w:rsidP="00B60630">
      <w:pPr>
        <w:pStyle w:val="AspexBullet2"/>
        <w:spacing w:before="120" w:after="120"/>
      </w:pPr>
      <w:r>
        <w:t xml:space="preserve">Physiotherapy for pelvic floor/sexual pain (Level II evidence; Rosenbaum 2007); </w:t>
      </w:r>
      <w:r w:rsidR="00F4201F">
        <w:t>and</w:t>
      </w:r>
    </w:p>
    <w:p w14:paraId="0612C449" w14:textId="77777777" w:rsidR="00B60630" w:rsidRPr="00154D3D" w:rsidRDefault="00B60630" w:rsidP="00B60630">
      <w:pPr>
        <w:pStyle w:val="AspexBullet2"/>
        <w:spacing w:before="120" w:after="120"/>
      </w:pPr>
      <w:r>
        <w:t>Botulinum Toxin for genital pain (Level IV evidence, Romito et al 2004).</w:t>
      </w:r>
    </w:p>
    <w:p w14:paraId="1900CB2F" w14:textId="77777777" w:rsidR="00B60630" w:rsidRPr="00900993" w:rsidRDefault="00B60630" w:rsidP="00B60630">
      <w:pPr>
        <w:pStyle w:val="AspexBullet1"/>
      </w:pPr>
      <w:r w:rsidRPr="00B73451">
        <w:rPr>
          <w:i/>
        </w:rPr>
        <w:t>Erectile dysfunction</w:t>
      </w:r>
      <w:r w:rsidRPr="00DF72A3">
        <w:t xml:space="preserve">: </w:t>
      </w:r>
      <w:r w:rsidRPr="00900993">
        <w:t xml:space="preserve">Erectile dysfunction </w:t>
      </w:r>
      <w:r>
        <w:t xml:space="preserve">(ED; inadequate penile erection) </w:t>
      </w:r>
      <w:r w:rsidRPr="00900993">
        <w:t>is relatively com</w:t>
      </w:r>
      <w:r>
        <w:t xml:space="preserve">mon among sexually active males, </w:t>
      </w:r>
      <w:r w:rsidRPr="00900993">
        <w:t xml:space="preserve">and </w:t>
      </w:r>
      <w:r>
        <w:t xml:space="preserve">is </w:t>
      </w:r>
      <w:r w:rsidRPr="00900993">
        <w:t xml:space="preserve">estimated to affect 21% of middle aged and older Australian men (Holden et al 2005; Britt et al 2008). </w:t>
      </w:r>
      <w:r>
        <w:t xml:space="preserve">As with genital pain, ED can be multi-factorial in aetiology. Causes may be organic (e.g. </w:t>
      </w:r>
      <w:r w:rsidRPr="00DF72A3">
        <w:t xml:space="preserve">Neurological disorders, </w:t>
      </w:r>
      <w:r>
        <w:t xml:space="preserve">Diabetes mellitus, </w:t>
      </w:r>
      <w:r w:rsidRPr="00DF72A3">
        <w:t xml:space="preserve">vascular disorders, medication side effects, alcohol, recreational drugs, local penile factors) or psychogenic (Shamloul &amp; Ghanem 2013). </w:t>
      </w:r>
      <w:r>
        <w:t>Accordingly, ED often requires a range of therapies (Review – no NHMRC level of evidence, Wagner et al 2002). These may include:</w:t>
      </w:r>
    </w:p>
    <w:p w14:paraId="4E7F996C" w14:textId="77777777" w:rsidR="00B60630" w:rsidRPr="00116AF1" w:rsidRDefault="00B60630" w:rsidP="00B60630">
      <w:pPr>
        <w:pStyle w:val="AspexBullet2"/>
        <w:spacing w:before="120" w:after="120"/>
      </w:pPr>
      <w:r w:rsidRPr="00116AF1">
        <w:t xml:space="preserve">Oral </w:t>
      </w:r>
      <w:r w:rsidRPr="00C02826">
        <w:t>Phosphodiesterase-5 inhibitors</w:t>
      </w:r>
      <w:r>
        <w:t xml:space="preserve"> (PDE5-Inhibitors). This class of drugs includes the well-known </w:t>
      </w:r>
      <w:r w:rsidRPr="001262E2">
        <w:t xml:space="preserve">sildenafil (Viagra). </w:t>
      </w:r>
      <w:r w:rsidRPr="00A75F7A">
        <w:t>Sildenafil is more likely than placebo to lead to successful sexual intercourse, with a higher percentage of successful intercourse attempts and a greater percentage of men experiencing at least 1 intercourse success during treatment (Level I evidence</w:t>
      </w:r>
      <w:r>
        <w:t>, Fink et al 2002)</w:t>
      </w:r>
      <w:r w:rsidRPr="00A75F7A">
        <w:t>.</w:t>
      </w:r>
      <w:r>
        <w:t xml:space="preserve"> These medications have also been found to be effective in the medium term when treating ED in men who have undergone radiotherapy or prostatectomy for prostate cancer (Level I evidence, Candy et al 2008),</w:t>
      </w:r>
    </w:p>
    <w:p w14:paraId="102DABCA" w14:textId="77777777" w:rsidR="00B60630" w:rsidRPr="00116AF1" w:rsidRDefault="00B60630" w:rsidP="00B60630">
      <w:pPr>
        <w:pStyle w:val="AspexBullet2"/>
        <w:spacing w:before="120" w:after="120"/>
      </w:pPr>
      <w:r>
        <w:t>Lifestyle modification.</w:t>
      </w:r>
      <w:r w:rsidRPr="00116AF1">
        <w:t xml:space="preserve"> </w:t>
      </w:r>
      <w:r>
        <w:t xml:space="preserve">When lifestyle measures such as regular aerobic exercise are combined with </w:t>
      </w:r>
      <w:r w:rsidRPr="003E2CE8">
        <w:t>PDE5 inhibitors</w:t>
      </w:r>
      <w:r>
        <w:t xml:space="preserve">, patients experience significantly greater </w:t>
      </w:r>
      <w:r w:rsidRPr="004211F2">
        <w:t>erectile function, confidence, sexual desire and intercourse satisfaction (compared with PDE5-I alone)</w:t>
      </w:r>
      <w:r>
        <w:t xml:space="preserve"> (Level II evidence, Maio et al 2010),</w:t>
      </w:r>
    </w:p>
    <w:p w14:paraId="432418E8" w14:textId="77777777" w:rsidR="00B60630" w:rsidRPr="00116AF1" w:rsidRDefault="00B60630" w:rsidP="00B60630">
      <w:pPr>
        <w:pStyle w:val="AspexBullet2"/>
        <w:spacing w:before="120" w:after="120"/>
      </w:pPr>
      <w:r>
        <w:t>Intracavernosal injection therapies.</w:t>
      </w:r>
      <w:r w:rsidRPr="0087370A">
        <w:t xml:space="preserve"> </w:t>
      </w:r>
      <w:r>
        <w:t>Commonly used drugs include alprostadil (prostaglandin E1), papaverine, phentolamine, and vasoactive intestinal polypeptide. A combination of three drugs has a 90% success rate (Level II evidence, Hatzimouratidis &amp; Hatzichristou 2005),</w:t>
      </w:r>
    </w:p>
    <w:p w14:paraId="5ADC62C8" w14:textId="77777777" w:rsidR="00B60630" w:rsidRPr="00116AF1" w:rsidRDefault="00B60630" w:rsidP="00B60630">
      <w:pPr>
        <w:pStyle w:val="AspexBullet2"/>
        <w:spacing w:before="120" w:after="120"/>
      </w:pPr>
      <w:r w:rsidRPr="00116AF1">
        <w:t>Testosterone therapy</w:t>
      </w:r>
      <w:r>
        <w:t xml:space="preserve"> (Level II evidence, Jacob 2011),</w:t>
      </w:r>
    </w:p>
    <w:p w14:paraId="53C67F14" w14:textId="77777777" w:rsidR="00B60630" w:rsidRPr="00116AF1" w:rsidRDefault="00B60630" w:rsidP="00B60630">
      <w:pPr>
        <w:pStyle w:val="AspexBullet2"/>
        <w:spacing w:before="120" w:after="120"/>
      </w:pPr>
      <w:r w:rsidRPr="00116AF1">
        <w:t>Penile devices</w:t>
      </w:r>
      <w:r>
        <w:t xml:space="preserve"> such as Vacuum Erectile Devices (Level II evidence, Brison et al 2013; Level II evidence, Yuan et al 2010)</w:t>
      </w:r>
      <w:r w:rsidRPr="00116AF1">
        <w:t xml:space="preserve">, </w:t>
      </w:r>
    </w:p>
    <w:p w14:paraId="0105F5BD" w14:textId="77777777" w:rsidR="00B60630" w:rsidRDefault="00B60630" w:rsidP="00B60630">
      <w:pPr>
        <w:pStyle w:val="AspexBullet2"/>
        <w:spacing w:before="120" w:after="120"/>
      </w:pPr>
      <w:r>
        <w:t xml:space="preserve">Psychotherapy. In particular, group psychotherapy results in significantly better outcomes compared with controls, and when combined with </w:t>
      </w:r>
      <w:r w:rsidRPr="00A75F7A">
        <w:t>sildenafil,</w:t>
      </w:r>
      <w:r>
        <w:t xml:space="preserve"> leads to </w:t>
      </w:r>
      <w:r w:rsidRPr="00A75F7A">
        <w:t>significant improvement of successful intercourse</w:t>
      </w:r>
      <w:r>
        <w:t>,</w:t>
      </w:r>
      <w:r w:rsidRPr="00A75F7A">
        <w:t xml:space="preserve"> with less drop-out compared with sildenafil</w:t>
      </w:r>
      <w:r>
        <w:t xml:space="preserve"> alone (Level I evidence, Melnik et al 2007), and</w:t>
      </w:r>
    </w:p>
    <w:p w14:paraId="5CB11479" w14:textId="77777777" w:rsidR="00B60630" w:rsidRDefault="00B60630" w:rsidP="00B60630">
      <w:pPr>
        <w:pStyle w:val="AspexBullet2"/>
        <w:spacing w:before="120" w:after="120"/>
      </w:pPr>
      <w:r>
        <w:t>Combination therapies. Examples of effective combinations for the treatment of erectile dysfunction include:</w:t>
      </w:r>
    </w:p>
    <w:p w14:paraId="106B445F" w14:textId="77777777" w:rsidR="00B60630" w:rsidRDefault="00B60630" w:rsidP="00B60630">
      <w:pPr>
        <w:pStyle w:val="AspexBullet3"/>
        <w:spacing w:before="120" w:after="120"/>
      </w:pPr>
      <w:r>
        <w:t>PDE5 Inhibitors plus Vacuum Erectile Devices (Level II evidence; Dhir et al 2011);</w:t>
      </w:r>
    </w:p>
    <w:p w14:paraId="7E2AAA5A" w14:textId="77777777" w:rsidR="00B60630" w:rsidRDefault="00B60630" w:rsidP="00B60630">
      <w:pPr>
        <w:pStyle w:val="AspexBullet3"/>
        <w:spacing w:before="120" w:after="120"/>
      </w:pPr>
      <w:r>
        <w:t xml:space="preserve">PDE5 Inhibitors </w:t>
      </w:r>
      <w:r w:rsidRPr="00F73752">
        <w:t>plus intraurethral alprostadil</w:t>
      </w:r>
      <w:r>
        <w:t xml:space="preserve"> (Level II evidence; Dhir et al 2011); </w:t>
      </w:r>
    </w:p>
    <w:p w14:paraId="45D64797" w14:textId="77777777" w:rsidR="00B60630" w:rsidRPr="00DF72A3" w:rsidRDefault="00B60630" w:rsidP="00B60630">
      <w:pPr>
        <w:pStyle w:val="AspexBullet3"/>
        <w:spacing w:before="120" w:after="120"/>
      </w:pPr>
      <w:r>
        <w:lastRenderedPageBreak/>
        <w:t xml:space="preserve">PDE5 Inhibitors </w:t>
      </w:r>
      <w:r w:rsidRPr="00C02826">
        <w:t xml:space="preserve">plus </w:t>
      </w:r>
      <w:r>
        <w:rPr>
          <w:rFonts w:cs="Arial"/>
        </w:rPr>
        <w:t>α</w:t>
      </w:r>
      <w:r w:rsidRPr="00C02826">
        <w:t>-adrenergic receptor antagonists</w:t>
      </w:r>
      <w:r>
        <w:t xml:space="preserve"> (Level II evidence; Dhir et al 2011). </w:t>
      </w:r>
    </w:p>
    <w:p w14:paraId="4885404D" w14:textId="77777777" w:rsidR="00B60630" w:rsidRDefault="00B60630" w:rsidP="00F333A1">
      <w:pPr>
        <w:spacing w:after="120"/>
        <w:ind w:left="227"/>
        <w:jc w:val="both"/>
      </w:pPr>
      <w:r w:rsidRPr="00116AF1">
        <w:t>Delivery of such a range of interventions</w:t>
      </w:r>
      <w:r>
        <w:t>, especially when several are combined,</w:t>
      </w:r>
      <w:r w:rsidRPr="00116AF1">
        <w:t xml:space="preserve"> is potentially best delivered in a Sexual Health specialist setting with multi-disciplinary input.</w:t>
      </w:r>
      <w:r>
        <w:t xml:space="preserve"> Specialist referral is particularly recommended:</w:t>
      </w:r>
    </w:p>
    <w:p w14:paraId="3B0098A6" w14:textId="77777777" w:rsidR="00B60630" w:rsidRPr="0013216A" w:rsidRDefault="00B60630" w:rsidP="00B60630">
      <w:pPr>
        <w:pStyle w:val="AspexBullet2"/>
        <w:spacing w:before="120" w:after="120"/>
      </w:pPr>
      <w:r>
        <w:t>W</w:t>
      </w:r>
      <w:r w:rsidRPr="0013216A">
        <w:t>here laboratory evaluations are ambiguous or to identify the need for more comprehensive evaluation</w:t>
      </w:r>
      <w:r>
        <w:t>;</w:t>
      </w:r>
      <w:r w:rsidRPr="0013216A">
        <w:t xml:space="preserve"> </w:t>
      </w:r>
    </w:p>
    <w:p w14:paraId="20ECE782" w14:textId="77777777" w:rsidR="00B60630" w:rsidRPr="0013216A" w:rsidRDefault="00B60630" w:rsidP="00B60630">
      <w:pPr>
        <w:pStyle w:val="AspexBullet2"/>
        <w:spacing w:before="120" w:after="120"/>
      </w:pPr>
      <w:r>
        <w:t>W</w:t>
      </w:r>
      <w:r w:rsidRPr="0013216A">
        <w:t>hen there is a suspicion of cardiac problems</w:t>
      </w:r>
      <w:r>
        <w:t>;</w:t>
      </w:r>
      <w:r w:rsidRPr="0013216A">
        <w:t xml:space="preserve"> </w:t>
      </w:r>
    </w:p>
    <w:p w14:paraId="3B7A197A" w14:textId="77777777" w:rsidR="00B60630" w:rsidRPr="0013216A" w:rsidRDefault="00B60630" w:rsidP="00B60630">
      <w:pPr>
        <w:pStyle w:val="AspexBullet2"/>
        <w:spacing w:before="120" w:after="120"/>
      </w:pPr>
      <w:r>
        <w:t>W</w:t>
      </w:r>
      <w:r w:rsidRPr="0013216A">
        <w:t>hen there is primary ED, e.g. in young patients with a history of pelvic/perineal trauma</w:t>
      </w:r>
      <w:r>
        <w:t>;</w:t>
      </w:r>
      <w:r w:rsidRPr="0013216A">
        <w:t xml:space="preserve"> </w:t>
      </w:r>
    </w:p>
    <w:p w14:paraId="56304073" w14:textId="77777777" w:rsidR="00B60630" w:rsidRPr="0013216A" w:rsidRDefault="00B60630" w:rsidP="00B60630">
      <w:pPr>
        <w:pStyle w:val="AspexBullet2"/>
        <w:spacing w:before="120" w:after="120"/>
      </w:pPr>
      <w:r>
        <w:t>I</w:t>
      </w:r>
      <w:r w:rsidRPr="0013216A">
        <w:t>n patients with significant penile curvature (e.g. Peyronie's disease or congenital deformity)</w:t>
      </w:r>
      <w:r>
        <w:t>; or</w:t>
      </w:r>
      <w:r w:rsidRPr="0013216A">
        <w:t xml:space="preserve"> </w:t>
      </w:r>
    </w:p>
    <w:p w14:paraId="14256188" w14:textId="77777777" w:rsidR="00B60630" w:rsidRDefault="00B60630" w:rsidP="00B60630">
      <w:pPr>
        <w:pStyle w:val="AspexBullet2"/>
        <w:spacing w:before="120" w:after="120"/>
      </w:pPr>
      <w:r>
        <w:t xml:space="preserve">When there is </w:t>
      </w:r>
      <w:r w:rsidRPr="0013216A">
        <w:t>a request from the patient or a medico-legal requirement for further evaluation</w:t>
      </w:r>
      <w:r>
        <w:t xml:space="preserve"> (Review – no NHMRC level of evidence, Wagner et al 2002).</w:t>
      </w:r>
    </w:p>
    <w:p w14:paraId="791B6B81" w14:textId="77777777" w:rsidR="00B60630" w:rsidRPr="004E28F4" w:rsidRDefault="00B60630" w:rsidP="00B60630">
      <w:pPr>
        <w:pStyle w:val="AspexBodyStandard"/>
      </w:pPr>
      <w:r>
        <w:t xml:space="preserve">Despite these recommendations, </w:t>
      </w:r>
      <w:r w:rsidRPr="004E28F4">
        <w:t>patients with erectile dysfunction are rarely referred elsewhere by GPs for this problem with a</w:t>
      </w:r>
      <w:r>
        <w:t xml:space="preserve"> referral</w:t>
      </w:r>
      <w:r w:rsidRPr="004E28F4">
        <w:t xml:space="preserve"> rate of only 3.1 per 100 erectile dysfunction problems managed</w:t>
      </w:r>
      <w:r>
        <w:rPr>
          <w:rStyle w:val="FootnoteReference"/>
        </w:rPr>
        <w:footnoteReference w:id="22"/>
      </w:r>
      <w:r w:rsidRPr="004E28F4">
        <w:t>.</w:t>
      </w:r>
    </w:p>
    <w:p w14:paraId="2BF8308C" w14:textId="77777777" w:rsidR="00B60630" w:rsidRDefault="00B60630" w:rsidP="003C7AD0">
      <w:pPr>
        <w:pStyle w:val="Heading3"/>
      </w:pPr>
      <w:bookmarkStart w:id="72" w:name="_Toc350079591"/>
      <w:r>
        <w:t>Effectiveness of different medical practitioners</w:t>
      </w:r>
      <w:bookmarkEnd w:id="72"/>
    </w:p>
    <w:p w14:paraId="6B6B27EC" w14:textId="77777777" w:rsidR="00B60630" w:rsidRDefault="00B60630" w:rsidP="00B60630">
      <w:pPr>
        <w:pStyle w:val="AspexBodyStandard"/>
      </w:pPr>
      <w:r>
        <w:t>The Australian Medical Council has identified a need for specialists in Sexual Health Medicine, citing that:</w:t>
      </w:r>
    </w:p>
    <w:p w14:paraId="08E78A5D" w14:textId="77777777" w:rsidR="00B60630" w:rsidRPr="006C3B49" w:rsidRDefault="00B60630" w:rsidP="00B60630">
      <w:pPr>
        <w:pStyle w:val="IntenseQuote"/>
      </w:pPr>
      <w:r>
        <w:t>“…the discipline of Sexual Health Medicine is both sufficiently complex and extensive to require a comprehensive and complete training program to practice at a level expected of the specialist practitioner.” (p.37)</w:t>
      </w:r>
    </w:p>
    <w:p w14:paraId="35B3CE8E" w14:textId="73B48E4B" w:rsidR="00B60630" w:rsidRDefault="00B60630" w:rsidP="00B60630">
      <w:pPr>
        <w:pStyle w:val="AspexBodyStandard"/>
      </w:pPr>
      <w:r>
        <w:t xml:space="preserve">Accordingly, the literature was examined to identify any studies comparing the outcomes achieved by </w:t>
      </w:r>
      <w:r w:rsidR="002F40B4">
        <w:t>s</w:t>
      </w:r>
      <w:r>
        <w:t xml:space="preserve">exual </w:t>
      </w:r>
      <w:r w:rsidR="002F40B4">
        <w:t>h</w:t>
      </w:r>
      <w:r>
        <w:t xml:space="preserve">ealth </w:t>
      </w:r>
      <w:r w:rsidR="002F40B4">
        <w:t>m</w:t>
      </w:r>
      <w:r>
        <w:t>edicine specialists and other types of medical practitioner</w:t>
      </w:r>
      <w:r w:rsidR="00F4201F">
        <w:t>s</w:t>
      </w:r>
      <w:r>
        <w:t>.</w:t>
      </w:r>
    </w:p>
    <w:p w14:paraId="4E07DCFA" w14:textId="3671F84A" w:rsidR="00B60630" w:rsidRDefault="00B60630" w:rsidP="00B60630">
      <w:pPr>
        <w:pStyle w:val="AspexBodyStandard"/>
      </w:pPr>
      <w:r>
        <w:t xml:space="preserve">A search of the medical literature identifies very few studies of sexual health that compare outcomes achieved by </w:t>
      </w:r>
      <w:r w:rsidR="002F40B4">
        <w:t>s</w:t>
      </w:r>
      <w:r>
        <w:t xml:space="preserve">exual </w:t>
      </w:r>
      <w:r w:rsidR="002F40B4">
        <w:t>h</w:t>
      </w:r>
      <w:r>
        <w:t xml:space="preserve">ealth </w:t>
      </w:r>
      <w:r w:rsidR="002F40B4">
        <w:t xml:space="preserve">medicine </w:t>
      </w:r>
      <w:r>
        <w:t xml:space="preserve">specialists versus those achieved by GPs.  </w:t>
      </w:r>
    </w:p>
    <w:p w14:paraId="1EB52FED" w14:textId="77777777" w:rsidR="00B60630" w:rsidRDefault="00B60630" w:rsidP="00B60630">
      <w:pPr>
        <w:pStyle w:val="AspexBodyStandard"/>
      </w:pPr>
      <w:r>
        <w:t>However, there is evidence that many GPs may experience difficulties in promoting sexual health (Survey of GPs - No NHMRC Level of Evidence, Khan et al 2008) and in treating sexual health issues. Reviews of existing studies (Survey of patients - No NHMRC Level of Evidence, Gott &amp; Hinchliff 2003; Survey of GPs - No NHMRC Level of Evidence, Gott et al 2004; Survey of GPs - No NHMRC Level of Evidence, Survey of GPs -  Hinchliff et al 2005; Survey of GPs - No NHMRC Level of Evidence, Freedman et al 2006; Survey of GPs -  No NHMRC Level of Evidence, Temple-Smith et al 2008; Survey of GPs - No NHMRC Level of Evidence, Khan et al 2008; Survey of GPs - No NHMRC Level of Evidence, Schneider et al 2005), have identified inconsistent involvement of GPs in sexual health management, and a number of reasons for lack of GP involvement in managing these patients including:</w:t>
      </w:r>
    </w:p>
    <w:p w14:paraId="27FC470E" w14:textId="77777777" w:rsidR="00B60630" w:rsidRDefault="00B60630" w:rsidP="00B60630">
      <w:pPr>
        <w:pStyle w:val="AspexBullet1"/>
      </w:pPr>
      <w:r>
        <w:lastRenderedPageBreak/>
        <w:t xml:space="preserve">Lack of time; </w:t>
      </w:r>
    </w:p>
    <w:p w14:paraId="143EA128" w14:textId="77777777" w:rsidR="00B60630" w:rsidRDefault="00B60630" w:rsidP="00B60630">
      <w:pPr>
        <w:pStyle w:val="AspexBullet1"/>
      </w:pPr>
      <w:r>
        <w:t>Inadequate knowledge, training or expertise;</w:t>
      </w:r>
    </w:p>
    <w:p w14:paraId="41B9306E" w14:textId="77777777" w:rsidR="00B60630" w:rsidRDefault="00B60630" w:rsidP="00B60630">
      <w:pPr>
        <w:pStyle w:val="AspexBullet1"/>
      </w:pPr>
      <w:r>
        <w:t>Discomfort with discussing sexual heath with:</w:t>
      </w:r>
    </w:p>
    <w:p w14:paraId="7883CEF0" w14:textId="77777777" w:rsidR="00B60630" w:rsidRDefault="00B60630" w:rsidP="00B60630">
      <w:pPr>
        <w:pStyle w:val="AspexBullet2"/>
        <w:spacing w:before="120" w:after="120"/>
      </w:pPr>
      <w:r>
        <w:t>Patients of the opposite gender,</w:t>
      </w:r>
    </w:p>
    <w:p w14:paraId="73A6CB5D" w14:textId="77777777" w:rsidR="00B60630" w:rsidRDefault="00B60630" w:rsidP="00B60630">
      <w:pPr>
        <w:pStyle w:val="AspexBullet2"/>
        <w:spacing w:before="120" w:after="120"/>
      </w:pPr>
      <w:r>
        <w:t>Patients from ethnic minority groups,</w:t>
      </w:r>
    </w:p>
    <w:p w14:paraId="60D4AA7D" w14:textId="77777777" w:rsidR="00B60630" w:rsidRDefault="00B60630" w:rsidP="00B60630">
      <w:pPr>
        <w:pStyle w:val="AspexBullet2"/>
        <w:spacing w:before="120" w:after="120"/>
      </w:pPr>
      <w:r>
        <w:t>Sex workers and/or drug users,</w:t>
      </w:r>
    </w:p>
    <w:p w14:paraId="599D796A" w14:textId="77777777" w:rsidR="00B60630" w:rsidRDefault="00B60630" w:rsidP="00B60630">
      <w:pPr>
        <w:pStyle w:val="AspexBullet2"/>
        <w:spacing w:before="120" w:after="120"/>
      </w:pPr>
      <w:r>
        <w:t xml:space="preserve">Middle-aged and older patients, and </w:t>
      </w:r>
    </w:p>
    <w:p w14:paraId="0947C8F4" w14:textId="77777777" w:rsidR="00B60630" w:rsidRDefault="00B60630" w:rsidP="00B60630">
      <w:pPr>
        <w:pStyle w:val="AspexBullet2"/>
        <w:spacing w:before="120" w:after="120"/>
      </w:pPr>
      <w:r>
        <w:t>Non-heterosexual patients (e.g. Difficulties related primarily to ignorance of lesbian and gay lifestyles and sexual practices, and also included concerns about the appropriate language to use and assumptions about the nature of gay men's relationships);</w:t>
      </w:r>
    </w:p>
    <w:p w14:paraId="21F4EC45" w14:textId="77777777" w:rsidR="00B60630" w:rsidRDefault="00B60630" w:rsidP="00B60630">
      <w:pPr>
        <w:pStyle w:val="AspexBullet1"/>
        <w:rPr>
          <w:lang w:eastAsia="en-AU"/>
        </w:rPr>
      </w:pPr>
      <w:r>
        <w:rPr>
          <w:lang w:eastAsia="en-AU"/>
        </w:rPr>
        <w:t>Complex and difficult nature of issues pertaining to sexual health;</w:t>
      </w:r>
    </w:p>
    <w:p w14:paraId="4C18CC50" w14:textId="77777777" w:rsidR="00B60630" w:rsidRPr="003A375C" w:rsidRDefault="00B60630" w:rsidP="00B60630">
      <w:pPr>
        <w:pStyle w:val="AspexBullet1"/>
        <w:rPr>
          <w:lang w:eastAsia="en-AU"/>
        </w:rPr>
      </w:pPr>
      <w:r>
        <w:rPr>
          <w:lang w:eastAsia="en-AU"/>
        </w:rPr>
        <w:t>L</w:t>
      </w:r>
      <w:r w:rsidRPr="003A375C">
        <w:rPr>
          <w:lang w:eastAsia="en-AU"/>
        </w:rPr>
        <w:t xml:space="preserve">imited access to testing by GPs (very few, if any, general practices have on-site microscopy); </w:t>
      </w:r>
    </w:p>
    <w:p w14:paraId="6E62EA35" w14:textId="77777777" w:rsidR="00B60630" w:rsidRPr="003A375C" w:rsidRDefault="00B60630" w:rsidP="00B60630">
      <w:pPr>
        <w:pStyle w:val="AspexBullet1"/>
        <w:rPr>
          <w:lang w:eastAsia="en-AU"/>
        </w:rPr>
      </w:pPr>
      <w:r>
        <w:rPr>
          <w:lang w:eastAsia="en-AU"/>
        </w:rPr>
        <w:t>P</w:t>
      </w:r>
      <w:r w:rsidRPr="003A375C">
        <w:rPr>
          <w:lang w:eastAsia="en-AU"/>
        </w:rPr>
        <w:t xml:space="preserve">erceived structural barriers to limit the number of pathology tests taken; </w:t>
      </w:r>
    </w:p>
    <w:p w14:paraId="63BFE897" w14:textId="77777777" w:rsidR="00B60630" w:rsidRDefault="00B60630" w:rsidP="00B60630">
      <w:pPr>
        <w:pStyle w:val="AspexBullet1"/>
        <w:rPr>
          <w:lang w:eastAsia="en-AU"/>
        </w:rPr>
      </w:pPr>
      <w:r>
        <w:rPr>
          <w:lang w:eastAsia="en-AU"/>
        </w:rPr>
        <w:t>C</w:t>
      </w:r>
      <w:r w:rsidRPr="003A375C">
        <w:rPr>
          <w:lang w:eastAsia="en-AU"/>
        </w:rPr>
        <w:t>oncerns about confidentiality;</w:t>
      </w:r>
      <w:r>
        <w:rPr>
          <w:lang w:eastAsia="en-AU"/>
        </w:rPr>
        <w:t xml:space="preserve"> and</w:t>
      </w:r>
    </w:p>
    <w:p w14:paraId="544AD414" w14:textId="77777777" w:rsidR="00B60630" w:rsidRDefault="00B60630" w:rsidP="00B60630">
      <w:pPr>
        <w:pStyle w:val="AspexBullet1"/>
      </w:pPr>
      <w:r>
        <w:t>Reluctance of patients to consult GP (e.g. because of shame/embarrassment and fear, perceiving sexual problems as "not serious" and lack of knowledge about appropriate services).</w:t>
      </w:r>
    </w:p>
    <w:p w14:paraId="55B6DA55" w14:textId="70C3B8B2" w:rsidR="00B60630" w:rsidRDefault="00B60630" w:rsidP="00B60630">
      <w:pPr>
        <w:pStyle w:val="AspexBodyStandard"/>
      </w:pPr>
      <w:r>
        <w:t xml:space="preserve">Further, analysis of BEACH data (Survey of GPs - No NHMRC Level of Evidence, Freedman et al 2006) has revealed that </w:t>
      </w:r>
      <w:r w:rsidRPr="003A375C">
        <w:t>GPs are frequently managing sexual health problems without a prove</w:t>
      </w:r>
      <w:r w:rsidR="00BD6598">
        <w:t>n</w:t>
      </w:r>
      <w:r w:rsidRPr="003A375C">
        <w:t xml:space="preserve"> diagnosis and without testing for other conditions. Moreover, the tests to provide a specific diagnosis do not seem to be taken by GPs</w:t>
      </w:r>
      <w:r>
        <w:t xml:space="preserve">. Accordingly, </w:t>
      </w:r>
      <w:r w:rsidRPr="003A375C">
        <w:t>inappropriate or suboptimal pharmacological therapy may be prescribed.</w:t>
      </w:r>
    </w:p>
    <w:p w14:paraId="62E2CB44" w14:textId="652ACEA8" w:rsidR="00B60630" w:rsidRDefault="00B60630" w:rsidP="00B60630">
      <w:pPr>
        <w:pStyle w:val="AspexBodyStandard"/>
      </w:pPr>
      <w:r>
        <w:t xml:space="preserve">Examples of sub-optimal sexual health management in </w:t>
      </w:r>
      <w:r w:rsidR="002F40B4">
        <w:t>g</w:t>
      </w:r>
      <w:r>
        <w:t xml:space="preserve">eneral </w:t>
      </w:r>
      <w:r w:rsidR="002F40B4">
        <w:t>p</w:t>
      </w:r>
      <w:r>
        <w:t>ractice include:</w:t>
      </w:r>
    </w:p>
    <w:p w14:paraId="319CC81F" w14:textId="77777777" w:rsidR="00B60630" w:rsidRDefault="00B60630" w:rsidP="00B60630">
      <w:pPr>
        <w:pStyle w:val="AspexBullet1"/>
      </w:pPr>
      <w:r>
        <w:t xml:space="preserve">In an audit of Australian GPs regarding management of Hepatitis B, only </w:t>
      </w:r>
      <w:r w:rsidRPr="00D26DD3">
        <w:t>29% of patients were monitored at recommended intervals</w:t>
      </w:r>
      <w:r>
        <w:t xml:space="preserve">, </w:t>
      </w:r>
      <w:r w:rsidRPr="00D26DD3">
        <w:t>47% were managed according to the current guidelines</w:t>
      </w:r>
      <w:r>
        <w:t xml:space="preserve"> and 25%</w:t>
      </w:r>
      <w:r w:rsidRPr="00D26DD3">
        <w:t xml:space="preserve"> of patients had been referred to a specialist</w:t>
      </w:r>
      <w:r>
        <w:t xml:space="preserve"> (Survey of GPs - No NHMRC Level of Evidence, Dev et al 2011);</w:t>
      </w:r>
    </w:p>
    <w:p w14:paraId="66B60DA0" w14:textId="3BDE2951" w:rsidR="00B60630" w:rsidRDefault="00B60630" w:rsidP="00B60630">
      <w:pPr>
        <w:pStyle w:val="AspexBullet1"/>
      </w:pPr>
      <w:r>
        <w:t>In a survey of GPs in Western Australia</w:t>
      </w:r>
      <w:r w:rsidRPr="00084B79">
        <w:t xml:space="preserve"> </w:t>
      </w:r>
      <w:r>
        <w:t xml:space="preserve">regarding management of Chlamydia, </w:t>
      </w:r>
      <w:r w:rsidRPr="00084B79">
        <w:t xml:space="preserve">only 8% of GPs took a comprehensive sexual history from symptomatic cases, 53% routinely tested for blood-borne sexually </w:t>
      </w:r>
      <w:r w:rsidR="002F40B4" w:rsidRPr="0014785D">
        <w:t>transmi</w:t>
      </w:r>
      <w:r w:rsidR="002F40B4">
        <w:t>ssible</w:t>
      </w:r>
      <w:r w:rsidR="002F40B4" w:rsidRPr="0014785D">
        <w:t xml:space="preserve"> </w:t>
      </w:r>
      <w:r w:rsidRPr="00084B79">
        <w:t>infections and 29% recorded a discussion of partner notification in the medical records (</w:t>
      </w:r>
      <w:r>
        <w:t xml:space="preserve">Survey of GPs - No NHMRC Level of Evidence, </w:t>
      </w:r>
      <w:r w:rsidRPr="00084B79">
        <w:t>Bangor-Jones 2011);</w:t>
      </w:r>
    </w:p>
    <w:p w14:paraId="71358E16" w14:textId="77777777" w:rsidR="00B60630" w:rsidRDefault="00B60630" w:rsidP="00B60630">
      <w:pPr>
        <w:pStyle w:val="AspexBullet1"/>
      </w:pPr>
      <w:r>
        <w:t>In a survey of Victorian GPs regarding attitudes to taking a sexual history, 28% would do so for a patient routinely requesting the contraceptive pill, 30% would do so for a Papanicolaou (Pap) smear, and 30% would do so when giving advice about immunisation before overseas travel (Survey of GPs - No NHMRC Level of Evidence, Temple-Smith et al 1999).</w:t>
      </w:r>
    </w:p>
    <w:p w14:paraId="2E98CF77" w14:textId="4D25953A" w:rsidR="00B60630" w:rsidRDefault="00B60630" w:rsidP="00B60630">
      <w:pPr>
        <w:pStyle w:val="AspexBodyStandard"/>
      </w:pPr>
      <w:r>
        <w:lastRenderedPageBreak/>
        <w:t xml:space="preserve">General </w:t>
      </w:r>
      <w:r w:rsidR="002F40B4">
        <w:t>p</w:t>
      </w:r>
      <w:r>
        <w:t>ractitioners have also been reported as unwilling or uncomfortable in dealing with more complex conditions such as HIV (Survey of GPs - No NHMRC Level of Evidence, Defty et al 2010). Specific barriers include:</w:t>
      </w:r>
    </w:p>
    <w:p w14:paraId="375BCA3E" w14:textId="77777777" w:rsidR="00B60630" w:rsidRDefault="00B60630" w:rsidP="00B60630">
      <w:pPr>
        <w:pStyle w:val="AspexBullet1"/>
        <w:rPr>
          <w:lang w:val="en"/>
        </w:rPr>
      </w:pPr>
      <w:r>
        <w:t xml:space="preserve">Complexity of </w:t>
      </w:r>
      <w:r>
        <w:rPr>
          <w:rFonts w:cs="Arial"/>
          <w:color w:val="000000"/>
          <w:szCs w:val="22"/>
          <w:lang w:val="en"/>
        </w:rPr>
        <w:t xml:space="preserve">highly active antiretroviral </w:t>
      </w:r>
      <w:r>
        <w:rPr>
          <w:lang w:val="en"/>
        </w:rPr>
        <w:t>therapy</w:t>
      </w:r>
      <w:r w:rsidRPr="002429C6">
        <w:rPr>
          <w:lang w:val="en"/>
        </w:rPr>
        <w:t xml:space="preserve"> </w:t>
      </w:r>
      <w:r>
        <w:rPr>
          <w:lang w:val="en"/>
        </w:rPr>
        <w:t>(HAART) regimens, including interactions and side effects;</w:t>
      </w:r>
    </w:p>
    <w:p w14:paraId="576A8756" w14:textId="1F91829F" w:rsidR="00B60630" w:rsidRDefault="00B525F2" w:rsidP="00B60630">
      <w:pPr>
        <w:pStyle w:val="AspexBullet1"/>
        <w:rPr>
          <w:lang w:val="en"/>
        </w:rPr>
      </w:pPr>
      <w:r>
        <w:rPr>
          <w:lang w:val="en"/>
        </w:rPr>
        <w:t>I</w:t>
      </w:r>
      <w:r w:rsidR="00B60630">
        <w:rPr>
          <w:lang w:val="en"/>
        </w:rPr>
        <w:t>nsufficient experience or inadequate training;</w:t>
      </w:r>
    </w:p>
    <w:p w14:paraId="2CD6CDC7" w14:textId="77777777" w:rsidR="00B60630" w:rsidRDefault="00B60630" w:rsidP="00B60630">
      <w:pPr>
        <w:pStyle w:val="AspexBullet1"/>
        <w:rPr>
          <w:lang w:val="en"/>
        </w:rPr>
      </w:pPr>
      <w:r>
        <w:rPr>
          <w:lang w:val="en"/>
        </w:rPr>
        <w:t>Inadequate reimbursement;</w:t>
      </w:r>
    </w:p>
    <w:p w14:paraId="47A11579" w14:textId="007F1DCB" w:rsidR="00B60630" w:rsidRDefault="00B60630" w:rsidP="00B60630">
      <w:pPr>
        <w:pStyle w:val="AspexBullet1"/>
        <w:rPr>
          <w:lang w:val="en"/>
        </w:rPr>
      </w:pPr>
      <w:r>
        <w:rPr>
          <w:lang w:val="en"/>
        </w:rPr>
        <w:t>Inadequate communication between primary and specialist care;</w:t>
      </w:r>
      <w:r w:rsidR="00B525F2">
        <w:rPr>
          <w:lang w:val="en"/>
        </w:rPr>
        <w:t xml:space="preserve"> and</w:t>
      </w:r>
    </w:p>
    <w:p w14:paraId="09C1960E" w14:textId="77777777" w:rsidR="00B60630" w:rsidRPr="00C4720F" w:rsidRDefault="00B60630" w:rsidP="00B60630">
      <w:pPr>
        <w:pStyle w:val="AspexBullet1"/>
        <w:rPr>
          <w:lang w:val="en"/>
        </w:rPr>
      </w:pPr>
      <w:r>
        <w:rPr>
          <w:lang w:val="en"/>
        </w:rPr>
        <w:t>Belief that patients with HIV prefer to have their illness (+/- all health issues) managed by specialists.</w:t>
      </w:r>
    </w:p>
    <w:p w14:paraId="62A65B6B" w14:textId="77777777" w:rsidR="00B60630" w:rsidRDefault="00B60630" w:rsidP="00B60630">
      <w:pPr>
        <w:pStyle w:val="AspexBodyStandard"/>
      </w:pPr>
      <w:r>
        <w:t xml:space="preserve">Conversely, there is some evidence that multi-disciplinary and multifaceted treatments, and centralised care with high patient volumes, such as treatment and care provided by specialist centres, could lead to improved outcomes (including reduced mortality) in conditions such as HIV/AIDS (Level I evidence; Handford et al 2006). Similarly, </w:t>
      </w:r>
      <w:r w:rsidRPr="00623AE2">
        <w:t>improved medical outcomes are achieved for patients when treated by a provider with more training/expertise in HIV/AIDS care in the outpatient (clinic) setting</w:t>
      </w:r>
      <w:r>
        <w:t xml:space="preserve"> (Level II evidence; Rackal et al 2011). These improved outcomes included:</w:t>
      </w:r>
    </w:p>
    <w:p w14:paraId="230E0AE3" w14:textId="77777777" w:rsidR="00B60630" w:rsidRDefault="00B60630" w:rsidP="00B60630">
      <w:pPr>
        <w:pStyle w:val="AspexBullet1"/>
        <w:rPr>
          <w:lang w:val="en"/>
        </w:rPr>
      </w:pPr>
      <w:r>
        <w:rPr>
          <w:lang w:val="en"/>
        </w:rPr>
        <w:t xml:space="preserve">Greater plasma viral load control; </w:t>
      </w:r>
    </w:p>
    <w:p w14:paraId="6CC47955" w14:textId="77777777" w:rsidR="00B60630" w:rsidRDefault="00B60630" w:rsidP="00B60630">
      <w:pPr>
        <w:pStyle w:val="AspexBullet1"/>
        <w:rPr>
          <w:lang w:val="en"/>
        </w:rPr>
      </w:pPr>
      <w:r>
        <w:rPr>
          <w:lang w:val="en"/>
        </w:rPr>
        <w:t xml:space="preserve">Patients more likely to be on </w:t>
      </w:r>
      <w:r>
        <w:rPr>
          <w:rFonts w:cs="Arial"/>
          <w:color w:val="000000"/>
          <w:szCs w:val="22"/>
          <w:lang w:val="en"/>
        </w:rPr>
        <w:t xml:space="preserve">highly active antiretroviral </w:t>
      </w:r>
      <w:r>
        <w:rPr>
          <w:lang w:val="en"/>
        </w:rPr>
        <w:t>therapy</w:t>
      </w:r>
      <w:r w:rsidRPr="002429C6">
        <w:rPr>
          <w:lang w:val="en"/>
        </w:rPr>
        <w:t xml:space="preserve"> </w:t>
      </w:r>
      <w:r>
        <w:rPr>
          <w:lang w:val="en"/>
        </w:rPr>
        <w:t>(HAART);</w:t>
      </w:r>
    </w:p>
    <w:p w14:paraId="486FAE09" w14:textId="77777777" w:rsidR="00B60630" w:rsidRDefault="00B60630" w:rsidP="00B60630">
      <w:pPr>
        <w:pStyle w:val="AspexBullet1"/>
        <w:rPr>
          <w:lang w:val="en"/>
        </w:rPr>
      </w:pPr>
      <w:r>
        <w:rPr>
          <w:lang w:val="en"/>
        </w:rPr>
        <w:t>Patients on newer treatment regimens sooner;</w:t>
      </w:r>
    </w:p>
    <w:p w14:paraId="7F74685B" w14:textId="77777777" w:rsidR="00B60630" w:rsidRDefault="00B60630" w:rsidP="00B60630">
      <w:pPr>
        <w:pStyle w:val="AspexBullet1"/>
        <w:rPr>
          <w:lang w:val="en"/>
        </w:rPr>
      </w:pPr>
      <w:r>
        <w:rPr>
          <w:lang w:val="en"/>
        </w:rPr>
        <w:t xml:space="preserve">Patients having more outpatient care; </w:t>
      </w:r>
    </w:p>
    <w:p w14:paraId="2FD46A23" w14:textId="77777777" w:rsidR="00B60630" w:rsidRDefault="00B60630" w:rsidP="00B60630">
      <w:pPr>
        <w:pStyle w:val="AspexBullet1"/>
        <w:rPr>
          <w:lang w:val="en"/>
        </w:rPr>
      </w:pPr>
      <w:r>
        <w:rPr>
          <w:lang w:val="en"/>
        </w:rPr>
        <w:t xml:space="preserve">Less likelihood of emergency room visits; and </w:t>
      </w:r>
    </w:p>
    <w:p w14:paraId="02F89CF5" w14:textId="77777777" w:rsidR="00B60630" w:rsidRPr="00DF3178" w:rsidRDefault="00B60630" w:rsidP="00B60630">
      <w:pPr>
        <w:pStyle w:val="AspexBullet1"/>
        <w:rPr>
          <w:lang w:val="en"/>
        </w:rPr>
      </w:pPr>
      <w:r>
        <w:rPr>
          <w:lang w:val="en"/>
        </w:rPr>
        <w:t>Shorter stay in hospital.</w:t>
      </w:r>
    </w:p>
    <w:p w14:paraId="16AA071F" w14:textId="77777777" w:rsidR="00B60630" w:rsidRDefault="00B60630" w:rsidP="00B60630">
      <w:pPr>
        <w:pStyle w:val="AspexBodyStandard"/>
      </w:pPr>
      <w:r>
        <w:t xml:space="preserve"> Accordingly, the Australian Medical Council in 2007 (AMC 2007) found that:</w:t>
      </w:r>
    </w:p>
    <w:p w14:paraId="13DFF8DF" w14:textId="2C4CCE47" w:rsidR="00B60630" w:rsidRPr="00B60630" w:rsidRDefault="00B60630" w:rsidP="00B60630">
      <w:pPr>
        <w:pStyle w:val="IntenseQuote"/>
      </w:pPr>
      <w:r w:rsidRPr="00B60630">
        <w:t>“Sexual Health physicians are a longstanding and essential piece within a complex and evolving clinical and public health jigsaw; and are recognised as providing clinical and support services by both state and territory health authorities and other specialty groups”</w:t>
      </w:r>
    </w:p>
    <w:bookmarkEnd w:id="64"/>
    <w:p w14:paraId="125B4DDE" w14:textId="77777777" w:rsidR="00CE1407" w:rsidRDefault="00CE1407" w:rsidP="00EF2196">
      <w:pPr>
        <w:pStyle w:val="AspexBodyStandard"/>
      </w:pPr>
    </w:p>
    <w:p w14:paraId="53C702BB" w14:textId="77777777" w:rsidR="00EF2196" w:rsidRPr="00EF2196" w:rsidRDefault="00EF2196" w:rsidP="00EF2196">
      <w:pPr>
        <w:pStyle w:val="AspexBodyStandard"/>
      </w:pPr>
    </w:p>
    <w:p w14:paraId="14C0ABE9" w14:textId="77777777" w:rsidR="00C202A9" w:rsidRDefault="008C29C6" w:rsidP="007333CE">
      <w:pPr>
        <w:pStyle w:val="Heading1"/>
      </w:pPr>
      <w:bookmarkStart w:id="73" w:name="_Toc351480526"/>
      <w:r>
        <w:lastRenderedPageBreak/>
        <w:t>Sexual Health Medicine</w:t>
      </w:r>
      <w:r w:rsidR="00B72DE3">
        <w:t xml:space="preserve"> scope of practice and workforce</w:t>
      </w:r>
      <w:bookmarkEnd w:id="73"/>
    </w:p>
    <w:p w14:paraId="3E8FB34E" w14:textId="77777777" w:rsidR="00147714" w:rsidRDefault="00147714" w:rsidP="007333CE">
      <w:pPr>
        <w:pStyle w:val="Heading2"/>
      </w:pPr>
      <w:bookmarkStart w:id="74" w:name="_Toc351480527"/>
      <w:r>
        <w:t>Comparator specialty groups</w:t>
      </w:r>
      <w:bookmarkEnd w:id="74"/>
    </w:p>
    <w:p w14:paraId="29DE90E0" w14:textId="77777777" w:rsidR="00623A12" w:rsidRDefault="00623A12" w:rsidP="00623A12">
      <w:pPr>
        <w:pStyle w:val="AspexBodyStandard"/>
      </w:pPr>
      <w:r>
        <w:t xml:space="preserve">As previously described, a range of safe and effective interventions </w:t>
      </w:r>
      <w:r w:rsidR="003B7CD2">
        <w:t xml:space="preserve">for </w:t>
      </w:r>
      <w:r w:rsidR="007B00D1">
        <w:t>sexual health related</w:t>
      </w:r>
      <w:r w:rsidR="00635D68">
        <w:t xml:space="preserve"> problems could</w:t>
      </w:r>
      <w:r>
        <w:t xml:space="preserve"> be provided by a number of different medical </w:t>
      </w:r>
      <w:r w:rsidR="00635D68">
        <w:t>specialties.</w:t>
      </w:r>
    </w:p>
    <w:p w14:paraId="5A68BD89" w14:textId="37C3CF74" w:rsidR="00307A1B" w:rsidRDefault="007B00D1" w:rsidP="00623A12">
      <w:pPr>
        <w:pStyle w:val="AspexBodyStandard"/>
      </w:pPr>
      <w:r w:rsidRPr="00017F71">
        <w:t>General p</w:t>
      </w:r>
      <w:r w:rsidR="00635D68" w:rsidRPr="00017F71">
        <w:t>ractitioners</w:t>
      </w:r>
      <w:r w:rsidR="007E02CC">
        <w:t xml:space="preserve"> (GPs)</w:t>
      </w:r>
      <w:r w:rsidR="00635D68" w:rsidRPr="00017F71">
        <w:t xml:space="preserve"> provide the majority of services. </w:t>
      </w:r>
      <w:r w:rsidR="00E26AEA" w:rsidRPr="00017F71">
        <w:t xml:space="preserve">In addition to GPs, infectious diseases physicians </w:t>
      </w:r>
      <w:r w:rsidR="00635D68" w:rsidRPr="00017F71">
        <w:t xml:space="preserve">also see patients with </w:t>
      </w:r>
      <w:r w:rsidR="00E26AEA" w:rsidRPr="00017F71">
        <w:t xml:space="preserve">sexual health related problems.  However, patients treated by infectious diseases </w:t>
      </w:r>
      <w:r w:rsidR="00EB2D56" w:rsidRPr="00017F71">
        <w:t>physicians</w:t>
      </w:r>
      <w:r w:rsidR="00E26AEA" w:rsidRPr="00017F71">
        <w:t xml:space="preserve"> tend to be</w:t>
      </w:r>
      <w:r w:rsidR="002F154E" w:rsidRPr="00017F71">
        <w:t xml:space="preserve"> hospital </w:t>
      </w:r>
      <w:r w:rsidR="00E26AEA" w:rsidRPr="00017F71">
        <w:t>inpatient</w:t>
      </w:r>
      <w:r w:rsidR="002F154E" w:rsidRPr="00017F71">
        <w:t>s rather than ambulatory community patients.  Nevertheless,</w:t>
      </w:r>
      <w:r w:rsidR="00635D68" w:rsidRPr="00017F71">
        <w:t xml:space="preserve"> it is useful to identify and compare the training competencies of these medical specialties with the more recent specialty of </w:t>
      </w:r>
      <w:r w:rsidR="00D270B7" w:rsidRPr="00017F71">
        <w:t>sexual health medicine</w:t>
      </w:r>
      <w:r w:rsidR="00635D68" w:rsidRPr="00017F71">
        <w:t>.</w:t>
      </w:r>
      <w:r w:rsidR="00D15362" w:rsidRPr="00017F71">
        <w:t xml:space="preserve">  Results of this analysis are presented in </w:t>
      </w:r>
      <w:r w:rsidR="00123CA1">
        <w:t>Appendix 5</w:t>
      </w:r>
      <w:r w:rsidR="00D15362" w:rsidRPr="00017F71">
        <w:t>.</w:t>
      </w:r>
      <w:r w:rsidR="00D15362">
        <w:t xml:space="preserve"> </w:t>
      </w:r>
    </w:p>
    <w:p w14:paraId="7F3C1AA4" w14:textId="77777777" w:rsidR="00046EB9" w:rsidRDefault="008C29C6" w:rsidP="00F44503">
      <w:pPr>
        <w:pStyle w:val="Heading3"/>
      </w:pPr>
      <w:bookmarkStart w:id="75" w:name="_Toc224038111"/>
      <w:r>
        <w:t>Sexual Health Medicine</w:t>
      </w:r>
      <w:r w:rsidR="00046EB9">
        <w:t xml:space="preserve"> and General Practitioners</w:t>
      </w:r>
      <w:bookmarkEnd w:id="75"/>
    </w:p>
    <w:p w14:paraId="3FD6F8AB" w14:textId="77777777" w:rsidR="00635D68" w:rsidRDefault="00046EB9" w:rsidP="00623A12">
      <w:pPr>
        <w:pStyle w:val="AspexBodyStandard"/>
      </w:pPr>
      <w:r>
        <w:t>Analysis of training competencies indicates that b</w:t>
      </w:r>
      <w:r w:rsidR="00D15362">
        <w:t xml:space="preserve">oth </w:t>
      </w:r>
      <w:r w:rsidR="00D270B7" w:rsidRPr="00D270B7">
        <w:t xml:space="preserve">sexual health medicine </w:t>
      </w:r>
      <w:r w:rsidR="00307A1B">
        <w:t xml:space="preserve">specialists </w:t>
      </w:r>
      <w:r>
        <w:t xml:space="preserve">are </w:t>
      </w:r>
      <w:r w:rsidR="00D15362">
        <w:t>traine</w:t>
      </w:r>
      <w:r w:rsidR="00D270B7">
        <w:t>d to perform a wider role than g</w:t>
      </w:r>
      <w:r w:rsidR="00D15362">
        <w:t xml:space="preserve">eneral </w:t>
      </w:r>
      <w:r w:rsidR="00D270B7">
        <w:t>p</w:t>
      </w:r>
      <w:r w:rsidR="00D15362">
        <w:t>ractitioners in</w:t>
      </w:r>
      <w:r w:rsidR="00EB2D56">
        <w:t xml:space="preserve"> relation to</w:t>
      </w:r>
      <w:r w:rsidR="00D15362">
        <w:t>:</w:t>
      </w:r>
    </w:p>
    <w:p w14:paraId="350E91F6" w14:textId="77777777" w:rsidR="00D15362" w:rsidRDefault="00EB2D56" w:rsidP="00D15362">
      <w:pPr>
        <w:pStyle w:val="AspexBullet1"/>
      </w:pPr>
      <w:r>
        <w:t>Patient assessment as it relates to developing a management plan, undertaking health consultations with other health professionals and providing advanced sexual counselling</w:t>
      </w:r>
      <w:r w:rsidR="00D15362">
        <w:t>;</w:t>
      </w:r>
    </w:p>
    <w:p w14:paraId="0B025C0B" w14:textId="77777777" w:rsidR="00D15362" w:rsidRDefault="00EB2D56" w:rsidP="00D15362">
      <w:pPr>
        <w:pStyle w:val="AspexBullet1"/>
      </w:pPr>
      <w:r>
        <w:t>Sexual assault, particularly as it relates to a child</w:t>
      </w:r>
      <w:r w:rsidR="00D15362">
        <w:t>;</w:t>
      </w:r>
    </w:p>
    <w:p w14:paraId="7491C505" w14:textId="77777777" w:rsidR="00EB2D56" w:rsidRDefault="00D15362" w:rsidP="00D15362">
      <w:pPr>
        <w:pStyle w:val="AspexBullet1"/>
      </w:pPr>
      <w:r>
        <w:t>Public health activities</w:t>
      </w:r>
      <w:r w:rsidR="00EB2D56">
        <w:t xml:space="preserve"> as it relates to developing and implementing health promotion activities in </w:t>
      </w:r>
      <w:r w:rsidR="002A73FA">
        <w:t>relation to</w:t>
      </w:r>
      <w:r w:rsidR="00EB2D56">
        <w:t xml:space="preserve"> sexual health, particularly in containment of STIs and BBVs</w:t>
      </w:r>
      <w:r>
        <w:t xml:space="preserve">; </w:t>
      </w:r>
    </w:p>
    <w:p w14:paraId="17404568" w14:textId="77777777" w:rsidR="00D15362" w:rsidRDefault="00EB2D56" w:rsidP="00D15362">
      <w:pPr>
        <w:pStyle w:val="AspexBullet1"/>
      </w:pPr>
      <w:r>
        <w:t xml:space="preserve">Professional qualities specific to sexual health medicine including seeking and critically appraising information from a range of sources, outlining principles of research and advocating for sexual health as some examples; </w:t>
      </w:r>
      <w:r w:rsidR="00D15362">
        <w:t>and</w:t>
      </w:r>
    </w:p>
    <w:p w14:paraId="17B37289" w14:textId="1A2147BF" w:rsidR="00EB2D56" w:rsidRDefault="00EB2D56" w:rsidP="00D15362">
      <w:pPr>
        <w:pStyle w:val="AspexBullet1"/>
      </w:pPr>
      <w:r>
        <w:t>Community prescribing of s100 HIV drugs with the exception of those GPs who seek accreditation via ASHM upon undertaking the nationally endorsed education program.</w:t>
      </w:r>
    </w:p>
    <w:p w14:paraId="5A3DBDBF" w14:textId="1FECE0C0" w:rsidR="002A73FA" w:rsidRDefault="002A73FA" w:rsidP="002A73FA">
      <w:pPr>
        <w:pStyle w:val="AspexBodyStandard"/>
      </w:pPr>
      <w:r>
        <w:t>A small group of general practitioners are qualified and accredited as community prescriber</w:t>
      </w:r>
      <w:r w:rsidR="001D3D56">
        <w:t>s</w:t>
      </w:r>
      <w:r>
        <w:t xml:space="preserve"> of S100 medications for patients with HIV and usually provide shared care of patients with sexual health </w:t>
      </w:r>
      <w:r w:rsidR="001D3D56">
        <w:t xml:space="preserve">medicine </w:t>
      </w:r>
      <w:r>
        <w:t xml:space="preserve">specialists.  The number of community prescribers across jurisdictions in 2010 through 2012 is at </w:t>
      </w:r>
      <w:r>
        <w:fldChar w:fldCharType="begin"/>
      </w:r>
      <w:r>
        <w:instrText xml:space="preserve"> REF _Ref350442070 \h </w:instrText>
      </w:r>
      <w:r>
        <w:fldChar w:fldCharType="separate"/>
      </w:r>
      <w:r w:rsidR="008E6665" w:rsidRPr="00C8389B">
        <w:t>Table</w:t>
      </w:r>
      <w:r w:rsidR="008E6665">
        <w:t xml:space="preserve"> </w:t>
      </w:r>
      <w:r w:rsidR="008E6665">
        <w:rPr>
          <w:noProof/>
        </w:rPr>
        <w:t>4</w:t>
      </w:r>
      <w:r w:rsidR="008E6665" w:rsidRPr="00D72A26">
        <w:noBreakHyphen/>
      </w:r>
      <w:r w:rsidR="008E6665">
        <w:rPr>
          <w:noProof/>
        </w:rPr>
        <w:t>1</w:t>
      </w:r>
      <w:r>
        <w:fldChar w:fldCharType="end"/>
      </w:r>
      <w:r>
        <w:rPr>
          <w:rStyle w:val="FootnoteReference"/>
        </w:rPr>
        <w:footnoteReference w:id="23"/>
      </w:r>
      <w:r>
        <w:t xml:space="preserve">. </w:t>
      </w:r>
    </w:p>
    <w:p w14:paraId="40F7A9CB" w14:textId="54088A48" w:rsidR="00DE04C1" w:rsidRDefault="00DE04C1">
      <w:pPr>
        <w:spacing w:before="0" w:after="0" w:line="240" w:lineRule="auto"/>
      </w:pPr>
      <w:r>
        <w:br w:type="page"/>
      </w:r>
    </w:p>
    <w:p w14:paraId="7839AABB" w14:textId="2EBA8407" w:rsidR="002A73FA" w:rsidRDefault="002A73FA" w:rsidP="002A73FA">
      <w:pPr>
        <w:pStyle w:val="Caption"/>
      </w:pPr>
      <w:bookmarkStart w:id="76" w:name="_Ref350442070"/>
      <w:bookmarkStart w:id="77" w:name="_Toc351129881"/>
      <w:r w:rsidRPr="00C8389B">
        <w:lastRenderedPageBreak/>
        <w:t>Table</w:t>
      </w:r>
      <w:r>
        <w:t xml:space="preserv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Pr="00D72A26">
        <w:noBreakHyphen/>
      </w:r>
      <w:r w:rsidR="008E6665">
        <w:fldChar w:fldCharType="begin"/>
      </w:r>
      <w:r w:rsidR="008E6665">
        <w:instrText xml:space="preserve"> SEQ Table \* ARABIC \s 1 </w:instrText>
      </w:r>
      <w:r w:rsidR="008E6665">
        <w:fldChar w:fldCharType="separate"/>
      </w:r>
      <w:r w:rsidR="008E6665">
        <w:rPr>
          <w:noProof/>
        </w:rPr>
        <w:t>1</w:t>
      </w:r>
      <w:r w:rsidR="008E6665">
        <w:rPr>
          <w:noProof/>
        </w:rPr>
        <w:fldChar w:fldCharType="end"/>
      </w:r>
      <w:bookmarkEnd w:id="76"/>
      <w:r w:rsidR="00AE66EA">
        <w:rPr>
          <w:noProof/>
        </w:rPr>
        <w:t>:</w:t>
      </w:r>
      <w:r>
        <w:tab/>
      </w:r>
      <w:r w:rsidRPr="00E26AEA">
        <w:t>Accredited S100 HIV Community Pres</w:t>
      </w:r>
      <w:r>
        <w:t>cribers by State/Territory 2010-</w:t>
      </w:r>
      <w:r w:rsidRPr="00E26AEA">
        <w:t>12</w:t>
      </w:r>
      <w:bookmarkEnd w:id="77"/>
    </w:p>
    <w:bookmarkStart w:id="78" w:name="_MON_1425372309"/>
    <w:bookmarkEnd w:id="78"/>
    <w:p w14:paraId="373D184F" w14:textId="7FD5CAF1" w:rsidR="002A73FA" w:rsidRDefault="00005DC8" w:rsidP="00436203">
      <w:pPr>
        <w:pStyle w:val="AspexBodyStandard"/>
      </w:pPr>
      <w:r>
        <w:object w:dxaOrig="9235" w:dyaOrig="1926" w14:anchorId="7B99285C">
          <v:shape id="_x0000_i1030" type="#_x0000_t75" alt="Table 4 1: Accredited S100 HIV Community Prescribers by State/Territory 2010-12" style="width:461.25pt;height:96.75pt;mso-position-vertical:absolute" o:ole="">
            <v:imagedata r:id="rId37" o:title=""/>
          </v:shape>
          <o:OLEObject Type="Embed" ProgID="Word.Document.12" ShapeID="_x0000_i1030" DrawAspect="Content" ObjectID="_1457429605" r:id="rId38">
            <o:FieldCodes>\s</o:FieldCodes>
          </o:OLEObject>
        </w:object>
      </w:r>
      <w:r w:rsidR="002A73FA">
        <w:t>A</w:t>
      </w:r>
      <w:r w:rsidR="002A73FA">
        <w:rPr>
          <w:lang w:eastAsia="en-AU"/>
        </w:rPr>
        <w:t>dequate clinical service provision for people living with STIs such as HIV has been reported to be essential for effective disease management (Mallitt et al 2012).  In particular, timely access to quality services for diagnosis, drug prescription and the treatment of comorbidities is believed to affect long-term prognosis (Keiser et al 2008).</w:t>
      </w:r>
      <w:r w:rsidR="002A73FA" w:rsidRPr="008D3FEA">
        <w:t xml:space="preserve"> </w:t>
      </w:r>
      <w:r w:rsidR="002A73FA">
        <w:t>Despite this, there is little published evidence of unmet need in Sexual Health Medicine.</w:t>
      </w:r>
    </w:p>
    <w:p w14:paraId="3DDA5CB3" w14:textId="77777777" w:rsidR="002A73FA" w:rsidRDefault="002A73FA" w:rsidP="002A73FA">
      <w:pPr>
        <w:pStyle w:val="AspexBodyStandard"/>
      </w:pPr>
      <w:r>
        <w:t>Another review of HIV clinical service capacity (Mallitt et al 2012) concluded that, while d</w:t>
      </w:r>
      <w:r w:rsidRPr="000A4E8B">
        <w:t>emand for clinical services with expertise in HIV management</w:t>
      </w:r>
      <w:r>
        <w:t xml:space="preserve"> </w:t>
      </w:r>
      <w:r w:rsidRPr="000A4E8B">
        <w:t>is increasing in Australia, supply is decreasing</w:t>
      </w:r>
      <w:r>
        <w:t>. In particular, the numbers of general practices that offer a doctor who can prescribe anti-retroviral drugs for HIV have not increased in line with the increase in HIV patients.</w:t>
      </w:r>
    </w:p>
    <w:p w14:paraId="7D231C3C" w14:textId="2F028A54" w:rsidR="002A73FA" w:rsidRDefault="002A73FA" w:rsidP="002A73FA">
      <w:pPr>
        <w:pStyle w:val="AspexBodyStandard"/>
      </w:pPr>
      <w:r>
        <w:t xml:space="preserve">Examination of the rate of increase in prevalence of people living with HIV against the number of accredited community prescribers is presented in </w:t>
      </w:r>
      <w:r>
        <w:fldChar w:fldCharType="begin"/>
      </w:r>
      <w:r>
        <w:instrText xml:space="preserve"> REF _Ref224535802 \h </w:instrText>
      </w:r>
      <w:r>
        <w:fldChar w:fldCharType="separate"/>
      </w:r>
      <w:r w:rsidR="008E6665" w:rsidRPr="00C32C3D">
        <w:t xml:space="preserve">Figure </w:t>
      </w:r>
      <w:r w:rsidR="008E6665">
        <w:rPr>
          <w:noProof/>
        </w:rPr>
        <w:t>4</w:t>
      </w:r>
      <w:r w:rsidR="008E6665">
        <w:noBreakHyphen/>
      </w:r>
      <w:r w:rsidR="008E6665">
        <w:rPr>
          <w:noProof/>
        </w:rPr>
        <w:t>1</w:t>
      </w:r>
      <w:r>
        <w:fldChar w:fldCharType="end"/>
      </w:r>
      <w:r>
        <w:t>, which indicates a widening gap between the number of community prescribers and the growing number of individuals living with HIV in the community.</w:t>
      </w:r>
    </w:p>
    <w:p w14:paraId="46FF2880" w14:textId="190A0EC3" w:rsidR="002A73FA" w:rsidRPr="00C32C3D" w:rsidRDefault="002A73FA" w:rsidP="002A73FA">
      <w:pPr>
        <w:pStyle w:val="Caption"/>
      </w:pPr>
      <w:bookmarkStart w:id="79" w:name="_Ref224535802"/>
      <w:bookmarkStart w:id="80" w:name="_Toc351129605"/>
      <w:r w:rsidRPr="00C32C3D">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w:t>
      </w:r>
      <w:r w:rsidR="008E6665">
        <w:rPr>
          <w:noProof/>
        </w:rPr>
        <w:fldChar w:fldCharType="end"/>
      </w:r>
      <w:bookmarkEnd w:id="79"/>
      <w:r w:rsidR="00AE66EA">
        <w:rPr>
          <w:noProof/>
        </w:rPr>
        <w:t>:</w:t>
      </w:r>
      <w:r w:rsidRPr="00C32C3D">
        <w:tab/>
      </w:r>
      <w:r>
        <w:t xml:space="preserve">Accredited S100 prescribers of HIV medications </w:t>
      </w:r>
      <w:r w:rsidRPr="00C32C3D">
        <w:t>a</w:t>
      </w:r>
      <w:r>
        <w:t>cross Australia</w:t>
      </w:r>
      <w:bookmarkEnd w:id="80"/>
      <w:r>
        <w:t xml:space="preserve"> </w:t>
      </w:r>
    </w:p>
    <w:p w14:paraId="45C19655" w14:textId="2ECC2F74" w:rsidR="002A73FA" w:rsidRDefault="004A434E" w:rsidP="00FE683C">
      <w:pPr>
        <w:pStyle w:val="AspexBodyStandard"/>
        <w:jc w:val="left"/>
      </w:pPr>
      <w:r w:rsidRPr="004A434E">
        <w:rPr>
          <w:noProof/>
          <w:lang w:eastAsia="en-AU"/>
        </w:rPr>
        <w:drawing>
          <wp:inline distT="0" distB="0" distL="0" distR="0" wp14:anchorId="5C2CB576" wp14:editId="6F38A1FB">
            <wp:extent cx="5723890" cy="2734747"/>
            <wp:effectExtent l="0" t="0" r="0" b="8890"/>
            <wp:docPr id="31" name="Picture 9" title="Figure 4 1: Accredited S100 prescribers of HIV medications acros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890" cy="2734747"/>
                    </a:xfrm>
                    <a:prstGeom prst="rect">
                      <a:avLst/>
                    </a:prstGeom>
                    <a:noFill/>
                    <a:ln>
                      <a:noFill/>
                    </a:ln>
                  </pic:spPr>
                </pic:pic>
              </a:graphicData>
            </a:graphic>
          </wp:inline>
        </w:drawing>
      </w:r>
    </w:p>
    <w:p w14:paraId="2EB120EF" w14:textId="77777777" w:rsidR="002A73FA" w:rsidRDefault="002A73FA" w:rsidP="002A73FA">
      <w:pPr>
        <w:pStyle w:val="AspexBodyStandard"/>
      </w:pPr>
    </w:p>
    <w:p w14:paraId="32C481D0" w14:textId="77777777" w:rsidR="00AC78D8" w:rsidRDefault="00AC78D8">
      <w:pPr>
        <w:spacing w:before="0" w:after="0" w:line="240" w:lineRule="auto"/>
      </w:pPr>
      <w:r>
        <w:br w:type="page"/>
      </w:r>
    </w:p>
    <w:p w14:paraId="7F471584" w14:textId="6EE06D0D" w:rsidR="004F6070" w:rsidRDefault="00046EB9" w:rsidP="00046EB9">
      <w:pPr>
        <w:pStyle w:val="AspexBodyStandard"/>
      </w:pPr>
      <w:r>
        <w:lastRenderedPageBreak/>
        <w:t xml:space="preserve">Nevertheless, the majority of services provided to patients with </w:t>
      </w:r>
      <w:r w:rsidR="002825E0">
        <w:t xml:space="preserve">sexual health related problems </w:t>
      </w:r>
      <w:r w:rsidR="00C2481D">
        <w:t>will continue to be</w:t>
      </w:r>
      <w:r w:rsidR="002825E0">
        <w:t xml:space="preserve"> provide</w:t>
      </w:r>
      <w:r w:rsidR="00C2481D">
        <w:t>d</w:t>
      </w:r>
      <w:r w:rsidR="002825E0">
        <w:t xml:space="preserve"> by g</w:t>
      </w:r>
      <w:r>
        <w:t xml:space="preserve">eneral </w:t>
      </w:r>
      <w:r w:rsidR="002825E0">
        <w:t>p</w:t>
      </w:r>
      <w:r>
        <w:t xml:space="preserve">ractitioners. </w:t>
      </w:r>
      <w:r w:rsidR="004F6070">
        <w:t>The AM</w:t>
      </w:r>
      <w:r w:rsidR="00C230FE">
        <w:t>C</w:t>
      </w:r>
      <w:r w:rsidR="004F6070">
        <w:t xml:space="preserve"> carefully considered the impact of introducing </w:t>
      </w:r>
      <w:r w:rsidR="00D270B7" w:rsidRPr="00D270B7">
        <w:t xml:space="preserve">sexual health medicine </w:t>
      </w:r>
      <w:r w:rsidR="004F6070">
        <w:t>specialists upon the existing</w:t>
      </w:r>
      <w:r w:rsidR="00D270B7">
        <w:t xml:space="preserve"> roles and responsibilities of g</w:t>
      </w:r>
      <w:r w:rsidR="004F6070">
        <w:t xml:space="preserve">eneral </w:t>
      </w:r>
      <w:r w:rsidR="002825E0">
        <w:t>p</w:t>
      </w:r>
      <w:r w:rsidR="004F6070">
        <w:t>ractitioners</w:t>
      </w:r>
      <w:r w:rsidR="00C2481D">
        <w:t xml:space="preserve"> and concluded that:</w:t>
      </w:r>
    </w:p>
    <w:p w14:paraId="6511743E" w14:textId="77777777" w:rsidR="002825E0" w:rsidRDefault="00AC42A1" w:rsidP="002825E0">
      <w:pPr>
        <w:pStyle w:val="IntenseQuote"/>
      </w:pPr>
      <w:r>
        <w:t>“</w:t>
      </w:r>
      <w:r w:rsidR="002825E0">
        <w:t>….</w:t>
      </w:r>
      <w:r w:rsidR="002825E0" w:rsidRPr="002825E0">
        <w:t>sexual health physicians are recognised by health authorities as essential to the</w:t>
      </w:r>
      <w:r w:rsidR="002825E0">
        <w:t xml:space="preserve"> </w:t>
      </w:r>
      <w:r w:rsidR="002825E0" w:rsidRPr="002825E0">
        <w:t>development of a primary care workforce in the area of sexual health medicine; and that the Chapter has a strong track record in providing training, education and other support to general practitioners and other health professionals, including sexual health nurses</w:t>
      </w:r>
      <w:r w:rsidR="002825E0">
        <w:t>.” (p.25)</w:t>
      </w:r>
    </w:p>
    <w:p w14:paraId="69A56223" w14:textId="77777777" w:rsidR="001C4C87" w:rsidRDefault="001C4C87" w:rsidP="001C4C87">
      <w:pPr>
        <w:pStyle w:val="Heading3"/>
      </w:pPr>
      <w:r>
        <w:t>Perceptions of Sexual Health Medicine specialists</w:t>
      </w:r>
    </w:p>
    <w:p w14:paraId="08B2BCF9" w14:textId="53B082BC" w:rsidR="001C4C87" w:rsidRPr="00BF2D0F" w:rsidRDefault="001C4C87" w:rsidP="001C4C87">
      <w:pPr>
        <w:pStyle w:val="AspexBodyStandard"/>
      </w:pPr>
      <w:r w:rsidRPr="00BF2D0F">
        <w:t>Chapter fellows were surveyed to identify perceived differences in patient management compared with general practitioners (including those who had trained as S100 prescribers)</w:t>
      </w:r>
      <w:r w:rsidRPr="00BF2D0F">
        <w:rPr>
          <w:rStyle w:val="FootnoteReference"/>
        </w:rPr>
        <w:footnoteReference w:id="24"/>
      </w:r>
      <w:r w:rsidRPr="00BF2D0F">
        <w:t xml:space="preserve">.  Results of the survey responses were consistent with the published literature </w:t>
      </w:r>
      <w:r w:rsidR="00B525F2">
        <w:t xml:space="preserve">and </w:t>
      </w:r>
      <w:r w:rsidRPr="00BF2D0F">
        <w:t>are de</w:t>
      </w:r>
      <w:r w:rsidR="00123CA1">
        <w:t>picted graphically in Appendix 4</w:t>
      </w:r>
      <w:r w:rsidRPr="00BF2D0F">
        <w:t>.  Specialist intervention was perceived to result in:</w:t>
      </w:r>
    </w:p>
    <w:p w14:paraId="4C085148" w14:textId="77777777" w:rsidR="001C4C87" w:rsidRPr="00BF2D0F" w:rsidRDefault="001C4C87" w:rsidP="001C4C87">
      <w:pPr>
        <w:pStyle w:val="AspexBullet1"/>
      </w:pPr>
      <w:r w:rsidRPr="00BF2D0F">
        <w:t>More time spent with patients per patient visit;</w:t>
      </w:r>
    </w:p>
    <w:p w14:paraId="7623132A" w14:textId="77777777" w:rsidR="001C4C87" w:rsidRPr="00BF2D0F" w:rsidRDefault="001C4C87" w:rsidP="001C4C87">
      <w:pPr>
        <w:pStyle w:val="AspexBullet1"/>
      </w:pPr>
      <w:r w:rsidRPr="00BF2D0F">
        <w:t>More appropriate medication prescriptions;</w:t>
      </w:r>
    </w:p>
    <w:p w14:paraId="3AA3348F" w14:textId="5AE91EF4" w:rsidR="001C4C87" w:rsidRPr="00BF2D0F" w:rsidRDefault="001C4C87" w:rsidP="001C4C87">
      <w:pPr>
        <w:pStyle w:val="AspexBullet1"/>
      </w:pPr>
      <w:r w:rsidRPr="00BF2D0F">
        <w:t>Better patient compliance with medication regimes;</w:t>
      </w:r>
      <w:r w:rsidR="001D3D56">
        <w:t xml:space="preserve"> and</w:t>
      </w:r>
    </w:p>
    <w:p w14:paraId="222426FF" w14:textId="156919E1" w:rsidR="001C4C87" w:rsidRPr="00BF2D0F" w:rsidRDefault="001C4C87" w:rsidP="001C4C87">
      <w:pPr>
        <w:pStyle w:val="AspexBullet1"/>
      </w:pPr>
      <w:r w:rsidRPr="00BF2D0F">
        <w:t>A lower number of patient visits for treatment per annum</w:t>
      </w:r>
      <w:r w:rsidR="001D3D56">
        <w:t>.</w:t>
      </w:r>
    </w:p>
    <w:p w14:paraId="5FF8BE54" w14:textId="77777777" w:rsidR="00046EB9" w:rsidRDefault="008C29C6" w:rsidP="00F44503">
      <w:pPr>
        <w:pStyle w:val="Heading3"/>
      </w:pPr>
      <w:bookmarkStart w:id="81" w:name="_Toc224038112"/>
      <w:r>
        <w:t>Sexual Health Medicine</w:t>
      </w:r>
      <w:r w:rsidR="00046EB9">
        <w:t xml:space="preserve"> and </w:t>
      </w:r>
      <w:r>
        <w:t>Infectious Disease Physician</w:t>
      </w:r>
      <w:bookmarkEnd w:id="81"/>
      <w:r w:rsidR="00205A94">
        <w:t>s</w:t>
      </w:r>
    </w:p>
    <w:p w14:paraId="64AA9779" w14:textId="2C2FFEB5" w:rsidR="00AA2DB1" w:rsidRDefault="00B525F2" w:rsidP="00623A12">
      <w:pPr>
        <w:pStyle w:val="AspexBodyStandard"/>
      </w:pPr>
      <w:r>
        <w:t>T</w:t>
      </w:r>
      <w:r w:rsidR="00046EB9">
        <w:t>he</w:t>
      </w:r>
      <w:r w:rsidR="00307A1B">
        <w:t xml:space="preserve"> training competencies </w:t>
      </w:r>
      <w:r>
        <w:t>of</w:t>
      </w:r>
      <w:r w:rsidR="00307A1B">
        <w:t xml:space="preserve"> </w:t>
      </w:r>
      <w:r w:rsidR="00D270B7" w:rsidRPr="00D270B7">
        <w:t xml:space="preserve">sexual health medicine </w:t>
      </w:r>
      <w:r w:rsidR="00D270B7">
        <w:t>s</w:t>
      </w:r>
      <w:r w:rsidR="00307A1B">
        <w:t xml:space="preserve">pecialists and </w:t>
      </w:r>
      <w:r w:rsidR="001C0D64">
        <w:t>i</w:t>
      </w:r>
      <w:r w:rsidR="008C29C6">
        <w:t xml:space="preserve">nfectious </w:t>
      </w:r>
      <w:r w:rsidR="001C0D64">
        <w:t>d</w:t>
      </w:r>
      <w:r w:rsidR="008C29C6">
        <w:t xml:space="preserve">isease </w:t>
      </w:r>
      <w:r w:rsidR="001C0D64">
        <w:t>p</w:t>
      </w:r>
      <w:r w:rsidR="008C29C6">
        <w:t>hysician</w:t>
      </w:r>
      <w:r w:rsidR="00307A1B">
        <w:t xml:space="preserve"> appear to be </w:t>
      </w:r>
      <w:r w:rsidR="00AA2DB1">
        <w:t xml:space="preserve">largely </w:t>
      </w:r>
      <w:r w:rsidR="00307A1B">
        <w:t xml:space="preserve">the same.  </w:t>
      </w:r>
      <w:r w:rsidR="00AA2DB1">
        <w:t>Where differences are apparent, they relate to additional training by sexual health medicine specialists in areas relating to:</w:t>
      </w:r>
    </w:p>
    <w:p w14:paraId="7F81D991" w14:textId="484B2033" w:rsidR="00B8176C" w:rsidRDefault="00017F71" w:rsidP="0058481C">
      <w:pPr>
        <w:pStyle w:val="AspexBullet1"/>
      </w:pPr>
      <w:r>
        <w:t>Assessment and management of sexual symptom complexes (e.g. pelvic pain, genital discharge, genital ulceration, genital lumps and bumps);</w:t>
      </w:r>
    </w:p>
    <w:p w14:paraId="33847CFF" w14:textId="77777777" w:rsidR="00017F71" w:rsidRDefault="00017F71" w:rsidP="0058481C">
      <w:pPr>
        <w:pStyle w:val="AspexBullet1"/>
      </w:pPr>
      <w:r>
        <w:t>Assessment and management of upper genital tract conditions;</w:t>
      </w:r>
    </w:p>
    <w:p w14:paraId="7CBC1D12" w14:textId="77777777" w:rsidR="00017F71" w:rsidRDefault="00017F71" w:rsidP="0058481C">
      <w:pPr>
        <w:pStyle w:val="AspexBullet1"/>
      </w:pPr>
      <w:r>
        <w:t>Understanding of human sexuality throughout the lifespan;</w:t>
      </w:r>
    </w:p>
    <w:p w14:paraId="57B444F5" w14:textId="77777777" w:rsidR="00017F71" w:rsidRDefault="00017F71" w:rsidP="0058481C">
      <w:pPr>
        <w:pStyle w:val="AspexBullet1"/>
      </w:pPr>
      <w:r>
        <w:t>Understanding of sexual dysfunction;</w:t>
      </w:r>
    </w:p>
    <w:p w14:paraId="39C649F0" w14:textId="77777777" w:rsidR="00017F71" w:rsidRDefault="00017F71" w:rsidP="0058481C">
      <w:pPr>
        <w:pStyle w:val="AspexBullet1"/>
      </w:pPr>
      <w:r>
        <w:t>Reproductive health; and</w:t>
      </w:r>
    </w:p>
    <w:p w14:paraId="070F5B5A" w14:textId="77777777" w:rsidR="00017F71" w:rsidRDefault="00017F71" w:rsidP="0058481C">
      <w:pPr>
        <w:pStyle w:val="AspexBullet1"/>
      </w:pPr>
      <w:r>
        <w:t>Assessment and management of sexual assault.</w:t>
      </w:r>
    </w:p>
    <w:p w14:paraId="73303308" w14:textId="77777777" w:rsidR="00635D68" w:rsidRDefault="00307A1B" w:rsidP="00623A12">
      <w:pPr>
        <w:pStyle w:val="AspexBodyStandard"/>
      </w:pPr>
      <w:r>
        <w:t xml:space="preserve">The </w:t>
      </w:r>
      <w:r w:rsidR="00AA2DB1">
        <w:t>AMC</w:t>
      </w:r>
      <w:r>
        <w:t xml:space="preserve"> </w:t>
      </w:r>
      <w:r w:rsidR="00AA2DB1">
        <w:t>consulted with a variety of related</w:t>
      </w:r>
      <w:r w:rsidR="002825E0">
        <w:t xml:space="preserve"> speciality groups within the </w:t>
      </w:r>
      <w:r w:rsidR="007B67B1">
        <w:t>RACP, including infectious diseases medicine</w:t>
      </w:r>
      <w:r w:rsidR="00371C4D">
        <w:t xml:space="preserve"> and public health medicine,</w:t>
      </w:r>
      <w:r w:rsidR="007B67B1">
        <w:t xml:space="preserve"> </w:t>
      </w:r>
      <w:r>
        <w:t xml:space="preserve">during the process of determining whether there was sufficient evidence to support </w:t>
      </w:r>
      <w:r w:rsidR="00D270B7" w:rsidRPr="00D270B7">
        <w:t xml:space="preserve">sexual health medicine </w:t>
      </w:r>
      <w:r w:rsidR="00B8176C">
        <w:t>as an independent specialty</w:t>
      </w:r>
      <w:r w:rsidR="00AA2DB1">
        <w:t>. S</w:t>
      </w:r>
      <w:r w:rsidR="00B8176C">
        <w:t>everal key issues were identified:</w:t>
      </w:r>
    </w:p>
    <w:p w14:paraId="1B22A19C" w14:textId="051F1215" w:rsidR="00B8176C" w:rsidRPr="00A415D5" w:rsidRDefault="008C29C6" w:rsidP="007B67B1">
      <w:pPr>
        <w:pStyle w:val="AspexBullet1"/>
      </w:pPr>
      <w:r w:rsidRPr="00A415D5">
        <w:lastRenderedPageBreak/>
        <w:t>Infectious Disease Physician</w:t>
      </w:r>
      <w:r w:rsidR="007B67B1" w:rsidRPr="00A415D5">
        <w:t>s</w:t>
      </w:r>
      <w:r w:rsidR="00B8176C" w:rsidRPr="00D87E7E">
        <w:t xml:space="preserve"> </w:t>
      </w:r>
      <w:r w:rsidR="00870548" w:rsidRPr="00A415D5">
        <w:t xml:space="preserve">in the adult Adult Medicine Division of RACP </w:t>
      </w:r>
      <w:r w:rsidR="00AA2DB1" w:rsidRPr="00A415D5">
        <w:t>were</w:t>
      </w:r>
      <w:r w:rsidR="00371C4D" w:rsidRPr="00A415D5">
        <w:t xml:space="preserve"> amendable to</w:t>
      </w:r>
      <w:r w:rsidR="007B67B1" w:rsidRPr="00A415D5">
        <w:t xml:space="preserve"> develop</w:t>
      </w:r>
      <w:r w:rsidR="00371C4D" w:rsidRPr="00A415D5">
        <w:t>ing</w:t>
      </w:r>
      <w:r w:rsidR="007B67B1" w:rsidRPr="00A415D5">
        <w:t xml:space="preserve"> mutually recognised training modules and conjoi</w:t>
      </w:r>
      <w:r w:rsidR="00AA2DB1" w:rsidRPr="00A415D5">
        <w:t>nt</w:t>
      </w:r>
      <w:r w:rsidR="00371C4D" w:rsidRPr="00A415D5">
        <w:t xml:space="preserve"> accreditation of</w:t>
      </w:r>
      <w:r w:rsidR="007B67B1" w:rsidRPr="00A415D5">
        <w:t xml:space="preserve"> training posts, w</w:t>
      </w:r>
      <w:r w:rsidR="00AA2DB1" w:rsidRPr="00A415D5">
        <w:t>hich amongst other benefits, had</w:t>
      </w:r>
      <w:r w:rsidR="007B67B1" w:rsidRPr="00A415D5">
        <w:t xml:space="preserve"> the potential to expose a higher number of trainees to sexual health medicine than previously</w:t>
      </w:r>
      <w:r w:rsidR="00B8176C" w:rsidRPr="00A415D5">
        <w:t>;</w:t>
      </w:r>
    </w:p>
    <w:p w14:paraId="1A9EA023" w14:textId="77777777" w:rsidR="00B8176C" w:rsidRDefault="00F53D6E" w:rsidP="00B8176C">
      <w:pPr>
        <w:pStyle w:val="AspexBullet1"/>
      </w:pPr>
      <w:r>
        <w:t xml:space="preserve">Recognition that HIV management has moved away from hospital-based inpatient management of opportunistic infection and that many infectious diseases and immunology units are no longer </w:t>
      </w:r>
      <w:r w:rsidR="00AA2DB1">
        <w:t>ideal places</w:t>
      </w:r>
      <w:r>
        <w:t xml:space="preserve"> for management of HIV medicine.  In effect, sexual health medicine specialists are best trained for increasingly complex outpatient management of ambulant patients with an incurable sexually transmissible infection</w:t>
      </w:r>
      <w:r w:rsidR="00B8176C">
        <w:t>;</w:t>
      </w:r>
      <w:r w:rsidR="00371C4D">
        <w:t xml:space="preserve"> and</w:t>
      </w:r>
    </w:p>
    <w:p w14:paraId="5272169C" w14:textId="14056308" w:rsidR="00371C4D" w:rsidRDefault="00371C4D" w:rsidP="00371C4D">
      <w:pPr>
        <w:pStyle w:val="AspexBullet1"/>
      </w:pPr>
      <w:r>
        <w:t>Training solely within an infectious diseases</w:t>
      </w:r>
      <w:r w:rsidR="00B8176C">
        <w:t xml:space="preserve"> framework</w:t>
      </w:r>
      <w:r>
        <w:t xml:space="preserve"> does not provide </w:t>
      </w:r>
      <w:r w:rsidR="00FB7393">
        <w:t xml:space="preserve">a </w:t>
      </w:r>
      <w:r>
        <w:t xml:space="preserve">holistic approach to sexual health, such as reproductive health concerns including </w:t>
      </w:r>
      <w:r w:rsidR="00AA2DB1">
        <w:t>contraception, which</w:t>
      </w:r>
      <w:r>
        <w:t xml:space="preserve"> is not covered in the infectious diseases curriculum.  In addition, sexually transmissible infections receive only a small mention within the curriculum and infectious diseases physicians have no training in anogenital examination, including the use of the speculum and/or proctoscope or bimanual examination and appropriate testing of the anogenital region.  Infectious diseases physicians also have </w:t>
      </w:r>
      <w:r w:rsidR="00AA2DB1">
        <w:t>neither training in human sexual behaviour nor</w:t>
      </w:r>
      <w:r>
        <w:t xml:space="preserve"> the clinical problems associated with sexuality, including sexual assault, sexual identity and orientation.</w:t>
      </w:r>
    </w:p>
    <w:p w14:paraId="7DDA4BD7" w14:textId="77777777" w:rsidR="00371C4D" w:rsidRDefault="00AA2DB1" w:rsidP="00371C4D">
      <w:pPr>
        <w:pStyle w:val="AspexBodyStandard"/>
      </w:pPr>
      <w:r>
        <w:t>The AMC report noted</w:t>
      </w:r>
      <w:r w:rsidR="00371C4D">
        <w:t xml:space="preserve"> that the Chapter’s position on these issues was strongly endorsed</w:t>
      </w:r>
      <w:r w:rsidR="00760C3D">
        <w:t xml:space="preserve"> by the Australasian S</w:t>
      </w:r>
      <w:r>
        <w:t>ociety for Infectious Diseases, concluding:</w:t>
      </w:r>
    </w:p>
    <w:p w14:paraId="3A9C69E5" w14:textId="2DB4F49C" w:rsidR="00760C3D" w:rsidRDefault="00760C3D" w:rsidP="00760C3D">
      <w:pPr>
        <w:pStyle w:val="IntenseQuote"/>
      </w:pPr>
      <w:r w:rsidRPr="00760C3D">
        <w:t>“…that sexual health medicine related services are provided in part by a number of</w:t>
      </w:r>
      <w:r>
        <w:t xml:space="preserve"> </w:t>
      </w:r>
      <w:r w:rsidRPr="00760C3D">
        <w:t>‘overlapping’ specialty groups in Australia including infectious disease physicians, public health medicine physicians and general practitioners; but that sexual health physicians are a longstanding and essential piece within a complex and evolving clinical and public health jigsaw; and are recognised as providing specialist-level clinical and support services by both state and territory health authorities and other specialty groups.” (p. 24)</w:t>
      </w:r>
    </w:p>
    <w:p w14:paraId="1D975A86" w14:textId="77777777" w:rsidR="0087419D" w:rsidRDefault="008C29C6" w:rsidP="007333CE">
      <w:pPr>
        <w:pStyle w:val="Heading2"/>
      </w:pPr>
      <w:bookmarkStart w:id="82" w:name="_Toc351480528"/>
      <w:r>
        <w:t>Sexual Health Medicine</w:t>
      </w:r>
      <w:r w:rsidR="00052019">
        <w:t xml:space="preserve"> </w:t>
      </w:r>
      <w:r w:rsidR="00AC42A1">
        <w:t>training</w:t>
      </w:r>
      <w:bookmarkEnd w:id="82"/>
    </w:p>
    <w:p w14:paraId="52788279" w14:textId="77777777" w:rsidR="00760C3D" w:rsidRDefault="003E1CB1" w:rsidP="00760C3D">
      <w:pPr>
        <w:pStyle w:val="AspexBodyStandard"/>
        <w:rPr>
          <w:szCs w:val="22"/>
        </w:rPr>
      </w:pPr>
      <w:r w:rsidRPr="00760C3D">
        <w:rPr>
          <w:rFonts w:cs="Arial"/>
          <w:szCs w:val="22"/>
        </w:rPr>
        <w:t xml:space="preserve">Recognised specialists in </w:t>
      </w:r>
      <w:r w:rsidR="00D270B7" w:rsidRPr="00760C3D">
        <w:rPr>
          <w:rFonts w:cs="Arial"/>
          <w:szCs w:val="22"/>
        </w:rPr>
        <w:t xml:space="preserve">sexual health medicine </w:t>
      </w:r>
      <w:r w:rsidRPr="00760C3D">
        <w:rPr>
          <w:rFonts w:cs="Arial"/>
          <w:szCs w:val="22"/>
        </w:rPr>
        <w:t>are Fellows</w:t>
      </w:r>
      <w:r w:rsidR="003F4E53" w:rsidRPr="00760C3D">
        <w:rPr>
          <w:rFonts w:cs="Arial"/>
          <w:szCs w:val="22"/>
        </w:rPr>
        <w:t xml:space="preserve"> of the Australasian Chapter of </w:t>
      </w:r>
      <w:r w:rsidR="008C29C6" w:rsidRPr="00760C3D">
        <w:rPr>
          <w:rFonts w:cs="Arial"/>
          <w:szCs w:val="22"/>
        </w:rPr>
        <w:t>Sexual Health Medicine</w:t>
      </w:r>
      <w:r w:rsidR="003F4E53" w:rsidRPr="00760C3D">
        <w:rPr>
          <w:rFonts w:cs="Arial"/>
          <w:szCs w:val="22"/>
        </w:rPr>
        <w:t xml:space="preserve"> </w:t>
      </w:r>
      <w:r w:rsidRPr="00760C3D">
        <w:rPr>
          <w:rFonts w:cs="Arial"/>
          <w:szCs w:val="22"/>
        </w:rPr>
        <w:t>(FACh</w:t>
      </w:r>
      <w:r w:rsidR="00D270B7" w:rsidRPr="00760C3D">
        <w:rPr>
          <w:rFonts w:cs="Arial"/>
          <w:szCs w:val="22"/>
        </w:rPr>
        <w:t>SHM</w:t>
      </w:r>
      <w:r w:rsidRPr="00760C3D">
        <w:rPr>
          <w:rFonts w:cs="Arial"/>
          <w:szCs w:val="22"/>
        </w:rPr>
        <w:t>) affiliated with the Royal Australasian College of Physicians</w:t>
      </w:r>
      <w:r w:rsidR="00F10826" w:rsidRPr="00760C3D">
        <w:rPr>
          <w:rFonts w:cs="Arial"/>
          <w:szCs w:val="22"/>
        </w:rPr>
        <w:t xml:space="preserve"> (RACP)</w:t>
      </w:r>
      <w:r w:rsidRPr="00760C3D">
        <w:rPr>
          <w:rFonts w:cs="Arial"/>
          <w:szCs w:val="22"/>
        </w:rPr>
        <w:t xml:space="preserve">. </w:t>
      </w:r>
      <w:r w:rsidR="00760C3D" w:rsidRPr="00311311">
        <w:rPr>
          <w:szCs w:val="22"/>
        </w:rPr>
        <w:t>Fellowship is awarded to trainees who have completed three years of advanced training in sexual health</w:t>
      </w:r>
      <w:r w:rsidR="00760C3D">
        <w:rPr>
          <w:szCs w:val="22"/>
        </w:rPr>
        <w:t xml:space="preserve"> medicine in addition to the requirement for fellowship of another accredited medical college as specified in the first of the mandatory conditions for training detailed below.</w:t>
      </w:r>
      <w:r w:rsidR="00760C3D" w:rsidRPr="00311311">
        <w:rPr>
          <w:szCs w:val="22"/>
        </w:rPr>
        <w:t xml:space="preserve"> </w:t>
      </w:r>
    </w:p>
    <w:p w14:paraId="743233D8" w14:textId="77777777" w:rsidR="00760C3D" w:rsidRDefault="00760C3D" w:rsidP="00760C3D">
      <w:pPr>
        <w:pStyle w:val="AspexBodyStandard"/>
      </w:pPr>
      <w:r w:rsidRPr="00052019">
        <w:t xml:space="preserve">To be eligible for training, an applicant must be registered as a Medical Practitioner (in Australia or New Zealand), and </w:t>
      </w:r>
      <w:r>
        <w:t xml:space="preserve">must satisfy </w:t>
      </w:r>
      <w:r w:rsidRPr="005C2EDE">
        <w:rPr>
          <w:b/>
        </w:rPr>
        <w:t>all three</w:t>
      </w:r>
      <w:r>
        <w:t xml:space="preserve"> of the following conditions:</w:t>
      </w:r>
    </w:p>
    <w:p w14:paraId="44FBE825" w14:textId="77777777" w:rsidR="00760C3D" w:rsidRDefault="00760C3D" w:rsidP="00760C3D">
      <w:pPr>
        <w:pStyle w:val="AspexNumberedbullet1"/>
        <w:spacing w:before="240"/>
      </w:pPr>
      <w:r>
        <w:t xml:space="preserve">Either hold Fellowship of </w:t>
      </w:r>
      <w:r w:rsidRPr="00EE1C1B">
        <w:rPr>
          <w:b/>
        </w:rPr>
        <w:t>one</w:t>
      </w:r>
      <w:r>
        <w:t xml:space="preserve"> of the following Colleges or Faculties:</w:t>
      </w:r>
    </w:p>
    <w:p w14:paraId="0F05A4E4" w14:textId="77777777" w:rsidR="00760C3D" w:rsidRDefault="00760C3D" w:rsidP="00760C3D">
      <w:pPr>
        <w:pStyle w:val="AspexBullet2"/>
        <w:rPr>
          <w:lang w:eastAsia="en-AU"/>
        </w:rPr>
      </w:pPr>
      <w:r>
        <w:rPr>
          <w:lang w:eastAsia="en-AU"/>
        </w:rPr>
        <w:t>Physicians (FRACP) Adult Internal Medicine or Paediatrics &amp; Child Health;</w:t>
      </w:r>
    </w:p>
    <w:p w14:paraId="66938350" w14:textId="77777777" w:rsidR="00760C3D" w:rsidRDefault="00760C3D" w:rsidP="00760C3D">
      <w:pPr>
        <w:pStyle w:val="AspexBullet2"/>
        <w:rPr>
          <w:lang w:eastAsia="en-AU"/>
        </w:rPr>
      </w:pPr>
      <w:r>
        <w:rPr>
          <w:lang w:eastAsia="en-AU"/>
        </w:rPr>
        <w:t>Dermatology (FACD);</w:t>
      </w:r>
    </w:p>
    <w:p w14:paraId="44216EA7" w14:textId="77777777" w:rsidR="00760C3D" w:rsidRDefault="00760C3D" w:rsidP="00760C3D">
      <w:pPr>
        <w:pStyle w:val="AspexBullet2"/>
        <w:rPr>
          <w:lang w:eastAsia="en-AU"/>
        </w:rPr>
      </w:pPr>
      <w:r>
        <w:rPr>
          <w:lang w:eastAsia="en-AU"/>
        </w:rPr>
        <w:t>Obstetrics and Gynaecology (FRANZCOG);</w:t>
      </w:r>
    </w:p>
    <w:p w14:paraId="519EC74C" w14:textId="77777777" w:rsidR="00760C3D" w:rsidRDefault="00760C3D" w:rsidP="00760C3D">
      <w:pPr>
        <w:pStyle w:val="AspexBullet2"/>
        <w:rPr>
          <w:lang w:eastAsia="en-AU"/>
        </w:rPr>
      </w:pPr>
      <w:r>
        <w:rPr>
          <w:lang w:eastAsia="en-AU"/>
        </w:rPr>
        <w:t>General Practice (FRACGP and FRNZCGP);</w:t>
      </w:r>
    </w:p>
    <w:p w14:paraId="53508527" w14:textId="77777777" w:rsidR="00760C3D" w:rsidRDefault="00760C3D" w:rsidP="00760C3D">
      <w:pPr>
        <w:pStyle w:val="AspexBullet2"/>
        <w:rPr>
          <w:lang w:eastAsia="en-AU"/>
        </w:rPr>
      </w:pPr>
      <w:r>
        <w:rPr>
          <w:lang w:eastAsia="en-AU"/>
        </w:rPr>
        <w:lastRenderedPageBreak/>
        <w:t>Pathology (FRCPA);</w:t>
      </w:r>
    </w:p>
    <w:p w14:paraId="5310FB24" w14:textId="77777777" w:rsidR="00760C3D" w:rsidRDefault="00760C3D" w:rsidP="00760C3D">
      <w:pPr>
        <w:pStyle w:val="AspexBullet2"/>
        <w:rPr>
          <w:lang w:eastAsia="en-AU"/>
        </w:rPr>
      </w:pPr>
      <w:r>
        <w:rPr>
          <w:lang w:eastAsia="en-AU"/>
        </w:rPr>
        <w:t>Psychiatry (FRANZCP);</w:t>
      </w:r>
    </w:p>
    <w:p w14:paraId="4D7F62FA" w14:textId="1218E22F" w:rsidR="00760C3D" w:rsidRDefault="00760C3D" w:rsidP="00760C3D">
      <w:pPr>
        <w:pStyle w:val="AspexBullet2"/>
        <w:rPr>
          <w:lang w:eastAsia="en-AU"/>
        </w:rPr>
      </w:pPr>
      <w:r>
        <w:rPr>
          <w:lang w:eastAsia="en-AU"/>
        </w:rPr>
        <w:t xml:space="preserve">Public </w:t>
      </w:r>
      <w:r w:rsidR="00A415D5">
        <w:rPr>
          <w:lang w:eastAsia="en-AU"/>
        </w:rPr>
        <w:t>H</w:t>
      </w:r>
      <w:r>
        <w:rPr>
          <w:lang w:eastAsia="en-AU"/>
        </w:rPr>
        <w:t>ealth Medicine (FAFPHM);</w:t>
      </w:r>
    </w:p>
    <w:p w14:paraId="2B04F4ED" w14:textId="77777777" w:rsidR="00760C3D" w:rsidRDefault="00760C3D" w:rsidP="00760C3D">
      <w:pPr>
        <w:pStyle w:val="AspexBullet2"/>
        <w:rPr>
          <w:lang w:eastAsia="en-AU"/>
        </w:rPr>
      </w:pPr>
      <w:r>
        <w:rPr>
          <w:lang w:eastAsia="en-AU"/>
        </w:rPr>
        <w:t>Rural and Remote Medicine (FACRRM);</w:t>
      </w:r>
    </w:p>
    <w:p w14:paraId="7834F558" w14:textId="77777777" w:rsidR="00760C3D" w:rsidRDefault="00760C3D" w:rsidP="00760C3D">
      <w:pPr>
        <w:pStyle w:val="AspexBullet2"/>
        <w:rPr>
          <w:lang w:eastAsia="en-AU"/>
        </w:rPr>
      </w:pPr>
      <w:r>
        <w:rPr>
          <w:lang w:eastAsia="en-AU"/>
        </w:rPr>
        <w:t>Surgery (FRACS – urology); or</w:t>
      </w:r>
    </w:p>
    <w:p w14:paraId="22B53B97" w14:textId="77777777" w:rsidR="00760C3D" w:rsidRDefault="00760C3D" w:rsidP="00760C3D">
      <w:pPr>
        <w:pStyle w:val="AspexNumberedbullet1"/>
        <w:spacing w:before="240"/>
      </w:pPr>
      <w:r>
        <w:t>In the case of overseas trained specialists (including general practitioners):</w:t>
      </w:r>
    </w:p>
    <w:p w14:paraId="1DBBC4D5" w14:textId="77777777" w:rsidR="00760C3D" w:rsidRDefault="00760C3D" w:rsidP="00760C3D">
      <w:pPr>
        <w:pStyle w:val="AspexBullet2"/>
        <w:rPr>
          <w:lang w:eastAsia="en-AU"/>
        </w:rPr>
      </w:pPr>
      <w:r>
        <w:rPr>
          <w:lang w:eastAsia="en-AU"/>
        </w:rPr>
        <w:t xml:space="preserve">Hold a qualification considered equivalent by the relevant Australian or New Zealand medical college; or </w:t>
      </w:r>
    </w:p>
    <w:p w14:paraId="477AE2F7" w14:textId="5FA9F2EC" w:rsidR="00760C3D" w:rsidRDefault="00760C3D" w:rsidP="00760C3D">
      <w:pPr>
        <w:pStyle w:val="AspexBullet2"/>
        <w:rPr>
          <w:lang w:eastAsia="en-AU"/>
        </w:rPr>
      </w:pPr>
      <w:r>
        <w:rPr>
          <w:lang w:eastAsia="en-AU"/>
        </w:rPr>
        <w:t xml:space="preserve">Have completed Basic Training of the RACP (including success in the FRACP </w:t>
      </w:r>
      <w:r w:rsidRPr="00A415D5">
        <w:rPr>
          <w:lang w:eastAsia="en-AU"/>
        </w:rPr>
        <w:t>Examination)</w:t>
      </w:r>
      <w:r w:rsidR="00870548" w:rsidRPr="00A415D5">
        <w:rPr>
          <w:rStyle w:val="FootnoteReference"/>
          <w:lang w:eastAsia="en-AU"/>
        </w:rPr>
        <w:footnoteReference w:id="25"/>
      </w:r>
      <w:r w:rsidR="00FB7393" w:rsidRPr="00A415D5">
        <w:rPr>
          <w:lang w:eastAsia="en-AU"/>
        </w:rPr>
        <w:t>; and</w:t>
      </w:r>
    </w:p>
    <w:p w14:paraId="5061F16D" w14:textId="77777777" w:rsidR="00760C3D" w:rsidRDefault="00760C3D" w:rsidP="00760C3D">
      <w:pPr>
        <w:pStyle w:val="AspexBullet2"/>
        <w:rPr>
          <w:lang w:eastAsia="en-AU"/>
        </w:rPr>
      </w:pPr>
      <w:r>
        <w:rPr>
          <w:lang w:eastAsia="en-AU"/>
        </w:rPr>
        <w:t>Have a satisfactory practice history (no professional misconduct or disciplinary issues).</w:t>
      </w:r>
    </w:p>
    <w:p w14:paraId="5877B851" w14:textId="77777777" w:rsidR="00760C3D" w:rsidRDefault="00760C3D" w:rsidP="00F333A1">
      <w:pPr>
        <w:pStyle w:val="AspexNumberedbullet1"/>
        <w:spacing w:before="240"/>
      </w:pPr>
      <w:r>
        <w:t>In addition to satisfactory supervision reports from clinical training, trainees are also required to complete:</w:t>
      </w:r>
    </w:p>
    <w:p w14:paraId="03E6CD7A" w14:textId="77777777" w:rsidR="00760C3D" w:rsidRDefault="00760C3D" w:rsidP="00F333A1">
      <w:pPr>
        <w:pStyle w:val="AspexBullet2"/>
        <w:rPr>
          <w:lang w:eastAsia="en-AU"/>
        </w:rPr>
      </w:pPr>
      <w:r>
        <w:rPr>
          <w:lang w:eastAsia="en-AU"/>
        </w:rPr>
        <w:t xml:space="preserve">Three projects over a three year period, with topics to be agreed to by the Chapter Education Committee; and </w:t>
      </w:r>
    </w:p>
    <w:p w14:paraId="486570D3" w14:textId="77777777" w:rsidR="00760C3D" w:rsidRDefault="00760C3D" w:rsidP="00F333A1">
      <w:pPr>
        <w:pStyle w:val="AspexBullet2"/>
        <w:rPr>
          <w:lang w:eastAsia="en-AU"/>
        </w:rPr>
      </w:pPr>
      <w:r>
        <w:rPr>
          <w:lang w:eastAsia="en-AU"/>
        </w:rPr>
        <w:t>Formal instruction from recognised education and training providers in the following areas:</w:t>
      </w:r>
    </w:p>
    <w:p w14:paraId="76A62EA2" w14:textId="77777777" w:rsidR="00760C3D" w:rsidRDefault="00760C3D" w:rsidP="00F333A1">
      <w:pPr>
        <w:pStyle w:val="AspexBullet3"/>
        <w:rPr>
          <w:lang w:eastAsia="en-AU"/>
        </w:rPr>
      </w:pPr>
      <w:r>
        <w:rPr>
          <w:lang w:eastAsia="en-AU"/>
        </w:rPr>
        <w:t>Fertility regulation</w:t>
      </w:r>
    </w:p>
    <w:p w14:paraId="6057F0D7" w14:textId="77777777" w:rsidR="00760C3D" w:rsidRDefault="00760C3D" w:rsidP="00F333A1">
      <w:pPr>
        <w:pStyle w:val="AspexBullet3"/>
        <w:rPr>
          <w:lang w:eastAsia="en-AU"/>
        </w:rPr>
      </w:pPr>
      <w:r>
        <w:rPr>
          <w:lang w:eastAsia="en-AU"/>
        </w:rPr>
        <w:t>Sexual health counselling</w:t>
      </w:r>
    </w:p>
    <w:p w14:paraId="28BF48D7" w14:textId="77777777" w:rsidR="00760C3D" w:rsidRDefault="00760C3D" w:rsidP="00F333A1">
      <w:pPr>
        <w:pStyle w:val="AspexBullet3"/>
        <w:rPr>
          <w:lang w:eastAsia="en-AU"/>
        </w:rPr>
      </w:pPr>
      <w:r>
        <w:rPr>
          <w:lang w:eastAsia="en-AU"/>
        </w:rPr>
        <w:t>HIV medicine</w:t>
      </w:r>
    </w:p>
    <w:p w14:paraId="4D5A26B0" w14:textId="77777777" w:rsidR="00760C3D" w:rsidRDefault="00760C3D" w:rsidP="00F333A1">
      <w:pPr>
        <w:pStyle w:val="AspexBullet3"/>
        <w:rPr>
          <w:lang w:eastAsia="en-AU"/>
        </w:rPr>
      </w:pPr>
      <w:r>
        <w:rPr>
          <w:lang w:eastAsia="en-AU"/>
        </w:rPr>
        <w:t>Sexual health medicine</w:t>
      </w:r>
    </w:p>
    <w:p w14:paraId="168B0BD3" w14:textId="77777777" w:rsidR="00760C3D" w:rsidRDefault="00760C3D" w:rsidP="00F333A1">
      <w:pPr>
        <w:pStyle w:val="AspexBullet3"/>
        <w:rPr>
          <w:lang w:eastAsia="en-AU"/>
        </w:rPr>
      </w:pPr>
      <w:r>
        <w:rPr>
          <w:lang w:eastAsia="en-AU"/>
        </w:rPr>
        <w:t>Epidemiology</w:t>
      </w:r>
    </w:p>
    <w:p w14:paraId="6F5167FB" w14:textId="77777777" w:rsidR="00760C3D" w:rsidRDefault="00760C3D" w:rsidP="00F333A1">
      <w:pPr>
        <w:pStyle w:val="AspexBullet3"/>
        <w:rPr>
          <w:lang w:eastAsia="en-AU"/>
        </w:rPr>
      </w:pPr>
      <w:r>
        <w:rPr>
          <w:lang w:eastAsia="en-AU"/>
        </w:rPr>
        <w:t>Biostatistics</w:t>
      </w:r>
    </w:p>
    <w:p w14:paraId="210EE938" w14:textId="77777777" w:rsidR="00760C3D" w:rsidRDefault="00760C3D" w:rsidP="00F333A1">
      <w:pPr>
        <w:pStyle w:val="AspexBullet3"/>
        <w:rPr>
          <w:lang w:eastAsia="en-AU"/>
        </w:rPr>
      </w:pPr>
      <w:r>
        <w:rPr>
          <w:lang w:eastAsia="en-AU"/>
        </w:rPr>
        <w:t>Sexual assault</w:t>
      </w:r>
    </w:p>
    <w:p w14:paraId="5415C583" w14:textId="77777777" w:rsidR="00760C3D" w:rsidRDefault="00760C3D" w:rsidP="00F333A1">
      <w:pPr>
        <w:pStyle w:val="AspexBullet3"/>
        <w:rPr>
          <w:lang w:eastAsia="en-AU"/>
        </w:rPr>
      </w:pPr>
      <w:r>
        <w:rPr>
          <w:lang w:eastAsia="en-AU"/>
        </w:rPr>
        <w:t>Principles of adult education</w:t>
      </w:r>
    </w:p>
    <w:p w14:paraId="624706F5" w14:textId="15D93D60" w:rsidR="0087419D" w:rsidRDefault="00760C3D" w:rsidP="00052019">
      <w:pPr>
        <w:pStyle w:val="AspexBodyStandard"/>
      </w:pPr>
      <w:r>
        <w:t>The AMC report notes:</w:t>
      </w:r>
    </w:p>
    <w:p w14:paraId="59E2D313" w14:textId="77777777" w:rsidR="00760C3D" w:rsidRDefault="00760C3D" w:rsidP="00760C3D">
      <w:pPr>
        <w:pStyle w:val="IntenseQuote"/>
      </w:pPr>
      <w:r w:rsidRPr="00760C3D">
        <w:t>“….that the discipline of sexual health medicine is both sufficiently complex and extensive to require a comprehensive and complete training program to practise at a level expected of the specialist practitioner.” (p. 37)</w:t>
      </w:r>
    </w:p>
    <w:p w14:paraId="392D8AF3" w14:textId="77777777" w:rsidR="00C202A9" w:rsidRDefault="008C29C6" w:rsidP="007333CE">
      <w:pPr>
        <w:pStyle w:val="Heading2"/>
      </w:pPr>
      <w:bookmarkStart w:id="83" w:name="_Toc351480529"/>
      <w:r>
        <w:t>Sexual Health Medicine</w:t>
      </w:r>
      <w:r w:rsidR="00052019">
        <w:t xml:space="preserve"> scope of p</w:t>
      </w:r>
      <w:r w:rsidR="0087419D">
        <w:t>ractice</w:t>
      </w:r>
      <w:bookmarkEnd w:id="83"/>
      <w:r w:rsidR="00052019">
        <w:t xml:space="preserve"> </w:t>
      </w:r>
    </w:p>
    <w:p w14:paraId="23384CA5" w14:textId="77777777" w:rsidR="00B7556D" w:rsidRDefault="00B7556D" w:rsidP="00F44503">
      <w:pPr>
        <w:pStyle w:val="Heading3"/>
      </w:pPr>
      <w:bookmarkStart w:id="84" w:name="_Toc348442597"/>
      <w:r>
        <w:t>The focus of clinical attention</w:t>
      </w:r>
      <w:bookmarkEnd w:id="84"/>
    </w:p>
    <w:p w14:paraId="41E10A8B" w14:textId="77777777" w:rsidR="00760C3D" w:rsidRDefault="00760C3D" w:rsidP="00760C3D">
      <w:pPr>
        <w:pStyle w:val="AspexBodyStandard"/>
      </w:pPr>
      <w:r>
        <w:t xml:space="preserve">Sexual Health Medicine specialists are concerned with the promotion of sexual health in the community by identifying and minimising the impact of sexually transmissible infections, unplanned pregnancy, coercion, and physical or psychological discomfort associated with </w:t>
      </w:r>
      <w:r>
        <w:lastRenderedPageBreak/>
        <w:t xml:space="preserve">sexuality </w:t>
      </w:r>
      <w:r>
        <w:rPr>
          <w:lang w:eastAsia="en-AU"/>
        </w:rPr>
        <w:t>education; through behaviour change, advocacy, targeted medical and laboratory screening, diagnostic testing, clinical service provision, surveillance, and research</w:t>
      </w:r>
      <w:r>
        <w:t xml:space="preserve">. </w:t>
      </w:r>
    </w:p>
    <w:p w14:paraId="715E3D9A" w14:textId="06D1E5BB" w:rsidR="00760C3D" w:rsidRDefault="00760C3D" w:rsidP="00760C3D">
      <w:pPr>
        <w:pStyle w:val="AspexBodyStandard"/>
      </w:pPr>
      <w:r>
        <w:rPr>
          <w:lang w:eastAsia="en-AU"/>
        </w:rPr>
        <w:t>The Chapter describes the discipline as having both clinical and public health medicine component</w:t>
      </w:r>
      <w:r w:rsidR="00FB7393">
        <w:rPr>
          <w:lang w:eastAsia="en-AU"/>
        </w:rPr>
        <w:t>s</w:t>
      </w:r>
      <w:r>
        <w:rPr>
          <w:lang w:eastAsia="en-AU"/>
        </w:rPr>
        <w:t>, which are more closely integrated than in most other specialist-level disciplines. This is largely due to the infectious nature of many of the relevant conditions and the relationship between transmission and behaviour.  The treatment of individuals and the contact tracing and treatment of their sexual partner(s) is an essential part of the role of a sexual health medicine specialist.</w:t>
      </w:r>
    </w:p>
    <w:p w14:paraId="476E253F" w14:textId="77777777" w:rsidR="00760C3D" w:rsidRDefault="00760C3D" w:rsidP="00760C3D">
      <w:pPr>
        <w:pStyle w:val="AspexBodyStandard"/>
      </w:pPr>
      <w:r>
        <w:t>The STIs and blood borne viruses (BBVs) identified by the Chapter as a current focus of sexual health medicine include:</w:t>
      </w:r>
    </w:p>
    <w:p w14:paraId="6797B5BB" w14:textId="77777777" w:rsidR="00760C3D" w:rsidRDefault="00760C3D" w:rsidP="00B7556D">
      <w:pPr>
        <w:pStyle w:val="AspexBullet2"/>
        <w:rPr>
          <w:lang w:eastAsia="en-AU"/>
        </w:rPr>
      </w:pPr>
      <w:r>
        <w:rPr>
          <w:lang w:eastAsia="en-AU"/>
        </w:rPr>
        <w:t>Neisseria gonorrhoeae</w:t>
      </w:r>
      <w:r w:rsidR="00B7556D">
        <w:rPr>
          <w:lang w:eastAsia="en-AU"/>
        </w:rPr>
        <w:t>;</w:t>
      </w:r>
    </w:p>
    <w:p w14:paraId="4223AA97" w14:textId="77777777" w:rsidR="00760C3D" w:rsidRDefault="00760C3D" w:rsidP="00B7556D">
      <w:pPr>
        <w:pStyle w:val="AspexBullet2"/>
        <w:rPr>
          <w:lang w:eastAsia="en-AU"/>
        </w:rPr>
      </w:pPr>
      <w:r>
        <w:rPr>
          <w:lang w:eastAsia="en-AU"/>
        </w:rPr>
        <w:t>Non-gonococcal urethritis</w:t>
      </w:r>
      <w:r w:rsidR="00B7556D">
        <w:rPr>
          <w:lang w:eastAsia="en-AU"/>
        </w:rPr>
        <w:t>;</w:t>
      </w:r>
    </w:p>
    <w:p w14:paraId="6D542CA8" w14:textId="77777777" w:rsidR="00760C3D" w:rsidRDefault="00760C3D" w:rsidP="00B7556D">
      <w:pPr>
        <w:pStyle w:val="AspexBullet2"/>
        <w:rPr>
          <w:lang w:eastAsia="en-AU"/>
        </w:rPr>
      </w:pPr>
      <w:r>
        <w:rPr>
          <w:lang w:eastAsia="en-AU"/>
        </w:rPr>
        <w:t>Chlamydia trachomatis</w:t>
      </w:r>
      <w:r w:rsidR="00B7556D">
        <w:rPr>
          <w:lang w:eastAsia="en-AU"/>
        </w:rPr>
        <w:t>;</w:t>
      </w:r>
    </w:p>
    <w:p w14:paraId="51422603" w14:textId="77777777" w:rsidR="00760C3D" w:rsidRDefault="00760C3D" w:rsidP="00B7556D">
      <w:pPr>
        <w:pStyle w:val="AspexBullet2"/>
        <w:rPr>
          <w:lang w:eastAsia="en-AU"/>
        </w:rPr>
      </w:pPr>
      <w:r>
        <w:rPr>
          <w:lang w:eastAsia="en-AU"/>
        </w:rPr>
        <w:t>Trichomonas vaginalis</w:t>
      </w:r>
      <w:r w:rsidR="00B7556D">
        <w:rPr>
          <w:lang w:eastAsia="en-AU"/>
        </w:rPr>
        <w:t>;</w:t>
      </w:r>
    </w:p>
    <w:p w14:paraId="71B91A07" w14:textId="77777777" w:rsidR="00760C3D" w:rsidRDefault="00760C3D" w:rsidP="00B7556D">
      <w:pPr>
        <w:pStyle w:val="AspexBullet2"/>
        <w:rPr>
          <w:lang w:eastAsia="en-AU"/>
        </w:rPr>
      </w:pPr>
      <w:r>
        <w:rPr>
          <w:lang w:eastAsia="en-AU"/>
        </w:rPr>
        <w:t>Donovanosis</w:t>
      </w:r>
      <w:r w:rsidR="00B7556D">
        <w:rPr>
          <w:lang w:eastAsia="en-AU"/>
        </w:rPr>
        <w:t>;</w:t>
      </w:r>
    </w:p>
    <w:p w14:paraId="65286FAF" w14:textId="77777777" w:rsidR="00760C3D" w:rsidRDefault="00760C3D" w:rsidP="00B7556D">
      <w:pPr>
        <w:pStyle w:val="AspexBullet2"/>
        <w:rPr>
          <w:lang w:eastAsia="en-AU"/>
        </w:rPr>
      </w:pPr>
      <w:r>
        <w:rPr>
          <w:lang w:eastAsia="en-AU"/>
        </w:rPr>
        <w:t>Lymphogranuloma venereum</w:t>
      </w:r>
      <w:r w:rsidR="00B7556D">
        <w:rPr>
          <w:lang w:eastAsia="en-AU"/>
        </w:rPr>
        <w:t>;</w:t>
      </w:r>
    </w:p>
    <w:p w14:paraId="5B517134" w14:textId="77777777" w:rsidR="00760C3D" w:rsidRDefault="00760C3D" w:rsidP="00B7556D">
      <w:pPr>
        <w:pStyle w:val="AspexBullet2"/>
        <w:rPr>
          <w:lang w:eastAsia="en-AU"/>
        </w:rPr>
      </w:pPr>
      <w:r>
        <w:rPr>
          <w:lang w:eastAsia="en-AU"/>
        </w:rPr>
        <w:t>Chancroid</w:t>
      </w:r>
      <w:r w:rsidR="00B7556D">
        <w:rPr>
          <w:lang w:eastAsia="en-AU"/>
        </w:rPr>
        <w:t>;</w:t>
      </w:r>
    </w:p>
    <w:p w14:paraId="5E70AF8E" w14:textId="77777777" w:rsidR="00760C3D" w:rsidRDefault="00760C3D" w:rsidP="00B7556D">
      <w:pPr>
        <w:pStyle w:val="AspexBullet2"/>
        <w:rPr>
          <w:lang w:eastAsia="en-AU"/>
        </w:rPr>
      </w:pPr>
      <w:r>
        <w:rPr>
          <w:lang w:eastAsia="en-AU"/>
        </w:rPr>
        <w:t>Syphilis</w:t>
      </w:r>
      <w:r w:rsidR="00B7556D">
        <w:rPr>
          <w:lang w:eastAsia="en-AU"/>
        </w:rPr>
        <w:t>;</w:t>
      </w:r>
    </w:p>
    <w:p w14:paraId="240BC85C" w14:textId="77777777" w:rsidR="00760C3D" w:rsidRDefault="00760C3D" w:rsidP="00B7556D">
      <w:pPr>
        <w:pStyle w:val="AspexBullet2"/>
        <w:rPr>
          <w:lang w:eastAsia="en-AU"/>
        </w:rPr>
      </w:pPr>
      <w:r>
        <w:rPr>
          <w:lang w:eastAsia="en-AU"/>
        </w:rPr>
        <w:t>Human immunodeficiency virus (HIV)</w:t>
      </w:r>
      <w:r w:rsidR="00B7556D">
        <w:rPr>
          <w:lang w:eastAsia="en-AU"/>
        </w:rPr>
        <w:t>;</w:t>
      </w:r>
    </w:p>
    <w:p w14:paraId="731228DE" w14:textId="77777777" w:rsidR="00760C3D" w:rsidRDefault="00760C3D" w:rsidP="00B7556D">
      <w:pPr>
        <w:pStyle w:val="AspexBullet2"/>
        <w:rPr>
          <w:lang w:eastAsia="en-AU"/>
        </w:rPr>
      </w:pPr>
      <w:r>
        <w:rPr>
          <w:lang w:eastAsia="en-AU"/>
        </w:rPr>
        <w:t>Human papilloma virus (HPV)</w:t>
      </w:r>
      <w:r w:rsidR="00B7556D">
        <w:rPr>
          <w:lang w:eastAsia="en-AU"/>
        </w:rPr>
        <w:t>;</w:t>
      </w:r>
    </w:p>
    <w:p w14:paraId="1AB6B660" w14:textId="77777777" w:rsidR="00760C3D" w:rsidRDefault="00760C3D" w:rsidP="00B7556D">
      <w:pPr>
        <w:pStyle w:val="AspexBullet2"/>
        <w:rPr>
          <w:lang w:eastAsia="en-AU"/>
        </w:rPr>
      </w:pPr>
      <w:r>
        <w:rPr>
          <w:lang w:eastAsia="en-AU"/>
        </w:rPr>
        <w:t>Herpes Simplex Virus (HSV 1 and 2)</w:t>
      </w:r>
      <w:r w:rsidR="00B7556D">
        <w:rPr>
          <w:lang w:eastAsia="en-AU"/>
        </w:rPr>
        <w:t>; and</w:t>
      </w:r>
    </w:p>
    <w:p w14:paraId="6E7F3FBD" w14:textId="77777777" w:rsidR="00760C3D" w:rsidRDefault="00760C3D" w:rsidP="00B7556D">
      <w:pPr>
        <w:pStyle w:val="AspexBullet2"/>
      </w:pPr>
      <w:r>
        <w:rPr>
          <w:lang w:eastAsia="en-AU"/>
        </w:rPr>
        <w:t>Hepatitis A, B, C &amp; D</w:t>
      </w:r>
    </w:p>
    <w:p w14:paraId="22BD1EB6" w14:textId="4CE28DEB" w:rsidR="00760C3D" w:rsidRDefault="00760C3D" w:rsidP="00B7556D">
      <w:pPr>
        <w:pStyle w:val="AspexBullet1"/>
        <w:numPr>
          <w:ilvl w:val="0"/>
          <w:numId w:val="0"/>
        </w:numPr>
        <w:spacing w:before="240"/>
        <w:rPr>
          <w:lang w:eastAsia="en-AU"/>
        </w:rPr>
      </w:pPr>
      <w:r>
        <w:rPr>
          <w:lang w:eastAsia="en-AU"/>
        </w:rPr>
        <w:t>The majority of which</w:t>
      </w:r>
      <w:r w:rsidR="00FB7393">
        <w:rPr>
          <w:lang w:eastAsia="en-AU"/>
        </w:rPr>
        <w:t xml:space="preserve"> </w:t>
      </w:r>
      <w:r>
        <w:rPr>
          <w:lang w:eastAsia="en-AU"/>
        </w:rPr>
        <w:t>are listed as notifiable diseases by Australian health authorities.</w:t>
      </w:r>
    </w:p>
    <w:p w14:paraId="4C4FF911" w14:textId="77777777" w:rsidR="00B7556D" w:rsidRDefault="00B7556D" w:rsidP="00F44503">
      <w:pPr>
        <w:pStyle w:val="Heading3"/>
      </w:pPr>
      <w:bookmarkStart w:id="85" w:name="_Toc348442599"/>
      <w:r>
        <w:t>Clinical competencies achieved by medical specialists</w:t>
      </w:r>
      <w:bookmarkEnd w:id="85"/>
    </w:p>
    <w:p w14:paraId="3312EFEC" w14:textId="77777777" w:rsidR="00B7556D" w:rsidRDefault="00B7556D" w:rsidP="00B7556D">
      <w:pPr>
        <w:pStyle w:val="AspexBodyStandard"/>
      </w:pPr>
      <w:r>
        <w:t>According to the Chapter, the sexual health physician at specialist-level must have the requisite knowledge and skills to provide:</w:t>
      </w:r>
    </w:p>
    <w:p w14:paraId="788AF60A" w14:textId="77777777" w:rsidR="00B7556D" w:rsidRDefault="00B7556D" w:rsidP="00B7556D">
      <w:pPr>
        <w:pStyle w:val="AspexBullet1"/>
        <w:rPr>
          <w:lang w:eastAsia="en-AU"/>
        </w:rPr>
      </w:pPr>
      <w:r>
        <w:rPr>
          <w:lang w:eastAsia="en-AU"/>
        </w:rPr>
        <w:t>Assessment, diagnosis and management of STIs and BBVs in patients, with specific focus on sexual history taking (including, where relevant, substance-use and gynaecological histories), physical examination of the ano</w:t>
      </w:r>
      <w:r w:rsidR="001C4C87">
        <w:rPr>
          <w:lang w:eastAsia="en-AU"/>
        </w:rPr>
        <w:t>-</w:t>
      </w:r>
      <w:r>
        <w:rPr>
          <w:lang w:eastAsia="en-AU"/>
        </w:rPr>
        <w:t>genital and oro</w:t>
      </w:r>
      <w:r w:rsidR="001C4C87">
        <w:rPr>
          <w:lang w:eastAsia="en-AU"/>
        </w:rPr>
        <w:t>-</w:t>
      </w:r>
      <w:r>
        <w:rPr>
          <w:lang w:eastAsia="en-AU"/>
        </w:rPr>
        <w:t>pharyngeal regions, and use of relevant diagnostic investigations and procedures;</w:t>
      </w:r>
    </w:p>
    <w:p w14:paraId="060DDE83" w14:textId="77777777" w:rsidR="00B7556D" w:rsidRDefault="00B7556D" w:rsidP="00B7556D">
      <w:pPr>
        <w:pStyle w:val="AspexBullet1"/>
        <w:rPr>
          <w:lang w:eastAsia="en-AU"/>
        </w:rPr>
      </w:pPr>
      <w:r>
        <w:rPr>
          <w:lang w:eastAsia="en-AU"/>
        </w:rPr>
        <w:t>Testing, diagnosis and management of HIV/AIDS within ambulatory settings, including the prescription and therapeutic monitoring of highly active antiretroviral therapy (HAART) regimes, and managing hospital admissions where required;</w:t>
      </w:r>
    </w:p>
    <w:p w14:paraId="5D1E0B40" w14:textId="77777777" w:rsidR="00B7556D" w:rsidRDefault="00B7556D" w:rsidP="00B7556D">
      <w:pPr>
        <w:pStyle w:val="AspexBullet1"/>
        <w:rPr>
          <w:lang w:eastAsia="en-AU"/>
        </w:rPr>
      </w:pPr>
      <w:r>
        <w:rPr>
          <w:lang w:eastAsia="en-AU"/>
        </w:rPr>
        <w:t>Forensic examination of sexual assault victims with clinical follow-up;</w:t>
      </w:r>
    </w:p>
    <w:p w14:paraId="64A270E9" w14:textId="77777777" w:rsidR="00B7556D" w:rsidRDefault="00B7556D" w:rsidP="00B7556D">
      <w:pPr>
        <w:pStyle w:val="AspexBullet1"/>
        <w:rPr>
          <w:lang w:eastAsia="en-AU"/>
        </w:rPr>
      </w:pPr>
      <w:r>
        <w:rPr>
          <w:lang w:eastAsia="en-AU"/>
        </w:rPr>
        <w:t xml:space="preserve">Assessment of sexual function, including the provision of counselling and the prescription of relevant drugs to manage sexual dysfunction; </w:t>
      </w:r>
    </w:p>
    <w:p w14:paraId="46D2929B" w14:textId="4D5343D8" w:rsidR="00B7556D" w:rsidRDefault="00B7556D" w:rsidP="00B7556D">
      <w:pPr>
        <w:pStyle w:val="AspexBullet1"/>
        <w:rPr>
          <w:lang w:eastAsia="en-AU"/>
        </w:rPr>
      </w:pPr>
      <w:r>
        <w:rPr>
          <w:lang w:eastAsia="en-AU"/>
        </w:rPr>
        <w:t xml:space="preserve">Consultation and referral services for </w:t>
      </w:r>
      <w:r w:rsidR="001D3D56">
        <w:rPr>
          <w:lang w:eastAsia="en-AU"/>
        </w:rPr>
        <w:t>GPs</w:t>
      </w:r>
      <w:r>
        <w:rPr>
          <w:lang w:eastAsia="en-AU"/>
        </w:rPr>
        <w:t xml:space="preserve"> and other specialists;</w:t>
      </w:r>
    </w:p>
    <w:p w14:paraId="174F16BC" w14:textId="77777777" w:rsidR="00B7556D" w:rsidRDefault="00B7556D" w:rsidP="00B7556D">
      <w:pPr>
        <w:pStyle w:val="AspexBullet1"/>
        <w:rPr>
          <w:lang w:eastAsia="en-AU"/>
        </w:rPr>
      </w:pPr>
      <w:r>
        <w:rPr>
          <w:lang w:eastAsia="en-AU"/>
        </w:rPr>
        <w:t>Clinical leadership in a multidisciplinary team setting that includes other medical practitioners, sexual health nurses, psychologists and counsellors, health promotion and community liaison officers, and contact tracers;</w:t>
      </w:r>
    </w:p>
    <w:p w14:paraId="5027D647" w14:textId="621A8B01" w:rsidR="00B7556D" w:rsidRDefault="00B7556D" w:rsidP="00B7556D">
      <w:pPr>
        <w:pStyle w:val="AspexBullet1"/>
      </w:pPr>
      <w:r>
        <w:rPr>
          <w:lang w:eastAsia="en-AU"/>
        </w:rPr>
        <w:lastRenderedPageBreak/>
        <w:t>Educational and training support to other medical and health professionals</w:t>
      </w:r>
      <w:r w:rsidR="001D3D56">
        <w:rPr>
          <w:lang w:eastAsia="en-AU"/>
        </w:rPr>
        <w:t>;</w:t>
      </w:r>
    </w:p>
    <w:p w14:paraId="23545389" w14:textId="77777777" w:rsidR="00B7556D" w:rsidRDefault="00B7556D" w:rsidP="00B7556D">
      <w:pPr>
        <w:pStyle w:val="AspexBullet1"/>
        <w:rPr>
          <w:lang w:eastAsia="en-AU"/>
        </w:rPr>
      </w:pPr>
      <w:r>
        <w:rPr>
          <w:lang w:eastAsia="en-AU"/>
        </w:rPr>
        <w:t>Contributing to the development and dissemination of a comprehensive evidence-base to guide and inform clinical practice;</w:t>
      </w:r>
    </w:p>
    <w:p w14:paraId="75157E44" w14:textId="77777777" w:rsidR="00B7556D" w:rsidRDefault="00B7556D" w:rsidP="00B7556D">
      <w:pPr>
        <w:pStyle w:val="AspexBullet1"/>
        <w:rPr>
          <w:lang w:eastAsia="en-AU"/>
        </w:rPr>
      </w:pPr>
      <w:r>
        <w:rPr>
          <w:lang w:eastAsia="en-AU"/>
        </w:rPr>
        <w:t>Contributing to sexual health medicine research;</w:t>
      </w:r>
    </w:p>
    <w:p w14:paraId="5499EC31" w14:textId="77777777" w:rsidR="00B7556D" w:rsidRDefault="00B7556D" w:rsidP="00B7556D">
      <w:pPr>
        <w:pStyle w:val="AspexBullet1"/>
        <w:rPr>
          <w:lang w:eastAsia="en-AU"/>
        </w:rPr>
      </w:pPr>
      <w:r>
        <w:rPr>
          <w:lang w:eastAsia="en-AU"/>
        </w:rPr>
        <w:t>Contributing to health promotion and public health policy development;</w:t>
      </w:r>
    </w:p>
    <w:p w14:paraId="3006E673" w14:textId="77777777" w:rsidR="00B7556D" w:rsidRDefault="00B7556D" w:rsidP="00B7556D">
      <w:pPr>
        <w:pStyle w:val="AspexBullet1"/>
        <w:rPr>
          <w:lang w:eastAsia="en-AU"/>
        </w:rPr>
      </w:pPr>
      <w:r>
        <w:rPr>
          <w:lang w:eastAsia="en-AU"/>
        </w:rPr>
        <w:t>Contributing to academic teaching and professional training;</w:t>
      </w:r>
    </w:p>
    <w:p w14:paraId="13C38AAB" w14:textId="77777777" w:rsidR="00B7556D" w:rsidRDefault="00B7556D" w:rsidP="00B7556D">
      <w:pPr>
        <w:pStyle w:val="AspexBullet1"/>
        <w:rPr>
          <w:lang w:eastAsia="en-AU"/>
        </w:rPr>
      </w:pPr>
      <w:r>
        <w:rPr>
          <w:lang w:eastAsia="en-AU"/>
        </w:rPr>
        <w:t>Contributing to the development and dissemination of clinical practice guidelines;</w:t>
      </w:r>
    </w:p>
    <w:p w14:paraId="4FAB8123" w14:textId="77777777" w:rsidR="00B7556D" w:rsidRDefault="00B7556D" w:rsidP="00B7556D">
      <w:pPr>
        <w:pStyle w:val="AspexBullet1"/>
        <w:rPr>
          <w:lang w:eastAsia="en-AU"/>
        </w:rPr>
      </w:pPr>
      <w:r>
        <w:rPr>
          <w:lang w:eastAsia="en-AU"/>
        </w:rPr>
        <w:t>Contributing to the development and management of both general and sentinel surveillance systems; and</w:t>
      </w:r>
    </w:p>
    <w:p w14:paraId="0185EC58" w14:textId="77777777" w:rsidR="00B7556D" w:rsidRDefault="00B7556D" w:rsidP="00B7556D">
      <w:pPr>
        <w:pStyle w:val="AspexBullet1"/>
        <w:rPr>
          <w:lang w:eastAsia="en-AU"/>
        </w:rPr>
      </w:pPr>
      <w:r>
        <w:rPr>
          <w:lang w:eastAsia="en-AU"/>
        </w:rPr>
        <w:t>Contributing to the development of health service policy at the national, state and local levels.</w:t>
      </w:r>
    </w:p>
    <w:p w14:paraId="09C88A2B" w14:textId="77777777" w:rsidR="00C0739F" w:rsidRDefault="008C29C6" w:rsidP="007333CE">
      <w:pPr>
        <w:pStyle w:val="Heading2"/>
      </w:pPr>
      <w:bookmarkStart w:id="86" w:name="_Toc351480530"/>
      <w:r>
        <w:t>Sexual Health Medicine</w:t>
      </w:r>
      <w:r w:rsidR="00C0739F">
        <w:t xml:space="preserve"> interventions</w:t>
      </w:r>
      <w:bookmarkEnd w:id="86"/>
      <w:r w:rsidR="00C0739F">
        <w:t xml:space="preserve"> </w:t>
      </w:r>
    </w:p>
    <w:p w14:paraId="6D694ED0" w14:textId="2DC038E8" w:rsidR="003B64B8" w:rsidRDefault="009449A5" w:rsidP="003B64B8">
      <w:pPr>
        <w:pStyle w:val="AspexBodyStandard"/>
      </w:pPr>
      <w:r w:rsidRPr="00A415D5">
        <w:t>In order to address</w:t>
      </w:r>
      <w:r w:rsidR="00870548" w:rsidRPr="00A415D5">
        <w:t xml:space="preserve"> the</w:t>
      </w:r>
      <w:r w:rsidRPr="00A415D5">
        <w:t xml:space="preserve"> complex and chronic</w:t>
      </w:r>
      <w:r w:rsidR="00870548" w:rsidRPr="00A415D5">
        <w:t xml:space="preserve"> issues that</w:t>
      </w:r>
      <w:r w:rsidRPr="00A415D5">
        <w:t xml:space="preserve"> people experienc</w:t>
      </w:r>
      <w:r w:rsidR="00870548" w:rsidRPr="00A415D5">
        <w:t>e with</w:t>
      </w:r>
      <w:r w:rsidRPr="00A415D5">
        <w:t xml:space="preserve"> </w:t>
      </w:r>
      <w:r w:rsidR="00B7556D" w:rsidRPr="00A415D5">
        <w:t>sexual health related problems</w:t>
      </w:r>
      <w:r w:rsidRPr="00A415D5">
        <w:t xml:space="preserve">, specialists in </w:t>
      </w:r>
      <w:r w:rsidR="00D270B7" w:rsidRPr="00A415D5">
        <w:t xml:space="preserve">sexual health medicine </w:t>
      </w:r>
      <w:r w:rsidRPr="00A415D5">
        <w:t>provide a variety of clinical interventions including:</w:t>
      </w:r>
    </w:p>
    <w:p w14:paraId="7C0179EE" w14:textId="77777777" w:rsidR="009449A5" w:rsidRDefault="00B7556D" w:rsidP="003B64B8">
      <w:pPr>
        <w:pStyle w:val="AspexBullet1"/>
      </w:pPr>
      <w:r>
        <w:t>Sexual history and risk assessment</w:t>
      </w:r>
      <w:r w:rsidR="00FB66FA">
        <w:t>;</w:t>
      </w:r>
      <w:r w:rsidR="009449A5">
        <w:t xml:space="preserve"> </w:t>
      </w:r>
    </w:p>
    <w:p w14:paraId="5FAFAB80" w14:textId="77777777" w:rsidR="009449A5" w:rsidRDefault="00B7556D" w:rsidP="00FB66FA">
      <w:pPr>
        <w:pStyle w:val="AspexBullet1"/>
      </w:pPr>
      <w:r>
        <w:t>Complex diagnostic investigations and procedures</w:t>
      </w:r>
      <w:r w:rsidR="00FB66FA">
        <w:t>;</w:t>
      </w:r>
    </w:p>
    <w:p w14:paraId="71533A12" w14:textId="77777777" w:rsidR="009449A5" w:rsidRDefault="00B7556D" w:rsidP="00FB66FA">
      <w:pPr>
        <w:pStyle w:val="AspexBullet1"/>
      </w:pPr>
      <w:r>
        <w:t>Assessment and management of complex sexual dysfunction</w:t>
      </w:r>
      <w:r w:rsidR="00FB66FA">
        <w:t>;</w:t>
      </w:r>
    </w:p>
    <w:p w14:paraId="20E7A5F3" w14:textId="4253E5F0" w:rsidR="00B7556D" w:rsidRDefault="00B7556D" w:rsidP="00FB66FA">
      <w:pPr>
        <w:pStyle w:val="AspexBullet1"/>
      </w:pPr>
      <w:r>
        <w:t>Manage</w:t>
      </w:r>
      <w:r w:rsidR="005440A5">
        <w:t>ment of</w:t>
      </w:r>
      <w:r>
        <w:t xml:space="preserve"> STIs and HIV in ambulatory settings;</w:t>
      </w:r>
    </w:p>
    <w:p w14:paraId="71D613D8" w14:textId="77777777" w:rsidR="00B7556D" w:rsidRDefault="00B7556D" w:rsidP="00FB66FA">
      <w:pPr>
        <w:pStyle w:val="AspexBullet1"/>
      </w:pPr>
      <w:r>
        <w:t>Multi-disciplinary clinical leadership;</w:t>
      </w:r>
    </w:p>
    <w:p w14:paraId="3CC44AFE" w14:textId="77777777" w:rsidR="00B7556D" w:rsidRDefault="00B7556D" w:rsidP="00B7556D">
      <w:pPr>
        <w:pStyle w:val="AspexBullet1"/>
      </w:pPr>
      <w:r>
        <w:t>Education and support to other health professionals;</w:t>
      </w:r>
    </w:p>
    <w:p w14:paraId="517DC020" w14:textId="77777777" w:rsidR="00B7556D" w:rsidRDefault="00B7556D" w:rsidP="00B7556D">
      <w:pPr>
        <w:pStyle w:val="AspexBullet1"/>
      </w:pPr>
      <w:r>
        <w:t>Contact tracing and sexual health promotion;</w:t>
      </w:r>
    </w:p>
    <w:p w14:paraId="60405AE6" w14:textId="77777777" w:rsidR="00B7556D" w:rsidRDefault="00B7556D" w:rsidP="00B7556D">
      <w:pPr>
        <w:pStyle w:val="AspexBullet1"/>
      </w:pPr>
      <w:r>
        <w:t>Forensic examination of sexual assault; and</w:t>
      </w:r>
    </w:p>
    <w:p w14:paraId="1FEC0A24" w14:textId="77777777" w:rsidR="009449A5" w:rsidRDefault="00B7556D" w:rsidP="00B7556D">
      <w:pPr>
        <w:pStyle w:val="AspexBullet1"/>
      </w:pPr>
      <w:r>
        <w:t>Management of other sexual/reproductive health issues</w:t>
      </w:r>
      <w:r w:rsidR="009449A5">
        <w:t>.</w:t>
      </w:r>
    </w:p>
    <w:p w14:paraId="3D4DBFB9" w14:textId="77777777" w:rsidR="00FB66FA" w:rsidRPr="00C0739F" w:rsidRDefault="00FB66FA" w:rsidP="00FB66FA">
      <w:pPr>
        <w:pStyle w:val="AspexBodyStandard"/>
      </w:pPr>
      <w:r w:rsidRPr="001C4C87">
        <w:t xml:space="preserve">These interventions may be provided directly by specialists or via consultation with other specialists, general practitioners or and other health providers. </w:t>
      </w:r>
    </w:p>
    <w:p w14:paraId="6AC10255" w14:textId="77777777" w:rsidR="00AC42A1" w:rsidRDefault="008C29C6" w:rsidP="007333CE">
      <w:pPr>
        <w:pStyle w:val="Heading2"/>
      </w:pPr>
      <w:bookmarkStart w:id="87" w:name="_Toc351480531"/>
      <w:r>
        <w:t>Sexual Health Medicine</w:t>
      </w:r>
      <w:r w:rsidR="00AC42A1">
        <w:t xml:space="preserve"> workforce</w:t>
      </w:r>
      <w:bookmarkEnd w:id="87"/>
    </w:p>
    <w:p w14:paraId="098366D3" w14:textId="6D8B0AA7" w:rsidR="00A119C3" w:rsidRDefault="00395621" w:rsidP="00AC42A1">
      <w:pPr>
        <w:pStyle w:val="AspexBodyStandard"/>
      </w:pPr>
      <w:r>
        <w:t xml:space="preserve">Registration data </w:t>
      </w:r>
      <w:r w:rsidR="00AC42A1">
        <w:t xml:space="preserve">from the Chapter of </w:t>
      </w:r>
      <w:r w:rsidR="008C29C6">
        <w:t>Sexual Health Medicine</w:t>
      </w:r>
      <w:r w:rsidR="00AC42A1">
        <w:t xml:space="preserve"> reveal a total of </w:t>
      </w:r>
      <w:r>
        <w:t>174</w:t>
      </w:r>
      <w:r w:rsidR="00AC42A1">
        <w:t xml:space="preserve"> </w:t>
      </w:r>
      <w:r w:rsidR="00D270B7" w:rsidRPr="00D270B7">
        <w:t xml:space="preserve">sexual health medicine </w:t>
      </w:r>
      <w:r w:rsidR="00D270B7">
        <w:t>s</w:t>
      </w:r>
      <w:r w:rsidR="00AC42A1">
        <w:t xml:space="preserve">pecialists in Australia, </w:t>
      </w:r>
      <w:r>
        <w:t>142 of wh</w:t>
      </w:r>
      <w:r w:rsidR="005440A5">
        <w:t>o</w:t>
      </w:r>
      <w:r w:rsidR="00825B88">
        <w:t>m</w:t>
      </w:r>
      <w:r>
        <w:t xml:space="preserve"> are below the current age of retirement</w:t>
      </w:r>
      <w:r w:rsidR="00AC42A1">
        <w:t xml:space="preserve"> (</w:t>
      </w:r>
      <w:r w:rsidR="00AC42A1">
        <w:fldChar w:fldCharType="begin"/>
      </w:r>
      <w:r w:rsidR="00AC42A1">
        <w:instrText xml:space="preserve"> REF _Ref222156977 \h </w:instrText>
      </w:r>
      <w:r w:rsidR="00AC42A1">
        <w:fldChar w:fldCharType="separate"/>
      </w:r>
      <w:r w:rsidR="008E6665" w:rsidRPr="00C32C3D">
        <w:t xml:space="preserve">Table </w:t>
      </w:r>
      <w:r w:rsidR="008E6665">
        <w:rPr>
          <w:noProof/>
        </w:rPr>
        <w:t>4</w:t>
      </w:r>
      <w:r w:rsidR="008E6665">
        <w:noBreakHyphen/>
      </w:r>
      <w:r w:rsidR="008E6665">
        <w:rPr>
          <w:noProof/>
        </w:rPr>
        <w:t>2</w:t>
      </w:r>
      <w:r w:rsidR="00AC42A1">
        <w:fldChar w:fldCharType="end"/>
      </w:r>
      <w:r w:rsidR="00AC42A1">
        <w:t>).</w:t>
      </w:r>
    </w:p>
    <w:p w14:paraId="0A2496E4" w14:textId="77777777" w:rsidR="00A119C3" w:rsidRDefault="00A119C3" w:rsidP="00A119C3">
      <w:pPr>
        <w:pStyle w:val="AspexBodyStandard"/>
      </w:pPr>
      <w:r>
        <w:br w:type="page"/>
      </w:r>
    </w:p>
    <w:p w14:paraId="110C6E5E" w14:textId="0C4E1A9A" w:rsidR="00AC42A1" w:rsidRDefault="00AC42A1" w:rsidP="00CF3A3C">
      <w:pPr>
        <w:pStyle w:val="Caption"/>
      </w:pPr>
      <w:bookmarkStart w:id="88" w:name="_Ref222156977"/>
      <w:bookmarkStart w:id="89" w:name="_Toc351129882"/>
      <w:r w:rsidRPr="00C32C3D">
        <w:lastRenderedPageBreak/>
        <w:t xml:space="preserve">Table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A60D98">
        <w:noBreakHyphen/>
      </w:r>
      <w:r w:rsidR="008E6665">
        <w:fldChar w:fldCharType="begin"/>
      </w:r>
      <w:r w:rsidR="008E6665">
        <w:instrText xml:space="preserve"> SEQ Table \* ARABIC \s 1 </w:instrText>
      </w:r>
      <w:r w:rsidR="008E6665">
        <w:fldChar w:fldCharType="separate"/>
      </w:r>
      <w:r w:rsidR="008E6665">
        <w:rPr>
          <w:noProof/>
        </w:rPr>
        <w:t>2</w:t>
      </w:r>
      <w:r w:rsidR="008E6665">
        <w:rPr>
          <w:noProof/>
        </w:rPr>
        <w:fldChar w:fldCharType="end"/>
      </w:r>
      <w:bookmarkEnd w:id="88"/>
      <w:r w:rsidR="00AE66EA">
        <w:rPr>
          <w:noProof/>
        </w:rPr>
        <w:t>:</w:t>
      </w:r>
      <w:r w:rsidRPr="00C32C3D">
        <w:tab/>
      </w:r>
      <w:r w:rsidR="008C29C6">
        <w:t>Sexual Health Medicine</w:t>
      </w:r>
      <w:r w:rsidRPr="00C32C3D">
        <w:t xml:space="preserve"> Specialis</w:t>
      </w:r>
      <w:r>
        <w:t>ts Working in Australia 2013</w:t>
      </w:r>
      <w:bookmarkEnd w:id="89"/>
    </w:p>
    <w:bookmarkStart w:id="90" w:name="_MON_1425372473"/>
    <w:bookmarkEnd w:id="90"/>
    <w:p w14:paraId="4C94AEF2" w14:textId="3ADDFA47" w:rsidR="00AC42A1" w:rsidRDefault="00005DC8" w:rsidP="00AC42A1">
      <w:pPr>
        <w:pStyle w:val="AspexBodyStandard"/>
      </w:pPr>
      <w:r>
        <w:object w:dxaOrig="9247" w:dyaOrig="1665" w14:anchorId="7C584D83">
          <v:shape id="_x0000_i1031" type="#_x0000_t75" alt="Table 4 2: Sexual Health Medicine Specialists Working in Australia 2013" style="width:462pt;height:83.25pt" o:ole="">
            <v:imagedata r:id="rId40" o:title=""/>
          </v:shape>
          <o:OLEObject Type="Embed" ProgID="Word.Document.12" ShapeID="_x0000_i1031" DrawAspect="Content" ObjectID="_1457429606" r:id="rId41">
            <o:FieldCodes>\s</o:FieldCodes>
          </o:OLEObject>
        </w:object>
      </w:r>
      <w:r w:rsidR="00AC42A1">
        <w:t>Comparison of the rate of specialists</w:t>
      </w:r>
      <w:r w:rsidR="00AD1D22">
        <w:t xml:space="preserve"> under the age of retirement</w:t>
      </w:r>
      <w:r w:rsidR="00AC42A1">
        <w:t xml:space="preserve"> (per 10,000 population) revealed </w:t>
      </w:r>
      <w:r w:rsidR="00AD1D22">
        <w:t>a</w:t>
      </w:r>
      <w:r w:rsidR="00AC42A1">
        <w:t xml:space="preserve"> </w:t>
      </w:r>
      <w:r w:rsidR="00AD1D22">
        <w:t xml:space="preserve">significantly higher proportion of specialists </w:t>
      </w:r>
      <w:r w:rsidR="005440A5">
        <w:t xml:space="preserve">in </w:t>
      </w:r>
      <w:r w:rsidR="00467754">
        <w:t>New South Wales (Z=2.52, p = 0.023</w:t>
      </w:r>
      <w:r w:rsidR="00AD1D22">
        <w:t xml:space="preserve">) compared with the national average </w:t>
      </w:r>
      <w:r w:rsidR="00AC42A1">
        <w:t>(</w:t>
      </w:r>
      <w:r w:rsidR="00AC42A1">
        <w:fldChar w:fldCharType="begin"/>
      </w:r>
      <w:r w:rsidR="00AC42A1">
        <w:instrText xml:space="preserve"> REF _Ref222148627 \h </w:instrText>
      </w:r>
      <w:r w:rsidR="00AC42A1">
        <w:fldChar w:fldCharType="separate"/>
      </w:r>
      <w:r w:rsidR="008E6665" w:rsidRPr="00C32C3D">
        <w:t xml:space="preserve">Figure </w:t>
      </w:r>
      <w:r w:rsidR="008E6665">
        <w:rPr>
          <w:noProof/>
        </w:rPr>
        <w:t>4</w:t>
      </w:r>
      <w:r w:rsidR="008E6665">
        <w:noBreakHyphen/>
      </w:r>
      <w:r w:rsidR="008E6665">
        <w:rPr>
          <w:noProof/>
        </w:rPr>
        <w:t>2</w:t>
      </w:r>
      <w:r w:rsidR="00AC42A1">
        <w:fldChar w:fldCharType="end"/>
      </w:r>
      <w:r w:rsidR="00AC42A1">
        <w:t>).</w:t>
      </w:r>
    </w:p>
    <w:p w14:paraId="7F0851A7" w14:textId="7D8A85F7" w:rsidR="00AC42A1" w:rsidRPr="00C32C3D" w:rsidRDefault="00AC42A1" w:rsidP="00CF3A3C">
      <w:pPr>
        <w:pStyle w:val="Caption"/>
      </w:pPr>
      <w:bookmarkStart w:id="91" w:name="_Ref222148627"/>
      <w:bookmarkStart w:id="92" w:name="_Toc351129606"/>
      <w:r w:rsidRPr="00C32C3D">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2</w:t>
      </w:r>
      <w:r w:rsidR="008E6665">
        <w:rPr>
          <w:noProof/>
        </w:rPr>
        <w:fldChar w:fldCharType="end"/>
      </w:r>
      <w:bookmarkEnd w:id="91"/>
      <w:r w:rsidR="00AE66EA">
        <w:rPr>
          <w:noProof/>
        </w:rPr>
        <w:t>:</w:t>
      </w:r>
      <w:r w:rsidRPr="00C32C3D">
        <w:tab/>
      </w:r>
      <w:r>
        <w:t>Standardised Distribution of S</w:t>
      </w:r>
      <w:r w:rsidRPr="00C32C3D">
        <w:t>pecialists a</w:t>
      </w:r>
      <w:r>
        <w:t>cross Australia 2011</w:t>
      </w:r>
      <w:bookmarkEnd w:id="92"/>
    </w:p>
    <w:p w14:paraId="7D316867" w14:textId="5B79A8DF" w:rsidR="00467754" w:rsidRDefault="004A434E" w:rsidP="00FE683C">
      <w:pPr>
        <w:pStyle w:val="AspexBodyStandard"/>
        <w:jc w:val="left"/>
      </w:pPr>
      <w:r w:rsidRPr="004A434E">
        <w:rPr>
          <w:noProof/>
          <w:lang w:eastAsia="en-AU"/>
        </w:rPr>
        <w:drawing>
          <wp:inline distT="0" distB="0" distL="0" distR="0" wp14:anchorId="452082A9" wp14:editId="0671D2BA">
            <wp:extent cx="5723890" cy="2512152"/>
            <wp:effectExtent l="0" t="0" r="0" b="2540"/>
            <wp:docPr id="32" name="Picture 10" title="Figure 4 2: Standardised Distribution of Specialists across Australia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890" cy="2512152"/>
                    </a:xfrm>
                    <a:prstGeom prst="rect">
                      <a:avLst/>
                    </a:prstGeom>
                    <a:noFill/>
                    <a:ln>
                      <a:noFill/>
                    </a:ln>
                  </pic:spPr>
                </pic:pic>
              </a:graphicData>
            </a:graphic>
          </wp:inline>
        </w:drawing>
      </w:r>
    </w:p>
    <w:p w14:paraId="6B7F379E" w14:textId="172D55D5" w:rsidR="00AC42A1" w:rsidRDefault="00AC42A1" w:rsidP="00AD1D22">
      <w:pPr>
        <w:pStyle w:val="AspexBodyStandard"/>
      </w:pPr>
      <w:r>
        <w:t xml:space="preserve">Chapter representatives and a range of other </w:t>
      </w:r>
      <w:r w:rsidR="00D270B7" w:rsidRPr="00D270B7">
        <w:t xml:space="preserve">sexual health medicine </w:t>
      </w:r>
      <w:r>
        <w:t>specialists reported con</w:t>
      </w:r>
      <w:r w:rsidR="003B7CD2">
        <w:t>cerns about the average age of F</w:t>
      </w:r>
      <w:r>
        <w:t>ellows.  It was estimated that a sizable proportion of the current fellowship w</w:t>
      </w:r>
      <w:r w:rsidR="005440A5">
        <w:t>ill</w:t>
      </w:r>
      <w:r>
        <w:t xml:space="preserve"> be eligible for retirement over the coming years. </w:t>
      </w:r>
      <w:r w:rsidR="00AD1D22">
        <w:t>Further examination of Chapter data revealed that the average age of all fellows was 5</w:t>
      </w:r>
      <w:r w:rsidR="00467754">
        <w:t>6</w:t>
      </w:r>
      <w:r w:rsidR="00AD1D22">
        <w:t xml:space="preserve"> years</w:t>
      </w:r>
      <w:r w:rsidR="00624FA1">
        <w:t xml:space="preserve"> (Median 56 years)</w:t>
      </w:r>
      <w:r w:rsidR="00AD1D22">
        <w:t>, with:</w:t>
      </w:r>
    </w:p>
    <w:p w14:paraId="0A85A083" w14:textId="77777777" w:rsidR="00AC42A1" w:rsidRDefault="00467754" w:rsidP="00AC42A1">
      <w:pPr>
        <w:pStyle w:val="AspexBullet1"/>
      </w:pPr>
      <w:r>
        <w:t>15</w:t>
      </w:r>
      <w:r w:rsidR="001F7B12">
        <w:t>% (95%CI</w:t>
      </w:r>
      <w:r w:rsidR="00AC42A1">
        <w:t xml:space="preserve">: </w:t>
      </w:r>
      <w:r w:rsidR="00624FA1">
        <w:t>9</w:t>
      </w:r>
      <w:r w:rsidR="00AC42A1">
        <w:t>-</w:t>
      </w:r>
      <w:r w:rsidR="001F7B12">
        <w:t>23</w:t>
      </w:r>
      <w:r w:rsidR="00AC42A1">
        <w:t>) of the current fellowship eligible to retire within the next three years;</w:t>
      </w:r>
    </w:p>
    <w:p w14:paraId="436B7BA9" w14:textId="77777777" w:rsidR="00AC42A1" w:rsidRDefault="00467754" w:rsidP="00AC42A1">
      <w:pPr>
        <w:pStyle w:val="AspexBullet1"/>
      </w:pPr>
      <w:r>
        <w:t>26</w:t>
      </w:r>
      <w:r w:rsidR="001F7B12">
        <w:t>% (95%CI</w:t>
      </w:r>
      <w:r w:rsidR="00AC42A1">
        <w:t xml:space="preserve">: </w:t>
      </w:r>
      <w:r w:rsidR="00624FA1">
        <w:t>19</w:t>
      </w:r>
      <w:r w:rsidR="00AC42A1">
        <w:t>-</w:t>
      </w:r>
      <w:r w:rsidR="001F7B12">
        <w:t>35</w:t>
      </w:r>
      <w:r w:rsidR="00AC42A1">
        <w:t xml:space="preserve">) eligible for retirement within the next six years; and </w:t>
      </w:r>
    </w:p>
    <w:p w14:paraId="0D73D378" w14:textId="77777777" w:rsidR="00AC42A1" w:rsidRDefault="00467754" w:rsidP="00AC42A1">
      <w:pPr>
        <w:pStyle w:val="AspexBullet1"/>
      </w:pPr>
      <w:r>
        <w:t>40</w:t>
      </w:r>
      <w:r w:rsidR="001F7B12">
        <w:t xml:space="preserve">% (95%CI: </w:t>
      </w:r>
      <w:r w:rsidR="00624FA1">
        <w:t>31</w:t>
      </w:r>
      <w:r w:rsidR="001F7B12">
        <w:t>-</w:t>
      </w:r>
      <w:r w:rsidR="00624FA1">
        <w:t>48</w:t>
      </w:r>
      <w:r w:rsidR="00AC42A1">
        <w:t>) of all current fellows eligible to retire within nine years.</w:t>
      </w:r>
    </w:p>
    <w:p w14:paraId="17577783" w14:textId="77777777" w:rsidR="009A3E29" w:rsidRDefault="003C3A2B" w:rsidP="009A3E29">
      <w:pPr>
        <w:pStyle w:val="AspexBodyStandard"/>
      </w:pPr>
      <w:r>
        <w:t xml:space="preserve">Fellowship concerns were further reinforced by the </w:t>
      </w:r>
      <w:r w:rsidR="00AD1D22">
        <w:t>number of trainees admitted to the program</w:t>
      </w:r>
      <w:r>
        <w:t>, which</w:t>
      </w:r>
      <w:r w:rsidR="00AD1D22">
        <w:t xml:space="preserve"> was considered insufficient for</w:t>
      </w:r>
      <w:r w:rsidR="003B7CD2">
        <w:t xml:space="preserve"> workforce replenishment. </w:t>
      </w:r>
      <w:r>
        <w:t>Examination of Chapter data for the total number of current trainees, and the number of new trainees entering the fellowship program over the past three years is presented in</w:t>
      </w:r>
      <w:r w:rsidR="009A3E29">
        <w:t xml:space="preserve"> </w:t>
      </w:r>
      <w:r w:rsidR="005440A5">
        <w:fldChar w:fldCharType="begin"/>
      </w:r>
      <w:r w:rsidR="005440A5">
        <w:instrText xml:space="preserve"> REF _Ref225093564 \h </w:instrText>
      </w:r>
      <w:r w:rsidR="005440A5">
        <w:fldChar w:fldCharType="separate"/>
      </w:r>
      <w:r w:rsidR="008E6665" w:rsidRPr="00C32C3D">
        <w:t xml:space="preserve">Table </w:t>
      </w:r>
      <w:r w:rsidR="008E6665">
        <w:rPr>
          <w:noProof/>
        </w:rPr>
        <w:t>4</w:t>
      </w:r>
      <w:r w:rsidR="008E6665">
        <w:noBreakHyphen/>
      </w:r>
      <w:r w:rsidR="008E6665">
        <w:rPr>
          <w:noProof/>
        </w:rPr>
        <w:t>3</w:t>
      </w:r>
      <w:r w:rsidR="005440A5">
        <w:fldChar w:fldCharType="end"/>
      </w:r>
      <w:r w:rsidR="005440A5">
        <w:t xml:space="preserve">.  </w:t>
      </w:r>
    </w:p>
    <w:p w14:paraId="2F846A9A" w14:textId="1190ACD7" w:rsidR="003C3A2B" w:rsidRDefault="005440A5" w:rsidP="009A3E29">
      <w:pPr>
        <w:pStyle w:val="AspexBodyStandard"/>
      </w:pPr>
      <w:r>
        <w:t>This</w:t>
      </w:r>
      <w:r w:rsidR="003C3A2B">
        <w:t xml:space="preserve"> reveals that only 5 trainees have entered the fellowship program over the past two years.  Data also indicates that the majority of current trainees are completing at least part of their fellowship program on a part time basis (taking more than the three year full time equivalent to complete training). </w:t>
      </w:r>
    </w:p>
    <w:p w14:paraId="37B67C26" w14:textId="77777777" w:rsidR="005440A5" w:rsidRDefault="005440A5" w:rsidP="00F333A1">
      <w:pPr>
        <w:pStyle w:val="AspexBodyStandard"/>
      </w:pPr>
    </w:p>
    <w:p w14:paraId="05FA5EC8" w14:textId="089884C0" w:rsidR="003C3A2B" w:rsidRDefault="003C3A2B" w:rsidP="00CF3A3C">
      <w:pPr>
        <w:pStyle w:val="Caption"/>
      </w:pPr>
      <w:bookmarkStart w:id="93" w:name="_Ref223768880"/>
      <w:bookmarkStart w:id="94" w:name="_Ref225093564"/>
      <w:bookmarkStart w:id="95" w:name="_Toc351129883"/>
      <w:r w:rsidRPr="00C32C3D">
        <w:lastRenderedPageBreak/>
        <w:t xml:space="preserve">Table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A60D98">
        <w:noBreakHyphen/>
      </w:r>
      <w:r w:rsidR="008E6665">
        <w:fldChar w:fldCharType="begin"/>
      </w:r>
      <w:r w:rsidR="008E6665">
        <w:instrText xml:space="preserve"> SEQ Table \* ARABIC \s 1 </w:instrText>
      </w:r>
      <w:r w:rsidR="008E6665">
        <w:fldChar w:fldCharType="separate"/>
      </w:r>
      <w:r w:rsidR="008E6665">
        <w:rPr>
          <w:noProof/>
        </w:rPr>
        <w:t>3</w:t>
      </w:r>
      <w:r w:rsidR="008E6665">
        <w:rPr>
          <w:noProof/>
        </w:rPr>
        <w:fldChar w:fldCharType="end"/>
      </w:r>
      <w:bookmarkEnd w:id="93"/>
      <w:bookmarkEnd w:id="94"/>
      <w:r w:rsidR="00AE66EA">
        <w:rPr>
          <w:noProof/>
        </w:rPr>
        <w:t>:</w:t>
      </w:r>
      <w:r w:rsidRPr="00C32C3D">
        <w:tab/>
      </w:r>
      <w:r w:rsidR="008C29C6">
        <w:t>Sexual Health Medicine</w:t>
      </w:r>
      <w:r w:rsidRPr="00C32C3D">
        <w:t xml:space="preserve"> </w:t>
      </w:r>
      <w:r>
        <w:t>Trainees Working in Australia 2013</w:t>
      </w:r>
      <w:bookmarkEnd w:id="95"/>
    </w:p>
    <w:bookmarkStart w:id="96" w:name="_MON_1425372537"/>
    <w:bookmarkEnd w:id="96"/>
    <w:p w14:paraId="200C7509" w14:textId="147CBEBF" w:rsidR="0096399F" w:rsidRPr="0096399F" w:rsidRDefault="00005DC8" w:rsidP="0096399F">
      <w:pPr>
        <w:pStyle w:val="AspexBodyStandard"/>
      </w:pPr>
      <w:r>
        <w:object w:dxaOrig="9235" w:dyaOrig="2318" w14:anchorId="77D6B342">
          <v:shape id="_x0000_i1032" type="#_x0000_t75" alt="Table 4 3: Sexual Health Medicine Trainees Working in Australia 2013" style="width:461.25pt;height:116.25pt" o:ole="">
            <v:imagedata r:id="rId43" o:title=""/>
          </v:shape>
          <o:OLEObject Type="Embed" ProgID="Word.Document.12" ShapeID="_x0000_i1032" DrawAspect="Content" ObjectID="_1457429607" r:id="rId44">
            <o:FieldCodes>\s</o:FieldCodes>
          </o:OLEObject>
        </w:object>
      </w:r>
    </w:p>
    <w:p w14:paraId="01F72618" w14:textId="4769D3DC" w:rsidR="00587506" w:rsidRDefault="00587506" w:rsidP="0096399F">
      <w:pPr>
        <w:pStyle w:val="IntenseQuote"/>
        <w:spacing w:before="0" w:line="240" w:lineRule="auto"/>
      </w:pPr>
      <w:r>
        <w:t xml:space="preserve">The </w:t>
      </w:r>
      <w:r w:rsidR="00D270B7" w:rsidRPr="00D270B7">
        <w:t xml:space="preserve">sexual health medicine </w:t>
      </w:r>
      <w:r>
        <w:t xml:space="preserve">workforce is in decline, a significant proportion of current Fellows are nearing the age of retirement and an insufficient number of trainees are currently being recruited to </w:t>
      </w:r>
      <w:r w:rsidR="00FF351B">
        <w:t>redress</w:t>
      </w:r>
      <w:r>
        <w:t xml:space="preserve"> workforce shortages.</w:t>
      </w:r>
    </w:p>
    <w:p w14:paraId="017D2583" w14:textId="77777777" w:rsidR="00AD1D22" w:rsidRDefault="00147714" w:rsidP="007333CE">
      <w:pPr>
        <w:pStyle w:val="Heading2"/>
      </w:pPr>
      <w:bookmarkStart w:id="97" w:name="_Toc351480532"/>
      <w:r>
        <w:t xml:space="preserve">Practice settings for </w:t>
      </w:r>
      <w:r w:rsidR="008C29C6">
        <w:t>Sexual Health Medicine</w:t>
      </w:r>
      <w:bookmarkEnd w:id="97"/>
    </w:p>
    <w:p w14:paraId="3914CE50" w14:textId="77777777" w:rsidR="00081F58" w:rsidRDefault="00081F58" w:rsidP="00F44503">
      <w:pPr>
        <w:pStyle w:val="Heading3"/>
      </w:pPr>
      <w:bookmarkStart w:id="98" w:name="_Toc224038118"/>
      <w:r>
        <w:t>Public versus private practice</w:t>
      </w:r>
      <w:bookmarkEnd w:id="98"/>
    </w:p>
    <w:p w14:paraId="6E3B949E" w14:textId="41429669" w:rsidR="006011CD" w:rsidRPr="00F14CBC" w:rsidRDefault="006011CD" w:rsidP="00FB66FA">
      <w:pPr>
        <w:pStyle w:val="AspexBodyStandard"/>
      </w:pPr>
      <w:r w:rsidRPr="00F14CBC">
        <w:t xml:space="preserve">A </w:t>
      </w:r>
      <w:r w:rsidR="009B59EB" w:rsidRPr="00F14CBC">
        <w:t xml:space="preserve">survey </w:t>
      </w:r>
      <w:r w:rsidR="00147714" w:rsidRPr="00F14CBC">
        <w:t xml:space="preserve">of Chapter fellows </w:t>
      </w:r>
      <w:r w:rsidR="009B59EB" w:rsidRPr="00F14CBC">
        <w:t>has</w:t>
      </w:r>
      <w:r w:rsidRPr="00F14CBC">
        <w:t xml:space="preserve"> identified that </w:t>
      </w:r>
      <w:r w:rsidR="00781A2F" w:rsidRPr="00F14CBC">
        <w:t>86</w:t>
      </w:r>
      <w:r w:rsidR="00791644" w:rsidRPr="00F14CBC">
        <w:t xml:space="preserve">% of Chapter fellows (95% </w:t>
      </w:r>
      <w:r w:rsidR="009B59EB" w:rsidRPr="00F14CBC">
        <w:t xml:space="preserve">ci: </w:t>
      </w:r>
      <w:r w:rsidR="00781A2F" w:rsidRPr="00F14CBC">
        <w:t>75</w:t>
      </w:r>
      <w:r w:rsidR="00D23FB1" w:rsidRPr="00F14CBC">
        <w:t>-</w:t>
      </w:r>
      <w:r w:rsidR="00781A2F" w:rsidRPr="00F14CBC">
        <w:t>94</w:t>
      </w:r>
      <w:r w:rsidR="009B59EB" w:rsidRPr="00F14CBC">
        <w:t xml:space="preserve">) work in the public sector, and </w:t>
      </w:r>
      <w:r w:rsidR="0019779C" w:rsidRPr="00F14CBC">
        <w:t>38</w:t>
      </w:r>
      <w:r w:rsidR="00791644" w:rsidRPr="00F14CBC">
        <w:t>%</w:t>
      </w:r>
      <w:r w:rsidR="009B59EB" w:rsidRPr="00F14CBC">
        <w:t xml:space="preserve"> </w:t>
      </w:r>
      <w:r w:rsidR="007D08D8">
        <w:t xml:space="preserve">of </w:t>
      </w:r>
      <w:r w:rsidR="009B59EB" w:rsidRPr="00F14CBC">
        <w:t>fellows (</w:t>
      </w:r>
      <w:r w:rsidR="00791644" w:rsidRPr="00F14CBC">
        <w:t>95</w:t>
      </w:r>
      <w:r w:rsidR="009B59EB" w:rsidRPr="00F14CBC">
        <w:t>%</w:t>
      </w:r>
      <w:r w:rsidR="00791644" w:rsidRPr="00F14CBC">
        <w:t xml:space="preserve"> ci: </w:t>
      </w:r>
      <w:r w:rsidR="0019779C" w:rsidRPr="00F14CBC">
        <w:t>26</w:t>
      </w:r>
      <w:r w:rsidR="00791644" w:rsidRPr="00F14CBC">
        <w:t>-</w:t>
      </w:r>
      <w:r w:rsidR="0019779C" w:rsidRPr="00F14CBC">
        <w:t>52</w:t>
      </w:r>
      <w:r w:rsidR="009B59EB" w:rsidRPr="00F14CBC">
        <w:t>) work in the private sector</w:t>
      </w:r>
      <w:r w:rsidR="009B59EB" w:rsidRPr="00F14CBC">
        <w:rPr>
          <w:rStyle w:val="FootnoteReference"/>
        </w:rPr>
        <w:footnoteReference w:id="26"/>
      </w:r>
      <w:r w:rsidR="009B59EB" w:rsidRPr="00F14CBC">
        <w:t>.  Specifically:</w:t>
      </w:r>
    </w:p>
    <w:p w14:paraId="7EC15C05" w14:textId="77777777" w:rsidR="006D269A" w:rsidRPr="00F14CBC" w:rsidRDefault="0019779C" w:rsidP="009B59EB">
      <w:pPr>
        <w:pStyle w:val="AspexBullet1"/>
      </w:pPr>
      <w:r w:rsidRPr="00F14CBC">
        <w:t>6</w:t>
      </w:r>
      <w:r w:rsidR="006D269A" w:rsidRPr="00F14CBC">
        <w:t xml:space="preserve">2% </w:t>
      </w:r>
      <w:r w:rsidR="002A6572" w:rsidRPr="00F14CBC">
        <w:t>(</w:t>
      </w:r>
      <w:r w:rsidR="00147714" w:rsidRPr="00F14CBC">
        <w:t>95%CI</w:t>
      </w:r>
      <w:r w:rsidRPr="00F14CBC">
        <w:t>: 48-74</w:t>
      </w:r>
      <w:r w:rsidR="002A6572" w:rsidRPr="00F14CBC">
        <w:t xml:space="preserve">) </w:t>
      </w:r>
      <w:r w:rsidR="006D269A" w:rsidRPr="00F14CBC">
        <w:t>worked in public clinics only</w:t>
      </w:r>
      <w:r w:rsidR="009B59EB" w:rsidRPr="00F14CBC">
        <w:t>;</w:t>
      </w:r>
    </w:p>
    <w:p w14:paraId="5AF417F0" w14:textId="77777777" w:rsidR="002A6572" w:rsidRPr="00F14CBC" w:rsidRDefault="0019779C" w:rsidP="009B59EB">
      <w:pPr>
        <w:pStyle w:val="AspexBullet1"/>
      </w:pPr>
      <w:r w:rsidRPr="00F14CBC">
        <w:t>24</w:t>
      </w:r>
      <w:r w:rsidR="002A6572" w:rsidRPr="00F14CBC">
        <w:t>% (</w:t>
      </w:r>
      <w:r w:rsidR="00791644" w:rsidRPr="00F14CBC">
        <w:t>95%</w:t>
      </w:r>
      <w:r w:rsidR="00147714" w:rsidRPr="00F14CBC">
        <w:t xml:space="preserve">CI: </w:t>
      </w:r>
      <w:r w:rsidRPr="00F14CBC">
        <w:t>14-37</w:t>
      </w:r>
      <w:r w:rsidR="00791644" w:rsidRPr="00F14CBC">
        <w:t xml:space="preserve">) </w:t>
      </w:r>
      <w:r w:rsidR="002A6572" w:rsidRPr="00F14CBC">
        <w:t>worked in both public and private clinics</w:t>
      </w:r>
      <w:r w:rsidR="009B59EB" w:rsidRPr="00F14CBC">
        <w:t>; and</w:t>
      </w:r>
    </w:p>
    <w:p w14:paraId="61473039" w14:textId="77777777" w:rsidR="006D269A" w:rsidRPr="00F14CBC" w:rsidRDefault="0019779C" w:rsidP="00FB66FA">
      <w:pPr>
        <w:pStyle w:val="AspexBullet1"/>
      </w:pPr>
      <w:r w:rsidRPr="00F14CBC">
        <w:t>14</w:t>
      </w:r>
      <w:r w:rsidR="009B59EB" w:rsidRPr="00F14CBC">
        <w:t>% (</w:t>
      </w:r>
      <w:r w:rsidR="00147714" w:rsidRPr="00F14CBC">
        <w:t xml:space="preserve">95%CI: </w:t>
      </w:r>
      <w:r w:rsidRPr="00F14CBC">
        <w:t>6</w:t>
      </w:r>
      <w:r w:rsidR="00791644" w:rsidRPr="00F14CBC">
        <w:t>-</w:t>
      </w:r>
      <w:r w:rsidRPr="00F14CBC">
        <w:t>25</w:t>
      </w:r>
      <w:r w:rsidR="009B59EB" w:rsidRPr="00F14CBC">
        <w:t>) work in private clinics only.</w:t>
      </w:r>
    </w:p>
    <w:p w14:paraId="0311D2FA" w14:textId="77777777" w:rsidR="00081F58" w:rsidRDefault="00081F58" w:rsidP="00F44503">
      <w:pPr>
        <w:pStyle w:val="Heading3"/>
      </w:pPr>
      <w:bookmarkStart w:id="99" w:name="_Toc224038119"/>
      <w:r>
        <w:t>Public practice arrangements</w:t>
      </w:r>
      <w:bookmarkEnd w:id="99"/>
    </w:p>
    <w:p w14:paraId="5DD7733F" w14:textId="7002C322" w:rsidR="000B6567" w:rsidRDefault="00FB66FA" w:rsidP="00235CF5">
      <w:pPr>
        <w:pStyle w:val="AspexBodyStandard"/>
      </w:pPr>
      <w:r>
        <w:t xml:space="preserve">Within the public sector, </w:t>
      </w:r>
      <w:r w:rsidR="00F81DD2">
        <w:t xml:space="preserve">patients are identified via medical practitioner referral, or hospital in-reach/community out-reach activities undertaken by non-medical practitioners.  Those in need of specialist assessment and or management are triaged to the attention of </w:t>
      </w:r>
      <w:r w:rsidR="00D270B7" w:rsidRPr="00D270B7">
        <w:t xml:space="preserve">sexual health medicine </w:t>
      </w:r>
      <w:r w:rsidR="00F81DD2">
        <w:t>specialists.  All other treatment is provided through advice to the referring medical practitioner and/or other health clinician.</w:t>
      </w:r>
      <w:r w:rsidR="00136EC0">
        <w:t xml:space="preserve">  Public sector data on medical </w:t>
      </w:r>
      <w:r w:rsidR="00D23FB1">
        <w:t>occasions of service were</w:t>
      </w:r>
      <w:r w:rsidR="00E275E0">
        <w:t xml:space="preserve"> </w:t>
      </w:r>
      <w:r w:rsidR="00D23FB1">
        <w:t>provided by</w:t>
      </w:r>
      <w:r w:rsidR="00136EC0">
        <w:t xml:space="preserve"> one Australian jurisdiction</w:t>
      </w:r>
      <w:r w:rsidR="00E275E0">
        <w:t xml:space="preserve"> and</w:t>
      </w:r>
      <w:r w:rsidR="00136EC0">
        <w:t xml:space="preserve"> </w:t>
      </w:r>
      <w:r w:rsidR="00D23FB1">
        <w:t>were</w:t>
      </w:r>
      <w:r w:rsidR="00136EC0">
        <w:t xml:space="preserve"> consistent with model of care arrangements des</w:t>
      </w:r>
      <w:r w:rsidR="008F441A">
        <w:t>cribed acro</w:t>
      </w:r>
      <w:r w:rsidR="00235CF5">
        <w:t>ss all jurisdictions, such that m</w:t>
      </w:r>
      <w:r w:rsidR="008F441A">
        <w:t xml:space="preserve">edical practitioners </w:t>
      </w:r>
      <w:r w:rsidR="00235CF5">
        <w:t xml:space="preserve">saw an average of 39% of all patients and </w:t>
      </w:r>
      <w:r w:rsidR="008F441A">
        <w:t xml:space="preserve">undertook </w:t>
      </w:r>
      <w:r w:rsidR="00235CF5">
        <w:t>around 24</w:t>
      </w:r>
      <w:r w:rsidR="008F441A">
        <w:t xml:space="preserve">% </w:t>
      </w:r>
      <w:r w:rsidR="00D23FB1">
        <w:t xml:space="preserve">of </w:t>
      </w:r>
      <w:r w:rsidR="00D23FB1" w:rsidRPr="00C6181D">
        <w:rPr>
          <w:u w:val="single"/>
        </w:rPr>
        <w:t>all</w:t>
      </w:r>
      <w:r w:rsidR="00235CF5">
        <w:t xml:space="preserve"> occasions of service.</w:t>
      </w:r>
    </w:p>
    <w:p w14:paraId="3504D8C7" w14:textId="77777777" w:rsidR="000B6567" w:rsidRDefault="000B6567" w:rsidP="000B6567">
      <w:pPr>
        <w:pStyle w:val="AspexBodyStandard"/>
      </w:pPr>
      <w:r>
        <w:br w:type="page"/>
      </w:r>
    </w:p>
    <w:p w14:paraId="2D6D1B18" w14:textId="045F7705" w:rsidR="00081F58" w:rsidRDefault="00081F58" w:rsidP="00F44503">
      <w:pPr>
        <w:pStyle w:val="Heading3"/>
      </w:pPr>
      <w:bookmarkStart w:id="100" w:name="_Toc224038120"/>
      <w:r>
        <w:lastRenderedPageBreak/>
        <w:t>Private practice arrangements</w:t>
      </w:r>
      <w:bookmarkEnd w:id="100"/>
    </w:p>
    <w:p w14:paraId="4DB54514" w14:textId="6D5ECEBC" w:rsidR="00E62E59" w:rsidRDefault="008F1E7B" w:rsidP="00116234">
      <w:pPr>
        <w:pStyle w:val="AspexBodyStandard"/>
      </w:pPr>
      <w:r>
        <w:t xml:space="preserve">Analysis of de-identified </w:t>
      </w:r>
      <w:r w:rsidR="00C6181D">
        <w:t>MBS billing data</w:t>
      </w:r>
      <w:r w:rsidR="0058734B">
        <w:rPr>
          <w:rStyle w:val="FootnoteReference"/>
        </w:rPr>
        <w:footnoteReference w:id="27"/>
      </w:r>
      <w:r w:rsidR="00C6181D">
        <w:t xml:space="preserve"> </w:t>
      </w:r>
      <w:r w:rsidR="0058734B">
        <w:t>from Chapter Fellows indicated that</w:t>
      </w:r>
      <w:r w:rsidR="00055488">
        <w:t xml:space="preserve"> around </w:t>
      </w:r>
      <w:r w:rsidR="00F14CBC">
        <w:t>49</w:t>
      </w:r>
      <w:r w:rsidR="00055488">
        <w:t>%</w:t>
      </w:r>
      <w:r w:rsidR="00055488">
        <w:rPr>
          <w:rStyle w:val="FootnoteReference"/>
        </w:rPr>
        <w:footnoteReference w:id="28"/>
      </w:r>
      <w:r w:rsidR="00055488">
        <w:t xml:space="preserve"> of all </w:t>
      </w:r>
      <w:r w:rsidR="00D270B7" w:rsidRPr="00D270B7">
        <w:t xml:space="preserve">sexual health medicine </w:t>
      </w:r>
      <w:r w:rsidR="00D270B7">
        <w:t>s</w:t>
      </w:r>
      <w:r w:rsidR="00E44324">
        <w:t xml:space="preserve">pecialists are likely to provide </w:t>
      </w:r>
      <w:r w:rsidR="00055488">
        <w:t>private services across Australia.</w:t>
      </w:r>
      <w:r w:rsidR="00E44324">
        <w:t xml:space="preserve">  The </w:t>
      </w:r>
      <w:r w:rsidR="00E62E59">
        <w:t>majority of spe</w:t>
      </w:r>
      <w:r w:rsidR="00245D4C">
        <w:t>cialists (</w:t>
      </w:r>
      <w:r w:rsidR="00DA4099">
        <w:t>53</w:t>
      </w:r>
      <w:r w:rsidR="00245D4C">
        <w:t>%) are billing less than 1</w:t>
      </w:r>
      <w:r w:rsidR="00E62E59">
        <w:t>000 episodes per annum</w:t>
      </w:r>
      <w:r w:rsidR="00245D4C">
        <w:t xml:space="preserve"> and around </w:t>
      </w:r>
      <w:r w:rsidR="00DA4099">
        <w:t>83</w:t>
      </w:r>
      <w:r w:rsidR="00245D4C">
        <w:t>% of specialists bill less than 3000 episodes each year.</w:t>
      </w:r>
      <w:r w:rsidR="00E62E59">
        <w:t xml:space="preserve"> </w:t>
      </w:r>
      <w:r w:rsidR="00245D4C">
        <w:t xml:space="preserve">  A small number of specialists are undertaking a higher private practice caseload of more than 4000 episodes each year</w:t>
      </w:r>
      <w:r w:rsidR="00E41BB5">
        <w:t xml:space="preserve"> (</w:t>
      </w:r>
      <w:r w:rsidR="00E41BB5">
        <w:fldChar w:fldCharType="begin"/>
      </w:r>
      <w:r w:rsidR="00E41BB5">
        <w:instrText xml:space="preserve"> REF _Ref223848293 \h </w:instrText>
      </w:r>
      <w:r w:rsidR="00E41BB5">
        <w:fldChar w:fldCharType="separate"/>
      </w:r>
      <w:r w:rsidR="008E6665" w:rsidRPr="00C32C3D">
        <w:t xml:space="preserve">Figure </w:t>
      </w:r>
      <w:r w:rsidR="008E6665">
        <w:rPr>
          <w:noProof/>
        </w:rPr>
        <w:t>4</w:t>
      </w:r>
      <w:r w:rsidR="008E6665">
        <w:noBreakHyphen/>
      </w:r>
      <w:r w:rsidR="008E6665">
        <w:rPr>
          <w:noProof/>
        </w:rPr>
        <w:t>3</w:t>
      </w:r>
      <w:r w:rsidR="00E41BB5">
        <w:fldChar w:fldCharType="end"/>
      </w:r>
      <w:r w:rsidR="00E41BB5">
        <w:t>)</w:t>
      </w:r>
      <w:r w:rsidR="00245D4C">
        <w:t>.</w:t>
      </w:r>
    </w:p>
    <w:p w14:paraId="25EF4EE0" w14:textId="06E6A94D" w:rsidR="007E6156" w:rsidRPr="00C32C3D" w:rsidRDefault="007E6156" w:rsidP="00CF3A3C">
      <w:pPr>
        <w:pStyle w:val="Caption"/>
      </w:pPr>
      <w:bookmarkStart w:id="101" w:name="_Ref223848293"/>
      <w:bookmarkStart w:id="102" w:name="_Toc351129607"/>
      <w:r w:rsidRPr="00C32C3D">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3</w:t>
      </w:r>
      <w:r w:rsidR="008E6665">
        <w:rPr>
          <w:noProof/>
        </w:rPr>
        <w:fldChar w:fldCharType="end"/>
      </w:r>
      <w:bookmarkEnd w:id="101"/>
      <w:r w:rsidR="00AE66EA">
        <w:rPr>
          <w:noProof/>
        </w:rPr>
        <w:t>:</w:t>
      </w:r>
      <w:r w:rsidRPr="00C32C3D">
        <w:tab/>
      </w:r>
      <w:r>
        <w:t xml:space="preserve">MBS billing </w:t>
      </w:r>
      <w:r w:rsidR="009E3E36">
        <w:t xml:space="preserve">episodes </w:t>
      </w:r>
      <w:r w:rsidR="00181AA6">
        <w:t>for</w:t>
      </w:r>
      <w:r>
        <w:t xml:space="preserve"> </w:t>
      </w:r>
      <w:r w:rsidR="008C29C6">
        <w:t xml:space="preserve">Sexual Health </w:t>
      </w:r>
      <w:r>
        <w:t xml:space="preserve">Specialists </w:t>
      </w:r>
      <w:r w:rsidR="009E3E36">
        <w:t xml:space="preserve">per annum </w:t>
      </w:r>
      <w:r>
        <w:t>(2010-12)</w:t>
      </w:r>
      <w:bookmarkEnd w:id="102"/>
    </w:p>
    <w:p w14:paraId="68B1A33E" w14:textId="2EEB283B" w:rsidR="00E44324" w:rsidRDefault="009E3E36" w:rsidP="00116234">
      <w:pPr>
        <w:pStyle w:val="AspexBodyStandard"/>
      </w:pPr>
      <w:r w:rsidRPr="009E3E36">
        <w:rPr>
          <w:noProof/>
          <w:lang w:eastAsia="en-AU"/>
        </w:rPr>
        <w:drawing>
          <wp:inline distT="0" distB="0" distL="0" distR="0" wp14:anchorId="6F3CC612" wp14:editId="098781F3">
            <wp:extent cx="5723255" cy="3815715"/>
            <wp:effectExtent l="0" t="0" r="0" b="0"/>
            <wp:docPr id="46" name="Picture 2" title="Figure 4 3: MBS billing episodes for Sexual Health Specialists per annum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3255" cy="3815715"/>
                    </a:xfrm>
                    <a:prstGeom prst="rect">
                      <a:avLst/>
                    </a:prstGeom>
                    <a:noFill/>
                    <a:ln>
                      <a:noFill/>
                    </a:ln>
                  </pic:spPr>
                </pic:pic>
              </a:graphicData>
            </a:graphic>
          </wp:inline>
        </w:drawing>
      </w:r>
      <w:r w:rsidR="000C1473">
        <w:rPr>
          <w:rFonts w:ascii="Arial Narrow" w:hAnsi="Arial Narrow"/>
          <w:sz w:val="16"/>
          <w:szCs w:val="16"/>
        </w:rPr>
        <w:t xml:space="preserve">Y (vertical) axis represents ‘Number of Specialists’ in sample data.  X (horizontal) axis represents ‘Average Number of MBS Consultations per Annum’ in sample data. </w:t>
      </w:r>
    </w:p>
    <w:p w14:paraId="01D06063" w14:textId="480C8461" w:rsidR="004C694A" w:rsidRDefault="00245D4C" w:rsidP="00E44324">
      <w:pPr>
        <w:pStyle w:val="AspexBodyStandard"/>
      </w:pPr>
      <w:r>
        <w:t>Most specialists (</w:t>
      </w:r>
      <w:r w:rsidR="00DA4099">
        <w:t>62</w:t>
      </w:r>
      <w:r>
        <w:t xml:space="preserve">%) are seeing up to </w:t>
      </w:r>
      <w:r w:rsidR="00DA4099">
        <w:t>12</w:t>
      </w:r>
      <w:r>
        <w:t xml:space="preserve"> patients (on average) during any given day </w:t>
      </w:r>
      <w:r w:rsidR="00E41BB5">
        <w:t>(</w:t>
      </w:r>
      <w:r w:rsidR="00E41BB5">
        <w:fldChar w:fldCharType="begin"/>
      </w:r>
      <w:r w:rsidR="00E41BB5">
        <w:instrText xml:space="preserve"> REF _Ref223848311 \h </w:instrText>
      </w:r>
      <w:r w:rsidR="00E41BB5">
        <w:fldChar w:fldCharType="separate"/>
      </w:r>
      <w:r w:rsidR="008E6665" w:rsidRPr="00C32C3D">
        <w:t xml:space="preserve">Figure </w:t>
      </w:r>
      <w:r w:rsidR="008E6665">
        <w:rPr>
          <w:noProof/>
        </w:rPr>
        <w:t>4</w:t>
      </w:r>
      <w:r w:rsidR="008E6665">
        <w:noBreakHyphen/>
      </w:r>
      <w:r w:rsidR="008E6665">
        <w:rPr>
          <w:noProof/>
        </w:rPr>
        <w:t>4</w:t>
      </w:r>
      <w:r w:rsidR="00E41BB5">
        <w:fldChar w:fldCharType="end"/>
      </w:r>
      <w:r w:rsidR="00E41BB5">
        <w:t>)</w:t>
      </w:r>
      <w:r>
        <w:t>.</w:t>
      </w:r>
    </w:p>
    <w:p w14:paraId="230E5AD0" w14:textId="77777777" w:rsidR="00BF3E66" w:rsidRDefault="00BF3E66" w:rsidP="00E44324">
      <w:pPr>
        <w:pStyle w:val="AspexBodyStandard"/>
      </w:pPr>
    </w:p>
    <w:p w14:paraId="78BEB35A" w14:textId="06F841A7" w:rsidR="00BF3E66" w:rsidRDefault="00BF3E66">
      <w:pPr>
        <w:spacing w:before="0" w:after="0" w:line="240" w:lineRule="auto"/>
      </w:pPr>
      <w:r>
        <w:br w:type="page"/>
      </w:r>
    </w:p>
    <w:p w14:paraId="33472EE5" w14:textId="2A8AD7D3" w:rsidR="004C694A" w:rsidRDefault="004C694A" w:rsidP="00CF3A3C">
      <w:pPr>
        <w:pStyle w:val="Caption"/>
      </w:pPr>
      <w:bookmarkStart w:id="103" w:name="_Ref223848311"/>
      <w:bookmarkStart w:id="104" w:name="_Toc351129608"/>
      <w:r w:rsidRPr="00C32C3D">
        <w:lastRenderedPageBreak/>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4</w:t>
      </w:r>
      <w:r w:rsidR="008E6665">
        <w:rPr>
          <w:noProof/>
        </w:rPr>
        <w:fldChar w:fldCharType="end"/>
      </w:r>
      <w:bookmarkEnd w:id="103"/>
      <w:r w:rsidR="00AE66EA">
        <w:rPr>
          <w:noProof/>
        </w:rPr>
        <w:t>:</w:t>
      </w:r>
      <w:r w:rsidRPr="00C32C3D">
        <w:tab/>
      </w:r>
      <w:r>
        <w:t>Average episodes per actual day of MBS billing (2010-12)</w:t>
      </w:r>
      <w:bookmarkEnd w:id="104"/>
    </w:p>
    <w:p w14:paraId="592F1007" w14:textId="2B868CC0" w:rsidR="00BF3E66" w:rsidRDefault="00BF3E66" w:rsidP="00BF3E66">
      <w:pPr>
        <w:pStyle w:val="AspexBodyStandard"/>
      </w:pPr>
      <w:r w:rsidRPr="00DA4099">
        <w:rPr>
          <w:noProof/>
          <w:lang w:eastAsia="en-AU"/>
        </w:rPr>
        <w:drawing>
          <wp:inline distT="0" distB="0" distL="0" distR="0" wp14:anchorId="63D26615" wp14:editId="19A326A6">
            <wp:extent cx="5725160" cy="3815080"/>
            <wp:effectExtent l="0" t="0" r="8890" b="0"/>
            <wp:docPr id="92" name="Picture 8" title="Figure 4 4: Average episodes per actual day of MBS billing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5160" cy="3815080"/>
                    </a:xfrm>
                    <a:prstGeom prst="rect">
                      <a:avLst/>
                    </a:prstGeom>
                    <a:noFill/>
                    <a:ln>
                      <a:noFill/>
                    </a:ln>
                  </pic:spPr>
                </pic:pic>
              </a:graphicData>
            </a:graphic>
          </wp:inline>
        </w:drawing>
      </w:r>
    </w:p>
    <w:p w14:paraId="39C546BD" w14:textId="2F04C947" w:rsidR="000C1473" w:rsidRDefault="000C1473" w:rsidP="00B84ACE">
      <w:pPr>
        <w:pStyle w:val="AspexBodyStandard"/>
        <w:spacing w:before="0"/>
      </w:pPr>
      <w:r>
        <w:rPr>
          <w:rFonts w:ascii="Arial Narrow" w:hAnsi="Arial Narrow"/>
          <w:sz w:val="16"/>
          <w:szCs w:val="16"/>
        </w:rPr>
        <w:t>Y (vertical) axis represents ‘Number of Specialists’ in sample data.  X (horizontal) axis represents ‘Average Number of MBS Consultations per Day’ in sample data.</w:t>
      </w:r>
    </w:p>
    <w:p w14:paraId="62ACA29E" w14:textId="4786E82B" w:rsidR="00245D4C" w:rsidRDefault="00245D4C" w:rsidP="00E44324">
      <w:pPr>
        <w:pStyle w:val="AspexBodyStandard"/>
      </w:pPr>
      <w:r>
        <w:t xml:space="preserve">The number of days worked in any given week (on average) varied across the specialist group. Around </w:t>
      </w:r>
      <w:r w:rsidR="00DA4099">
        <w:t>57</w:t>
      </w:r>
      <w:r w:rsidR="006C2F22">
        <w:t>%</w:t>
      </w:r>
      <w:r>
        <w:t xml:space="preserve"> of all specialists worked up to </w:t>
      </w:r>
      <w:r w:rsidR="009A3E29">
        <w:t xml:space="preserve">two </w:t>
      </w:r>
      <w:r>
        <w:t>day</w:t>
      </w:r>
      <w:r w:rsidR="007D08D8">
        <w:t>s in private practice</w:t>
      </w:r>
      <w:r>
        <w:t xml:space="preserve"> each week, </w:t>
      </w:r>
      <w:r w:rsidR="006C2F22">
        <w:t xml:space="preserve">around </w:t>
      </w:r>
      <w:r w:rsidR="00DA4099">
        <w:t>30</w:t>
      </w:r>
      <w:r w:rsidR="006C2F22">
        <w:t xml:space="preserve">% worked between </w:t>
      </w:r>
      <w:r w:rsidR="009A3E29">
        <w:t xml:space="preserve">two </w:t>
      </w:r>
      <w:r w:rsidR="006C2F22">
        <w:t xml:space="preserve">to </w:t>
      </w:r>
      <w:r w:rsidR="009A3E29">
        <w:t>four</w:t>
      </w:r>
      <w:r w:rsidR="006C2F22">
        <w:t xml:space="preserve"> days, and around </w:t>
      </w:r>
      <w:r w:rsidR="00DA4099">
        <w:t>13</w:t>
      </w:r>
      <w:r w:rsidR="006C2F22">
        <w:t>% worked more than 4 days in private practice each week</w:t>
      </w:r>
      <w:r w:rsidR="00E41BB5">
        <w:t xml:space="preserve"> (</w:t>
      </w:r>
      <w:r w:rsidR="00E41BB5">
        <w:fldChar w:fldCharType="begin"/>
      </w:r>
      <w:r w:rsidR="00E41BB5">
        <w:instrText xml:space="preserve"> REF _Ref223848324 \h </w:instrText>
      </w:r>
      <w:r w:rsidR="00E41BB5">
        <w:fldChar w:fldCharType="separate"/>
      </w:r>
      <w:r w:rsidR="008E6665" w:rsidRPr="00C32C3D">
        <w:t xml:space="preserve">Figure </w:t>
      </w:r>
      <w:r w:rsidR="008E6665">
        <w:rPr>
          <w:noProof/>
        </w:rPr>
        <w:t>4</w:t>
      </w:r>
      <w:r w:rsidR="008E6665">
        <w:noBreakHyphen/>
      </w:r>
      <w:r w:rsidR="008E6665">
        <w:rPr>
          <w:noProof/>
        </w:rPr>
        <w:t>5</w:t>
      </w:r>
      <w:r w:rsidR="00E41BB5">
        <w:fldChar w:fldCharType="end"/>
      </w:r>
      <w:r w:rsidR="00E41BB5">
        <w:t>)</w:t>
      </w:r>
      <w:r w:rsidR="006C2F22">
        <w:t>.</w:t>
      </w:r>
    </w:p>
    <w:p w14:paraId="43B9AD97" w14:textId="454552B8" w:rsidR="000D5396" w:rsidRDefault="000D5396">
      <w:pPr>
        <w:spacing w:before="0" w:after="0" w:line="240" w:lineRule="auto"/>
      </w:pPr>
      <w:r>
        <w:br w:type="page"/>
      </w:r>
    </w:p>
    <w:p w14:paraId="13E77BEA" w14:textId="4ECB8639" w:rsidR="008E0C49" w:rsidRPr="00C32C3D" w:rsidRDefault="008E0C49" w:rsidP="00CF3A3C">
      <w:pPr>
        <w:pStyle w:val="Caption"/>
      </w:pPr>
      <w:bookmarkStart w:id="105" w:name="_Ref223848324"/>
      <w:bookmarkStart w:id="106" w:name="_Toc351129609"/>
      <w:r w:rsidRPr="00C32C3D">
        <w:lastRenderedPageBreak/>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5</w:t>
      </w:r>
      <w:r w:rsidR="008E6665">
        <w:rPr>
          <w:noProof/>
        </w:rPr>
        <w:fldChar w:fldCharType="end"/>
      </w:r>
      <w:bookmarkEnd w:id="105"/>
      <w:r w:rsidR="00B82FE2">
        <w:rPr>
          <w:noProof/>
        </w:rPr>
        <w:t>:</w:t>
      </w:r>
      <w:r w:rsidRPr="00C32C3D">
        <w:tab/>
      </w:r>
      <w:r>
        <w:t>Average days per week of MBS billing (2010-12)</w:t>
      </w:r>
      <w:bookmarkEnd w:id="106"/>
    </w:p>
    <w:p w14:paraId="2E25BBDD" w14:textId="3413BFAB" w:rsidR="008E0C49" w:rsidRDefault="00DA4099" w:rsidP="00B84ACE">
      <w:pPr>
        <w:pStyle w:val="AspexBodyStandard"/>
        <w:spacing w:before="0"/>
      </w:pPr>
      <w:r w:rsidRPr="00DA4099">
        <w:rPr>
          <w:noProof/>
          <w:lang w:eastAsia="en-AU"/>
        </w:rPr>
        <w:drawing>
          <wp:inline distT="0" distB="0" distL="0" distR="0" wp14:anchorId="519BF8D5" wp14:editId="694B46CF">
            <wp:extent cx="5723255" cy="3815715"/>
            <wp:effectExtent l="0" t="0" r="0" b="0"/>
            <wp:docPr id="91" name="Picture 7" title="Figure 4 5: Average days per week of MBS billing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255" cy="3815715"/>
                    </a:xfrm>
                    <a:prstGeom prst="rect">
                      <a:avLst/>
                    </a:prstGeom>
                    <a:noFill/>
                    <a:ln>
                      <a:noFill/>
                    </a:ln>
                  </pic:spPr>
                </pic:pic>
              </a:graphicData>
            </a:graphic>
          </wp:inline>
        </w:drawing>
      </w:r>
    </w:p>
    <w:p w14:paraId="3DA96768" w14:textId="26F0E02B" w:rsidR="00BF3E66" w:rsidRDefault="00BF3E66" w:rsidP="00E44324">
      <w:pPr>
        <w:pStyle w:val="AspexBodyStandard"/>
      </w:pPr>
      <w:r>
        <w:rPr>
          <w:rFonts w:ascii="Arial Narrow" w:hAnsi="Arial Narrow"/>
          <w:sz w:val="16"/>
          <w:szCs w:val="16"/>
        </w:rPr>
        <w:t>Y (vertical) axis represents ‘Number of Specialists’ in sample data.  X (horizontal) axis represents ‘Average Number of Days Working in Private Practice per Week’  in sample data.</w:t>
      </w:r>
    </w:p>
    <w:p w14:paraId="78A4D12B" w14:textId="5C89611F" w:rsidR="008E0C49" w:rsidRDefault="00DA4099" w:rsidP="00E44324">
      <w:pPr>
        <w:pStyle w:val="AspexBodyStandard"/>
      </w:pPr>
      <w:r>
        <w:t>Most specialists (64</w:t>
      </w:r>
      <w:r w:rsidR="006C2F22">
        <w:t xml:space="preserve">%) who worked in private practice did so for more than 36 weeks of any given year.  Around </w:t>
      </w:r>
      <w:r>
        <w:t>a quarter of all specialists (23</w:t>
      </w:r>
      <w:r w:rsidR="006C2F22">
        <w:t>%) worked in p</w:t>
      </w:r>
      <w:r>
        <w:t>rivate practice for less than 24</w:t>
      </w:r>
      <w:r w:rsidR="006C2F22">
        <w:t xml:space="preserve"> weeks in any given year.  This may be associated with fortnightly practice arrangements or private consultations occurring during particular blocks of </w:t>
      </w:r>
      <w:r w:rsidR="00E30479">
        <w:t>any</w:t>
      </w:r>
      <w:r w:rsidR="006C2F22">
        <w:t xml:space="preserve"> </w:t>
      </w:r>
      <w:r w:rsidR="00E30479">
        <w:t>12-month</w:t>
      </w:r>
      <w:r w:rsidR="006C2F22">
        <w:t xml:space="preserve"> period</w:t>
      </w:r>
      <w:r w:rsidR="00E41BB5">
        <w:t xml:space="preserve"> (</w:t>
      </w:r>
      <w:r w:rsidR="001D3D56">
        <w:fldChar w:fldCharType="begin"/>
      </w:r>
      <w:r w:rsidR="001D3D56">
        <w:instrText xml:space="preserve"> REF _Ref350862667 \h </w:instrText>
      </w:r>
      <w:r w:rsidR="001D3D56">
        <w:fldChar w:fldCharType="separate"/>
      </w:r>
      <w:r w:rsidR="008E6665" w:rsidRPr="00C32C3D">
        <w:t xml:space="preserve">Figure </w:t>
      </w:r>
      <w:r w:rsidR="008E6665">
        <w:rPr>
          <w:noProof/>
        </w:rPr>
        <w:t>4</w:t>
      </w:r>
      <w:r w:rsidR="008E6665">
        <w:noBreakHyphen/>
      </w:r>
      <w:r w:rsidR="008E6665">
        <w:rPr>
          <w:noProof/>
        </w:rPr>
        <w:t>6</w:t>
      </w:r>
      <w:r w:rsidR="001D3D56">
        <w:fldChar w:fldCharType="end"/>
      </w:r>
      <w:r w:rsidR="00E41BB5">
        <w:t>)</w:t>
      </w:r>
      <w:r w:rsidR="006C2F22">
        <w:t>.</w:t>
      </w:r>
    </w:p>
    <w:p w14:paraId="3A484D0E" w14:textId="02C0DB72" w:rsidR="000D5396" w:rsidRDefault="000D5396">
      <w:pPr>
        <w:spacing w:before="0" w:after="0" w:line="240" w:lineRule="auto"/>
      </w:pPr>
      <w:r>
        <w:br w:type="page"/>
      </w:r>
    </w:p>
    <w:p w14:paraId="65F94E30" w14:textId="47B342F3" w:rsidR="008E0C49" w:rsidRPr="00C32C3D" w:rsidRDefault="008E0C49" w:rsidP="00CF3A3C">
      <w:pPr>
        <w:pStyle w:val="Caption"/>
      </w:pPr>
      <w:bookmarkStart w:id="107" w:name="_Ref223848337"/>
      <w:bookmarkStart w:id="108" w:name="_Ref350862667"/>
      <w:bookmarkStart w:id="109" w:name="_Toc351129610"/>
      <w:r w:rsidRPr="00C32C3D">
        <w:lastRenderedPageBreak/>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6</w:t>
      </w:r>
      <w:r w:rsidR="008E6665">
        <w:rPr>
          <w:noProof/>
        </w:rPr>
        <w:fldChar w:fldCharType="end"/>
      </w:r>
      <w:bookmarkEnd w:id="107"/>
      <w:bookmarkEnd w:id="108"/>
      <w:r w:rsidR="00B82FE2">
        <w:rPr>
          <w:noProof/>
        </w:rPr>
        <w:t>:</w:t>
      </w:r>
      <w:r w:rsidRPr="00C32C3D">
        <w:tab/>
      </w:r>
      <w:r>
        <w:t>Average weeks per year of MBS billing (2010-12)</w:t>
      </w:r>
      <w:bookmarkEnd w:id="109"/>
    </w:p>
    <w:p w14:paraId="2839731C" w14:textId="32F6ED94" w:rsidR="008E0C49" w:rsidRDefault="00DA4099" w:rsidP="00B84ACE">
      <w:pPr>
        <w:pStyle w:val="AspexBodyStandard"/>
        <w:spacing w:before="0"/>
      </w:pPr>
      <w:r w:rsidRPr="00DA4099">
        <w:rPr>
          <w:noProof/>
          <w:lang w:eastAsia="en-AU"/>
        </w:rPr>
        <w:drawing>
          <wp:inline distT="0" distB="0" distL="0" distR="0" wp14:anchorId="01D48DDE" wp14:editId="35B982A4">
            <wp:extent cx="5723255" cy="3815715"/>
            <wp:effectExtent l="0" t="0" r="0" b="0"/>
            <wp:docPr id="90" name="Picture 6" title="Figure 4 6: Average weeks per year of MBS billing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255" cy="3815715"/>
                    </a:xfrm>
                    <a:prstGeom prst="rect">
                      <a:avLst/>
                    </a:prstGeom>
                    <a:noFill/>
                    <a:ln>
                      <a:noFill/>
                    </a:ln>
                  </pic:spPr>
                </pic:pic>
              </a:graphicData>
            </a:graphic>
          </wp:inline>
        </w:drawing>
      </w:r>
    </w:p>
    <w:p w14:paraId="460519A3" w14:textId="4CB55802" w:rsidR="00BF3E66" w:rsidRDefault="00BF3E66" w:rsidP="00E44324">
      <w:pPr>
        <w:pStyle w:val="AspexBodyStandard"/>
      </w:pPr>
      <w:r>
        <w:rPr>
          <w:rFonts w:ascii="Arial Narrow" w:hAnsi="Arial Narrow"/>
          <w:sz w:val="16"/>
          <w:szCs w:val="16"/>
        </w:rPr>
        <w:t>Y (vertical) axis represents ‘Number of Specialists’ in sample data.  X (horizontal) axis represents ‘Average Number of Weeks undertaking MBS Consultations per Annum’ in sample data.</w:t>
      </w:r>
    </w:p>
    <w:p w14:paraId="3F01D3B0" w14:textId="6B32D62C" w:rsidR="00E44324" w:rsidRDefault="00E44324" w:rsidP="00E44324">
      <w:pPr>
        <w:pStyle w:val="AspexBodyStandard"/>
      </w:pPr>
      <w:r>
        <w:t>The number of MBS services varied across Australian jurisdictions</w:t>
      </w:r>
      <w:r w:rsidR="006C2F22">
        <w:t xml:space="preserve"> </w:t>
      </w:r>
      <w:r w:rsidR="00E62E59">
        <w:t>(</w:t>
      </w:r>
      <w:r w:rsidR="00E41BB5">
        <w:fldChar w:fldCharType="begin"/>
      </w:r>
      <w:r w:rsidR="00E41BB5">
        <w:instrText xml:space="preserve"> REF _Ref223848353 \h </w:instrText>
      </w:r>
      <w:r w:rsidR="00E41BB5">
        <w:fldChar w:fldCharType="separate"/>
      </w:r>
      <w:r w:rsidR="008E6665" w:rsidRPr="00C32C3D">
        <w:t xml:space="preserve">Figure </w:t>
      </w:r>
      <w:r w:rsidR="008E6665">
        <w:rPr>
          <w:noProof/>
        </w:rPr>
        <w:t>4</w:t>
      </w:r>
      <w:r w:rsidR="008E6665">
        <w:noBreakHyphen/>
      </w:r>
      <w:r w:rsidR="008E6665">
        <w:rPr>
          <w:noProof/>
        </w:rPr>
        <w:t>7</w:t>
      </w:r>
      <w:r w:rsidR="00E41BB5">
        <w:fldChar w:fldCharType="end"/>
      </w:r>
      <w:r w:rsidR="00E62E59">
        <w:t>).</w:t>
      </w:r>
      <w:r w:rsidR="006C2F22">
        <w:t xml:space="preserve">  Private practice arrangements were more common in New South Wales and Victoria, compared with the other states and territories.  The Northern Territory</w:t>
      </w:r>
      <w:r w:rsidR="00DA4099">
        <w:t>, Tasmania and Western Australia</w:t>
      </w:r>
      <w:r w:rsidR="006C2F22">
        <w:t xml:space="preserve"> had virtually no private practice billing.  The distribution of private sector work was broadly consistent with the relative workforce distribution of specialists, previously identified.</w:t>
      </w:r>
    </w:p>
    <w:p w14:paraId="4422CA99" w14:textId="38BBFDAC" w:rsidR="006C2F22" w:rsidRDefault="000214CF" w:rsidP="00FF351B">
      <w:pPr>
        <w:pStyle w:val="IntenseQuote"/>
      </w:pPr>
      <w:r>
        <w:t xml:space="preserve">Current MBS billing patterns indicate that the majority of </w:t>
      </w:r>
      <w:r w:rsidR="00D270B7" w:rsidRPr="00D270B7">
        <w:t xml:space="preserve">sexual health medicine </w:t>
      </w:r>
      <w:r>
        <w:t xml:space="preserve">specialists </w:t>
      </w:r>
      <w:r w:rsidR="000A3ED6">
        <w:t>work</w:t>
      </w:r>
      <w:r>
        <w:t xml:space="preserve"> in private practice </w:t>
      </w:r>
      <w:r w:rsidR="000A3ED6">
        <w:t xml:space="preserve">between one </w:t>
      </w:r>
      <w:r w:rsidR="007D08D8">
        <w:t>and</w:t>
      </w:r>
      <w:r w:rsidR="000A3ED6">
        <w:t xml:space="preserve"> three</w:t>
      </w:r>
      <w:r>
        <w:t xml:space="preserve"> day</w:t>
      </w:r>
      <w:r w:rsidR="000A3ED6">
        <w:t>s</w:t>
      </w:r>
      <w:r>
        <w:t xml:space="preserve"> each week and see </w:t>
      </w:r>
      <w:r w:rsidR="000A3ED6">
        <w:t>up to four</w:t>
      </w:r>
      <w:r>
        <w:t xml:space="preserve"> patients per day.  </w:t>
      </w:r>
      <w:r w:rsidR="000A3ED6">
        <w:t>This billing pattern would be consistent with specialists undertaking around three private practice sessions per week.</w:t>
      </w:r>
    </w:p>
    <w:p w14:paraId="26AE37C2" w14:textId="77777777" w:rsidR="001D3D56" w:rsidRDefault="001D3D56" w:rsidP="00E44324">
      <w:pPr>
        <w:pStyle w:val="AspexBodyStandard"/>
      </w:pPr>
    </w:p>
    <w:p w14:paraId="4FCBC303" w14:textId="5705299F" w:rsidR="000D5396" w:rsidRDefault="000D5396">
      <w:pPr>
        <w:spacing w:before="0" w:after="0" w:line="240" w:lineRule="auto"/>
      </w:pPr>
      <w:r>
        <w:br w:type="page"/>
      </w:r>
    </w:p>
    <w:p w14:paraId="43A4DCF1" w14:textId="1D4CFB8F" w:rsidR="00E62E59" w:rsidRPr="00C32C3D" w:rsidRDefault="00E62E59" w:rsidP="00CF3A3C">
      <w:pPr>
        <w:pStyle w:val="Caption"/>
      </w:pPr>
      <w:bookmarkStart w:id="110" w:name="_Ref223848353"/>
      <w:bookmarkStart w:id="111" w:name="_Toc351129611"/>
      <w:r w:rsidRPr="00C32C3D">
        <w:lastRenderedPageBreak/>
        <w:t xml:space="preserve">Figure </w:t>
      </w:r>
      <w:r w:rsidR="008E6665">
        <w:fldChar w:fldCharType="begin"/>
      </w:r>
      <w:r w:rsidR="008E6665">
        <w:instrText xml:space="preserve"> STY</w:instrText>
      </w:r>
      <w:r w:rsidR="008E6665">
        <w:instrText xml:space="preserve">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7</w:t>
      </w:r>
      <w:r w:rsidR="008E6665">
        <w:rPr>
          <w:noProof/>
        </w:rPr>
        <w:fldChar w:fldCharType="end"/>
      </w:r>
      <w:bookmarkEnd w:id="110"/>
      <w:r w:rsidR="00B82FE2">
        <w:rPr>
          <w:noProof/>
        </w:rPr>
        <w:t>:</w:t>
      </w:r>
      <w:r w:rsidRPr="00C32C3D">
        <w:tab/>
      </w:r>
      <w:r w:rsidR="008C29C6">
        <w:t>Sexual Health Medicine</w:t>
      </w:r>
      <w:r w:rsidR="00D54691">
        <w:t xml:space="preserve"> </w:t>
      </w:r>
      <w:r>
        <w:t>MBS billing by Australian jurisdiction (2010-12)</w:t>
      </w:r>
      <w:bookmarkEnd w:id="111"/>
    </w:p>
    <w:p w14:paraId="26BCD4EE" w14:textId="34AA8A38" w:rsidR="00E62E59" w:rsidRDefault="004A434E" w:rsidP="00E44324">
      <w:pPr>
        <w:pStyle w:val="AspexBodyStandard"/>
      </w:pPr>
      <w:r w:rsidRPr="004A434E">
        <w:rPr>
          <w:noProof/>
          <w:lang w:eastAsia="en-AU"/>
        </w:rPr>
        <w:drawing>
          <wp:inline distT="0" distB="0" distL="0" distR="0" wp14:anchorId="372850E9" wp14:editId="27734652">
            <wp:extent cx="5723890" cy="2663199"/>
            <wp:effectExtent l="0" t="0" r="0" b="3810"/>
            <wp:docPr id="33" name="Picture 11" title="Figure 4 7: Sexual Health Medicine MBS billing by Australian jurisdiction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3890" cy="2663199"/>
                    </a:xfrm>
                    <a:prstGeom prst="rect">
                      <a:avLst/>
                    </a:prstGeom>
                    <a:noFill/>
                    <a:ln>
                      <a:noFill/>
                    </a:ln>
                  </pic:spPr>
                </pic:pic>
              </a:graphicData>
            </a:graphic>
          </wp:inline>
        </w:drawing>
      </w:r>
    </w:p>
    <w:p w14:paraId="35417DF6" w14:textId="35F07A87" w:rsidR="00D54691" w:rsidRPr="00C32C3D" w:rsidRDefault="00D54691" w:rsidP="00CF3A3C">
      <w:pPr>
        <w:pStyle w:val="Caption"/>
      </w:pPr>
      <w:bookmarkStart w:id="112" w:name="_Toc351129612"/>
      <w:r w:rsidRPr="00C32C3D">
        <w:t xml:space="preserve">Figure </w:t>
      </w:r>
      <w:r w:rsidR="008E6665">
        <w:fldChar w:fldCharType="begin"/>
      </w:r>
      <w:r w:rsidR="008E6665">
        <w:instrText xml:space="preserve"> STYLEREF 1 \s </w:instrText>
      </w:r>
      <w:r w:rsidR="008E6665">
        <w:fldChar w:fldCharType="separate"/>
      </w:r>
      <w:r w:rsidR="008E6665">
        <w:rPr>
          <w:noProof/>
        </w:rPr>
        <w:t>4</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8</w:t>
      </w:r>
      <w:r w:rsidR="008E6665">
        <w:rPr>
          <w:noProof/>
        </w:rPr>
        <w:fldChar w:fldCharType="end"/>
      </w:r>
      <w:r w:rsidR="00B82FE2">
        <w:rPr>
          <w:noProof/>
        </w:rPr>
        <w:t>:</w:t>
      </w:r>
      <w:r w:rsidRPr="00C32C3D">
        <w:tab/>
      </w:r>
      <w:r>
        <w:t xml:space="preserve">Comparison of </w:t>
      </w:r>
      <w:r w:rsidR="008C29C6">
        <w:t>Sexual Health Medicine</w:t>
      </w:r>
      <w:r>
        <w:t xml:space="preserve"> and General Practice billing</w:t>
      </w:r>
      <w:bookmarkEnd w:id="112"/>
    </w:p>
    <w:p w14:paraId="2C8A157E" w14:textId="704CC0B0" w:rsidR="00A76FD5" w:rsidRDefault="004A434E" w:rsidP="00A76FD5">
      <w:pPr>
        <w:pStyle w:val="AspexBodyStandard"/>
      </w:pPr>
      <w:r w:rsidRPr="004A434E">
        <w:rPr>
          <w:noProof/>
          <w:lang w:eastAsia="en-AU"/>
        </w:rPr>
        <w:drawing>
          <wp:inline distT="0" distB="0" distL="0" distR="0" wp14:anchorId="200A045A" wp14:editId="556EF5B3">
            <wp:extent cx="5723890" cy="2664789"/>
            <wp:effectExtent l="0" t="0" r="0" b="2540"/>
            <wp:docPr id="39" name="Picture 12" title="Figure 4 8: Comparison of Sexual Health Medicine and General Practice b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3890" cy="2664789"/>
                    </a:xfrm>
                    <a:prstGeom prst="rect">
                      <a:avLst/>
                    </a:prstGeom>
                    <a:noFill/>
                    <a:ln>
                      <a:noFill/>
                    </a:ln>
                  </pic:spPr>
                </pic:pic>
              </a:graphicData>
            </a:graphic>
          </wp:inline>
        </w:drawing>
      </w:r>
    </w:p>
    <w:p w14:paraId="4867556B" w14:textId="3EF1487C" w:rsidR="00D54691" w:rsidRDefault="009821DF" w:rsidP="00A76FD5">
      <w:pPr>
        <w:pStyle w:val="AspexBodyStandard"/>
      </w:pPr>
      <w:r>
        <w:t xml:space="preserve">Comparison of </w:t>
      </w:r>
      <w:r w:rsidR="00D270B7" w:rsidRPr="00D270B7">
        <w:t xml:space="preserve">sexual health medicine </w:t>
      </w:r>
      <w:r>
        <w:t xml:space="preserve">billing with that of </w:t>
      </w:r>
      <w:r w:rsidR="001D3D56">
        <w:t>GPs</w:t>
      </w:r>
      <w:r>
        <w:t xml:space="preserve"> indicates that current specialist services are under supplied in </w:t>
      </w:r>
      <w:r w:rsidR="00DA4099">
        <w:t xml:space="preserve">Victoria, </w:t>
      </w:r>
      <w:r>
        <w:t xml:space="preserve">Queensland, Western Australia, </w:t>
      </w:r>
      <w:r w:rsidR="00DA4099">
        <w:t xml:space="preserve">Tasmania, </w:t>
      </w:r>
      <w:r>
        <w:t xml:space="preserve">the Northern Territory and </w:t>
      </w:r>
      <w:r w:rsidR="00DA4099">
        <w:t>possibly South Australia</w:t>
      </w:r>
      <w:r>
        <w:t>.</w:t>
      </w:r>
    </w:p>
    <w:p w14:paraId="766CE768" w14:textId="49C5E389" w:rsidR="00E62E59" w:rsidRDefault="00FF351B" w:rsidP="00FF351B">
      <w:pPr>
        <w:pStyle w:val="IntenseQuote"/>
      </w:pPr>
      <w:r>
        <w:t xml:space="preserve">Differences in the availability of private </w:t>
      </w:r>
      <w:r w:rsidR="00D270B7" w:rsidRPr="00D270B7">
        <w:t xml:space="preserve">sexual health medicine </w:t>
      </w:r>
      <w:r>
        <w:t>services vary greatly between each jurisdiction of Australia.  Per capita, the availability of private services are over represented in NS</w:t>
      </w:r>
      <w:r w:rsidR="000D5396">
        <w:t>W and V</w:t>
      </w:r>
      <w:r w:rsidR="007D08D8">
        <w:t>ic</w:t>
      </w:r>
      <w:r w:rsidR="000D5396">
        <w:t>, and relatively under-</w:t>
      </w:r>
      <w:r>
        <w:t>represented in all other jurisdictions (particularly the NT).</w:t>
      </w:r>
      <w:r w:rsidR="0049059D">
        <w:t xml:space="preserve"> These findings parallel the workforce distribution of </w:t>
      </w:r>
      <w:r w:rsidR="000E2752" w:rsidRPr="000E2752">
        <w:t xml:space="preserve">sexual health medicine </w:t>
      </w:r>
      <w:r w:rsidR="0049059D">
        <w:t>specialists across Australia.</w:t>
      </w:r>
    </w:p>
    <w:p w14:paraId="733D3CCB" w14:textId="77777777" w:rsidR="0087419D" w:rsidRDefault="0087419D" w:rsidP="007333CE">
      <w:pPr>
        <w:pStyle w:val="Heading1"/>
      </w:pPr>
      <w:bookmarkStart w:id="113" w:name="_Toc351480533"/>
      <w:r>
        <w:lastRenderedPageBreak/>
        <w:t xml:space="preserve">Current </w:t>
      </w:r>
      <w:r w:rsidR="009830BA">
        <w:t>Private Sector R</w:t>
      </w:r>
      <w:r w:rsidR="00730921">
        <w:t>emuneration</w:t>
      </w:r>
      <w:r>
        <w:t xml:space="preserve"> Arrangements</w:t>
      </w:r>
      <w:bookmarkEnd w:id="113"/>
    </w:p>
    <w:p w14:paraId="0F522AD7" w14:textId="77777777" w:rsidR="00EC5CFE" w:rsidRDefault="00EC5CFE" w:rsidP="007333CE">
      <w:pPr>
        <w:pStyle w:val="Heading2"/>
      </w:pPr>
      <w:bookmarkStart w:id="114" w:name="_Toc351480534"/>
      <w:r>
        <w:t>Patient assessment and follow-up</w:t>
      </w:r>
      <w:bookmarkEnd w:id="114"/>
    </w:p>
    <w:p w14:paraId="5E4244A8" w14:textId="4BAF3535" w:rsidR="009830BA" w:rsidRDefault="009830BA" w:rsidP="009830BA">
      <w:pPr>
        <w:pStyle w:val="AspexBodyStandard"/>
      </w:pPr>
      <w:r>
        <w:t xml:space="preserve">Current MBS billing arrangements </w:t>
      </w:r>
      <w:r w:rsidR="000D011C">
        <w:t xml:space="preserve">available to </w:t>
      </w:r>
      <w:r w:rsidR="000E2752" w:rsidRPr="000E2752">
        <w:t xml:space="preserve">sexual health medicine </w:t>
      </w:r>
      <w:r>
        <w:t xml:space="preserve">specialists depend upon </w:t>
      </w:r>
      <w:r w:rsidR="00DA77BC">
        <w:t xml:space="preserve">whether or not they have registered on the MBS as fellows in </w:t>
      </w:r>
      <w:r w:rsidR="000E2752" w:rsidRPr="000E2752">
        <w:t>sexual health medicine</w:t>
      </w:r>
      <w:r w:rsidR="00DA77BC">
        <w:t xml:space="preserve">, or </w:t>
      </w:r>
      <w:r w:rsidR="00DE134B">
        <w:t>rely upon other fellowships</w:t>
      </w:r>
      <w:r>
        <w:t xml:space="preserve"> they have obtained prior to becoming a recognised fellow of the Chapter of </w:t>
      </w:r>
      <w:r w:rsidR="007D08D8">
        <w:t>S</w:t>
      </w:r>
      <w:r w:rsidR="000E2752" w:rsidRPr="000E2752">
        <w:t xml:space="preserve">exual </w:t>
      </w:r>
      <w:r w:rsidR="007D08D8">
        <w:t>H</w:t>
      </w:r>
      <w:r w:rsidR="000E2752" w:rsidRPr="000E2752">
        <w:t xml:space="preserve">ealth </w:t>
      </w:r>
      <w:r w:rsidR="007D08D8">
        <w:t>M</w:t>
      </w:r>
      <w:r w:rsidR="000E2752" w:rsidRPr="000E2752">
        <w:t>edicine</w:t>
      </w:r>
      <w:r>
        <w:t xml:space="preserve">.  </w:t>
      </w:r>
      <w:r w:rsidR="00CC1998">
        <w:t xml:space="preserve">Around </w:t>
      </w:r>
      <w:r w:rsidR="00C51617" w:rsidRPr="00C51617">
        <w:t>33</w:t>
      </w:r>
      <w:r w:rsidR="00CC1998" w:rsidRPr="00C51617">
        <w:t>%</w:t>
      </w:r>
      <w:r w:rsidR="00DA77BC" w:rsidRPr="00C51617">
        <w:rPr>
          <w:rStyle w:val="FootnoteReference"/>
        </w:rPr>
        <w:footnoteReference w:id="29"/>
      </w:r>
      <w:r w:rsidR="00CC1998">
        <w:t xml:space="preserve"> of all </w:t>
      </w:r>
      <w:r w:rsidR="000E2752" w:rsidRPr="000E2752">
        <w:t xml:space="preserve">sexual health medicine </w:t>
      </w:r>
      <w:r w:rsidR="00CC1998">
        <w:t>specialists</w:t>
      </w:r>
      <w:r>
        <w:t xml:space="preserve"> have </w:t>
      </w:r>
      <w:r w:rsidR="00CC1998">
        <w:t>another independent fellowship. Rates of MBS reimbursement under different fellowships are significantly</w:t>
      </w:r>
      <w:r w:rsidR="00E716D4">
        <w:t xml:space="preserve"> different </w:t>
      </w:r>
      <w:r w:rsidR="00CC1998">
        <w:t xml:space="preserve">from those available to </w:t>
      </w:r>
      <w:r w:rsidR="000E2752" w:rsidRPr="000E2752">
        <w:t xml:space="preserve">sexual health medicine </w:t>
      </w:r>
      <w:r w:rsidR="00CC1998">
        <w:t>specialists</w:t>
      </w:r>
      <w:r w:rsidR="00E716D4">
        <w:t xml:space="preserve"> </w:t>
      </w:r>
      <w:r w:rsidR="00D772E5">
        <w:t>(</w:t>
      </w:r>
      <w:r w:rsidR="00D772E5">
        <w:fldChar w:fldCharType="begin"/>
      </w:r>
      <w:r w:rsidR="00D772E5">
        <w:instrText xml:space="preserve"> REF _Ref223864267 \h </w:instrText>
      </w:r>
      <w:r w:rsidR="00D772E5">
        <w:fldChar w:fldCharType="separate"/>
      </w:r>
      <w:r w:rsidR="008E6665" w:rsidRPr="00C32C3D">
        <w:t xml:space="preserve">Table </w:t>
      </w:r>
      <w:r w:rsidR="008E6665">
        <w:rPr>
          <w:noProof/>
        </w:rPr>
        <w:t>5</w:t>
      </w:r>
      <w:r w:rsidR="008E6665">
        <w:noBreakHyphen/>
      </w:r>
      <w:r w:rsidR="008E6665">
        <w:rPr>
          <w:noProof/>
        </w:rPr>
        <w:t>1</w:t>
      </w:r>
      <w:r w:rsidR="00D772E5">
        <w:fldChar w:fldCharType="end"/>
      </w:r>
      <w:r w:rsidR="00D772E5">
        <w:t>).</w:t>
      </w:r>
    </w:p>
    <w:p w14:paraId="2F50D6F8" w14:textId="79E7471E" w:rsidR="00E716D4" w:rsidRDefault="00E716D4" w:rsidP="00CF3A3C">
      <w:pPr>
        <w:pStyle w:val="Caption"/>
      </w:pPr>
      <w:bookmarkStart w:id="115" w:name="_Ref223864267"/>
      <w:bookmarkStart w:id="116" w:name="_Toc351129884"/>
      <w:r w:rsidRPr="00C32C3D">
        <w:t xml:space="preserve">Table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A60D98">
        <w:noBreakHyphen/>
      </w:r>
      <w:r w:rsidR="008E6665">
        <w:fldChar w:fldCharType="begin"/>
      </w:r>
      <w:r w:rsidR="008E6665">
        <w:instrText xml:space="preserve"> SEQ Table \* ARABIC \s 1 </w:instrText>
      </w:r>
      <w:r w:rsidR="008E6665">
        <w:fldChar w:fldCharType="separate"/>
      </w:r>
      <w:r w:rsidR="008E6665">
        <w:rPr>
          <w:noProof/>
        </w:rPr>
        <w:t>1</w:t>
      </w:r>
      <w:r w:rsidR="008E6665">
        <w:rPr>
          <w:noProof/>
        </w:rPr>
        <w:fldChar w:fldCharType="end"/>
      </w:r>
      <w:bookmarkEnd w:id="115"/>
      <w:r w:rsidR="000D5396">
        <w:rPr>
          <w:noProof/>
        </w:rPr>
        <w:t>:</w:t>
      </w:r>
      <w:r w:rsidRPr="00C32C3D">
        <w:tab/>
      </w:r>
      <w:r>
        <w:t>Fellowships held by specialists and rates of MBS reimbursement</w:t>
      </w:r>
      <w:r w:rsidR="003C2C06">
        <w:rPr>
          <w:rStyle w:val="FootnoteReference"/>
        </w:rPr>
        <w:footnoteReference w:id="30"/>
      </w:r>
      <w:bookmarkEnd w:id="116"/>
    </w:p>
    <w:bookmarkStart w:id="117" w:name="_MON_1425372631"/>
    <w:bookmarkEnd w:id="117"/>
    <w:p w14:paraId="4DDCEED4" w14:textId="6DBC4632" w:rsidR="009830BA" w:rsidRDefault="00005DC8" w:rsidP="009830BA">
      <w:pPr>
        <w:pStyle w:val="AspexBodyStandard"/>
      </w:pPr>
      <w:r>
        <w:object w:dxaOrig="9235" w:dyaOrig="6104" w14:anchorId="5E37B3EE">
          <v:shape id="_x0000_i1033" type="#_x0000_t75" alt="Table 5 1: Fellowships held by specialists and rates of MBS reimbursement " style="width:461.25pt;height:305.25pt;mso-position-vertical:absolute" o:ole="">
            <v:imagedata r:id="rId51" o:title=""/>
          </v:shape>
          <o:OLEObject Type="Embed" ProgID="Word.Document.12" ShapeID="_x0000_i1033" DrawAspect="Content" ObjectID="_1457429608" r:id="rId52">
            <o:FieldCodes>\s</o:FieldCodes>
          </o:OLEObject>
        </w:object>
      </w:r>
      <w:r w:rsidR="00D772E5">
        <w:t xml:space="preserve">Under current arrangements, should </w:t>
      </w:r>
      <w:r w:rsidR="000E2752" w:rsidRPr="000E2752">
        <w:t xml:space="preserve">sexual health medicine </w:t>
      </w:r>
      <w:r w:rsidR="00D772E5">
        <w:t xml:space="preserve">specialists choose to become registered under the A3 group of MBS items, they would be marginally better off than non-vocationally registered </w:t>
      </w:r>
      <w:r w:rsidR="00913BF4">
        <w:t>g</w:t>
      </w:r>
      <w:r w:rsidR="00D772E5">
        <w:t xml:space="preserve">eneral </w:t>
      </w:r>
      <w:r w:rsidR="00913BF4">
        <w:t>p</w:t>
      </w:r>
      <w:r w:rsidR="00D772E5">
        <w:t>ractitioners for reimbursement of comprehensive assessments, and worse off for reimbursement of follow-up consultations</w:t>
      </w:r>
      <w:r w:rsidR="00D772E5" w:rsidRPr="00D12576">
        <w:t>.  MBS billing arrangements</w:t>
      </w:r>
      <w:r w:rsidR="009A3E29" w:rsidRPr="00163D98">
        <w:t>,</w:t>
      </w:r>
      <w:r w:rsidR="00D772E5" w:rsidRPr="00F55B72">
        <w:t xml:space="preserve"> </w:t>
      </w:r>
      <w:r w:rsidR="007D08D8" w:rsidRPr="00F55B72">
        <w:t xml:space="preserve">for comprehensive assessments </w:t>
      </w:r>
      <w:r w:rsidR="00CC1998" w:rsidRPr="00F55B72">
        <w:t>as any other type of medical practitioner</w:t>
      </w:r>
      <w:r w:rsidR="00D12576" w:rsidRPr="00F333A1">
        <w:t>,</w:t>
      </w:r>
      <w:r w:rsidR="00CC1998" w:rsidRPr="00D12576">
        <w:t xml:space="preserve"> </w:t>
      </w:r>
      <w:r w:rsidR="00D772E5" w:rsidRPr="009E3373">
        <w:t xml:space="preserve">would result in an increase of between </w:t>
      </w:r>
      <w:r w:rsidR="00381700" w:rsidRPr="009E3373">
        <w:t>42</w:t>
      </w:r>
      <w:r w:rsidR="00CC1998" w:rsidRPr="00091A78">
        <w:t>% (as a vocationally register</w:t>
      </w:r>
      <w:r w:rsidR="00180873" w:rsidRPr="00091A78">
        <w:t xml:space="preserve">ed </w:t>
      </w:r>
      <w:r w:rsidR="00913BF4" w:rsidRPr="00091A78">
        <w:t>g</w:t>
      </w:r>
      <w:r w:rsidR="00180873" w:rsidRPr="00D12576">
        <w:t xml:space="preserve">eneral </w:t>
      </w:r>
      <w:r w:rsidR="00913BF4" w:rsidRPr="00D12576">
        <w:t>p</w:t>
      </w:r>
      <w:r w:rsidR="00180873" w:rsidRPr="00D12576">
        <w:t xml:space="preserve">ractitioner), </w:t>
      </w:r>
      <w:r w:rsidR="007D08D8" w:rsidRPr="00D12576">
        <w:t>and</w:t>
      </w:r>
      <w:r w:rsidR="00180873" w:rsidRPr="00D12576">
        <w:t xml:space="preserve"> </w:t>
      </w:r>
      <w:r w:rsidR="00104DE9" w:rsidRPr="00D12576">
        <w:t>76</w:t>
      </w:r>
      <w:r w:rsidR="00CC1998" w:rsidRPr="00D12576">
        <w:t xml:space="preserve">% (as a </w:t>
      </w:r>
      <w:r w:rsidR="00D12576" w:rsidRPr="00F333A1">
        <w:t>consultant p</w:t>
      </w:r>
      <w:r w:rsidR="00104DE9" w:rsidRPr="00163D98">
        <w:t>hysician</w:t>
      </w:r>
      <w:r w:rsidR="00CC1998" w:rsidRPr="00F55B72">
        <w:t>) above the currently available rate.</w:t>
      </w:r>
      <w:r w:rsidR="00CC1998">
        <w:t xml:space="preserve">  Follow-up consultations would similarly be disadvantaged as all other medical specialists are </w:t>
      </w:r>
      <w:r w:rsidR="00CC1998">
        <w:lastRenderedPageBreak/>
        <w:t xml:space="preserve">currently remunerated at a higher rate than that available to </w:t>
      </w:r>
      <w:r w:rsidR="000E2752" w:rsidRPr="000E2752">
        <w:t xml:space="preserve">sexual health medicine </w:t>
      </w:r>
      <w:r w:rsidR="00CC1998">
        <w:t xml:space="preserve">specialists (by up to </w:t>
      </w:r>
      <w:r w:rsidR="00104DE9">
        <w:t>92</w:t>
      </w:r>
      <w:r w:rsidR="00CC1998">
        <w:t xml:space="preserve">% - for </w:t>
      </w:r>
      <w:r w:rsidR="00913BF4">
        <w:t>p</w:t>
      </w:r>
      <w:r w:rsidR="00104DE9">
        <w:t xml:space="preserve">ublic </w:t>
      </w:r>
      <w:r w:rsidR="00913BF4">
        <w:t>h</w:t>
      </w:r>
      <w:r w:rsidR="00104DE9">
        <w:t xml:space="preserve">ealth </w:t>
      </w:r>
      <w:r w:rsidR="00913BF4">
        <w:t>m</w:t>
      </w:r>
      <w:r w:rsidR="00104DE9">
        <w:t>edicine specialists</w:t>
      </w:r>
      <w:r w:rsidR="00CC1998">
        <w:t>).</w:t>
      </w:r>
      <w:r w:rsidR="00024A00">
        <w:t xml:space="preserve"> Thus in summary:</w:t>
      </w:r>
    </w:p>
    <w:p w14:paraId="2FC3189A" w14:textId="77777777" w:rsidR="00024A00" w:rsidRDefault="001850F2" w:rsidP="006D6B61">
      <w:pPr>
        <w:pStyle w:val="IntenseQuote"/>
      </w:pPr>
      <w:r>
        <w:t>MBS item level analysis indicates that a</w:t>
      </w:r>
      <w:r w:rsidR="00024A00">
        <w:t>ccredited specialists in</w:t>
      </w:r>
      <w:r w:rsidR="006D6B61">
        <w:t xml:space="preserve"> </w:t>
      </w:r>
      <w:r w:rsidR="006D6B61" w:rsidRPr="006D6B61">
        <w:rPr>
          <w:u w:val="single"/>
        </w:rPr>
        <w:t>all</w:t>
      </w:r>
      <w:r w:rsidR="00024A00">
        <w:t xml:space="preserve"> </w:t>
      </w:r>
      <w:r w:rsidR="00123CA1">
        <w:t>sexual health</w:t>
      </w:r>
      <w:r w:rsidR="0063346F">
        <w:t>-related</w:t>
      </w:r>
      <w:r w:rsidR="006D6B61">
        <w:t xml:space="preserve"> disciplines</w:t>
      </w:r>
      <w:r w:rsidR="00024A00">
        <w:t xml:space="preserve"> </w:t>
      </w:r>
      <w:r w:rsidR="000D011C">
        <w:t xml:space="preserve">currently </w:t>
      </w:r>
      <w:r w:rsidR="00024A00">
        <w:t xml:space="preserve">receive </w:t>
      </w:r>
      <w:r w:rsidR="000D011C">
        <w:t xml:space="preserve">levels of remuneration that are </w:t>
      </w:r>
      <w:r w:rsidR="008F78F9">
        <w:t xml:space="preserve">from </w:t>
      </w:r>
      <w:r w:rsidR="00381700">
        <w:t>42</w:t>
      </w:r>
      <w:r w:rsidR="00180873">
        <w:t xml:space="preserve">% to </w:t>
      </w:r>
      <w:r w:rsidR="00104DE9">
        <w:t>76</w:t>
      </w:r>
      <w:r w:rsidR="000D011C">
        <w:t>%</w:t>
      </w:r>
      <w:r w:rsidR="006D6B61">
        <w:t xml:space="preserve"> </w:t>
      </w:r>
      <w:r w:rsidR="000D011C">
        <w:t xml:space="preserve">higher </w:t>
      </w:r>
      <w:r w:rsidR="008F78F9">
        <w:t>than those available to</w:t>
      </w:r>
      <w:r w:rsidR="006D6B61">
        <w:t xml:space="preserve"> specialists in </w:t>
      </w:r>
      <w:r w:rsidR="000E2752" w:rsidRPr="000E2752">
        <w:t>sexual health medicine</w:t>
      </w:r>
      <w:r w:rsidR="006D6B61">
        <w:t>.</w:t>
      </w:r>
    </w:p>
    <w:p w14:paraId="6A93A0C3" w14:textId="51A358A9" w:rsidR="00A10698" w:rsidRDefault="00A10698" w:rsidP="00A10698">
      <w:pPr>
        <w:pStyle w:val="AspexBodyStandard"/>
      </w:pPr>
      <w:r>
        <w:t>Evidence from current claims data suggest</w:t>
      </w:r>
      <w:r w:rsidR="007D08D8">
        <w:t>s</w:t>
      </w:r>
      <w:r>
        <w:t xml:space="preserve"> th</w:t>
      </w:r>
      <w:r w:rsidR="00BF24A0">
        <w:t>at clinic based assessment-</w:t>
      </w:r>
      <w:r>
        <w:t xml:space="preserve">related items </w:t>
      </w:r>
      <w:r w:rsidR="0032285F">
        <w:t>(96</w:t>
      </w:r>
      <w:r w:rsidR="0096104A">
        <w:t xml:space="preserve">% of total) </w:t>
      </w:r>
      <w:r>
        <w:t xml:space="preserve">for </w:t>
      </w:r>
      <w:r w:rsidR="000E2752" w:rsidRPr="000E2752">
        <w:t xml:space="preserve">sexual health medicine </w:t>
      </w:r>
      <w:r>
        <w:t>specialists</w:t>
      </w:r>
      <w:r w:rsidR="00BF24A0">
        <w:t xml:space="preserve"> </w:t>
      </w:r>
      <w:r w:rsidR="00BB4ECE">
        <w:t xml:space="preserve">each year </w:t>
      </w:r>
      <w:r w:rsidR="00BF24A0">
        <w:t>(2010-12)</w:t>
      </w:r>
      <w:r>
        <w:t xml:space="preserve">, </w:t>
      </w:r>
      <w:r w:rsidR="00036A49">
        <w:t>comprised</w:t>
      </w:r>
      <w:r>
        <w:t>:</w:t>
      </w:r>
    </w:p>
    <w:p w14:paraId="3C8B4A5B" w14:textId="77777777" w:rsidR="00BF24A0" w:rsidRDefault="0032285F" w:rsidP="00BF24A0">
      <w:pPr>
        <w:pStyle w:val="AspexBullet1"/>
      </w:pPr>
      <w:r>
        <w:t>55</w:t>
      </w:r>
      <w:r w:rsidR="00036A49">
        <w:t>% (</w:t>
      </w:r>
      <w:r>
        <w:t>24,758</w:t>
      </w:r>
      <w:r w:rsidR="00036A49">
        <w:t xml:space="preserve">) for item </w:t>
      </w:r>
      <w:r>
        <w:t>110</w:t>
      </w:r>
      <w:r w:rsidR="00036A49">
        <w:t xml:space="preserve"> - </w:t>
      </w:r>
      <w:r>
        <w:t>A4 Consultant Physician initial attendance</w:t>
      </w:r>
      <w:r w:rsidR="00036A49">
        <w:t>;</w:t>
      </w:r>
    </w:p>
    <w:p w14:paraId="46B06604" w14:textId="77777777" w:rsidR="00BF24A0" w:rsidRDefault="0032285F" w:rsidP="00BF24A0">
      <w:pPr>
        <w:pStyle w:val="AspexBullet1"/>
      </w:pPr>
      <w:r>
        <w:t>12</w:t>
      </w:r>
      <w:r w:rsidR="00036A49">
        <w:t>%</w:t>
      </w:r>
      <w:r w:rsidR="00BF24A0">
        <w:t xml:space="preserve"> </w:t>
      </w:r>
      <w:r w:rsidR="00036A49">
        <w:t>(5,</w:t>
      </w:r>
      <w:r>
        <w:t>452</w:t>
      </w:r>
      <w:r w:rsidR="00036A49">
        <w:t xml:space="preserve">) </w:t>
      </w:r>
      <w:r w:rsidR="00BF24A0">
        <w:t xml:space="preserve">for </w:t>
      </w:r>
      <w:r w:rsidR="00036A49">
        <w:t xml:space="preserve">item </w:t>
      </w:r>
      <w:r>
        <w:t>104</w:t>
      </w:r>
      <w:r w:rsidR="00036A49">
        <w:t xml:space="preserve"> </w:t>
      </w:r>
      <w:r>
        <w:t>-</w:t>
      </w:r>
      <w:r w:rsidR="00036A49">
        <w:t xml:space="preserve"> </w:t>
      </w:r>
      <w:r>
        <w:t>A3 Specialist initial attendance</w:t>
      </w:r>
      <w:r w:rsidR="00BF24A0">
        <w:t>;</w:t>
      </w:r>
    </w:p>
    <w:p w14:paraId="6172948F" w14:textId="77777777" w:rsidR="00A119C3" w:rsidRDefault="0032285F" w:rsidP="00BF24A0">
      <w:pPr>
        <w:pStyle w:val="AspexBullet1"/>
      </w:pPr>
      <w:r>
        <w:t>11</w:t>
      </w:r>
      <w:r w:rsidR="00036A49">
        <w:t>%</w:t>
      </w:r>
      <w:r w:rsidR="00BF24A0">
        <w:t xml:space="preserve"> </w:t>
      </w:r>
      <w:r>
        <w:t>(4,862</w:t>
      </w:r>
      <w:r w:rsidR="00036A49">
        <w:t>) for item 1</w:t>
      </w:r>
      <w:r>
        <w:t>32</w:t>
      </w:r>
      <w:r w:rsidR="00036A49">
        <w:t xml:space="preserve"> - </w:t>
      </w:r>
      <w:r w:rsidR="00BF24A0">
        <w:t xml:space="preserve">A4 Consultant Physician </w:t>
      </w:r>
      <w:r>
        <w:t>complex assessment</w:t>
      </w:r>
      <w:r w:rsidR="00BF24A0">
        <w:t>;</w:t>
      </w:r>
    </w:p>
    <w:p w14:paraId="441A2913" w14:textId="17066C28" w:rsidR="0032285F" w:rsidRDefault="0032285F" w:rsidP="00BF24A0">
      <w:pPr>
        <w:pStyle w:val="AspexBullet1"/>
      </w:pPr>
      <w:r>
        <w:t xml:space="preserve">9% (4,217) for item 57 </w:t>
      </w:r>
      <w:r w:rsidR="00BB4ECE">
        <w:t>-</w:t>
      </w:r>
      <w:r>
        <w:t xml:space="preserve"> A2 Non-referred prolonged consultation; and</w:t>
      </w:r>
    </w:p>
    <w:p w14:paraId="3AA6895B" w14:textId="5FF9E4B3" w:rsidR="00BF24A0" w:rsidRDefault="0032285F" w:rsidP="00BF24A0">
      <w:pPr>
        <w:pStyle w:val="AspexBullet1"/>
      </w:pPr>
      <w:r>
        <w:t>9</w:t>
      </w:r>
      <w:r w:rsidR="00036A49">
        <w:t>%</w:t>
      </w:r>
      <w:r w:rsidR="00BF24A0">
        <w:t xml:space="preserve"> </w:t>
      </w:r>
      <w:r w:rsidR="00036A49">
        <w:t>(</w:t>
      </w:r>
      <w:r>
        <w:t>4,051</w:t>
      </w:r>
      <w:r w:rsidR="00036A49">
        <w:t xml:space="preserve">) for item </w:t>
      </w:r>
      <w:r>
        <w:t>44</w:t>
      </w:r>
      <w:r w:rsidR="00036A49">
        <w:t xml:space="preserve"> </w:t>
      </w:r>
      <w:r w:rsidR="00BB4ECE">
        <w:t>-</w:t>
      </w:r>
      <w:r w:rsidR="00036A49">
        <w:t xml:space="preserve"> </w:t>
      </w:r>
      <w:r w:rsidR="00BF24A0">
        <w:t>A</w:t>
      </w:r>
      <w:r w:rsidR="00BB4ECE">
        <w:t>1</w:t>
      </w:r>
      <w:r w:rsidR="00BF24A0">
        <w:t xml:space="preserve"> </w:t>
      </w:r>
      <w:r w:rsidR="00BB4ECE">
        <w:t xml:space="preserve">General </w:t>
      </w:r>
      <w:r w:rsidR="00913BF4">
        <w:t>P</w:t>
      </w:r>
      <w:r w:rsidR="00BB4ECE">
        <w:t>ractitioner prolonged consultation</w:t>
      </w:r>
      <w:r w:rsidR="00BF24A0">
        <w:t>.</w:t>
      </w:r>
    </w:p>
    <w:p w14:paraId="21F03E87" w14:textId="77777777" w:rsidR="00EC5CFE" w:rsidRDefault="008975C9" w:rsidP="009830BA">
      <w:pPr>
        <w:pStyle w:val="AspexBodyStandard"/>
      </w:pPr>
      <w:r>
        <w:t>Available evidence also demonstrates that the</w:t>
      </w:r>
      <w:r w:rsidR="00BF24A0">
        <w:t xml:space="preserve"> most frequent</w:t>
      </w:r>
      <w:r w:rsidR="00E752A7">
        <w:t xml:space="preserve"> clinic based</w:t>
      </w:r>
      <w:r w:rsidR="00BF24A0">
        <w:t xml:space="preserve"> treatment-related items </w:t>
      </w:r>
      <w:r w:rsidR="0032285F">
        <w:t>(90</w:t>
      </w:r>
      <w:r w:rsidR="00861513">
        <w:t xml:space="preserve">% of total) </w:t>
      </w:r>
      <w:r w:rsidR="00BF24A0">
        <w:t xml:space="preserve">for </w:t>
      </w:r>
      <w:r w:rsidR="000E2752" w:rsidRPr="000E2752">
        <w:t xml:space="preserve">sexual health medicine </w:t>
      </w:r>
      <w:r w:rsidR="00BF24A0">
        <w:t xml:space="preserve">specialists </w:t>
      </w:r>
      <w:r w:rsidR="00BB4ECE">
        <w:t xml:space="preserve">each year </w:t>
      </w:r>
      <w:r w:rsidR="00BF24A0">
        <w:t xml:space="preserve">(2010-12), </w:t>
      </w:r>
      <w:r>
        <w:t>comprised</w:t>
      </w:r>
      <w:r w:rsidR="00BF24A0">
        <w:t>:</w:t>
      </w:r>
    </w:p>
    <w:p w14:paraId="189B8C0D" w14:textId="77777777" w:rsidR="00BB4ECE" w:rsidRDefault="00BB4ECE" w:rsidP="00E752A7">
      <w:pPr>
        <w:pStyle w:val="AspexBullet1"/>
      </w:pPr>
      <w:r>
        <w:t>66</w:t>
      </w:r>
      <w:r w:rsidR="00036A49">
        <w:t>% (</w:t>
      </w:r>
      <w:r>
        <w:t>111,748</w:t>
      </w:r>
      <w:r w:rsidR="00036A49">
        <w:t>)</w:t>
      </w:r>
      <w:r w:rsidR="00E752A7">
        <w:t xml:space="preserve"> </w:t>
      </w:r>
      <w:r w:rsidR="00036A49">
        <w:t xml:space="preserve">for item </w:t>
      </w:r>
      <w:r>
        <w:t xml:space="preserve">117 </w:t>
      </w:r>
      <w:r w:rsidR="00036A49">
        <w:t xml:space="preserve">- </w:t>
      </w:r>
      <w:r>
        <w:t>A4 Consultant Physician subsequent attendance;</w:t>
      </w:r>
    </w:p>
    <w:p w14:paraId="22587B62" w14:textId="77777777" w:rsidR="00E752A7" w:rsidRDefault="00BB4ECE" w:rsidP="00E752A7">
      <w:pPr>
        <w:pStyle w:val="AspexBullet1"/>
      </w:pPr>
      <w:r>
        <w:t>10</w:t>
      </w:r>
      <w:r w:rsidR="00036A49">
        <w:t>% (</w:t>
      </w:r>
      <w:r w:rsidR="00E752A7">
        <w:t>17,</w:t>
      </w:r>
      <w:r>
        <w:t>362</w:t>
      </w:r>
      <w:r w:rsidR="00036A49">
        <w:t>)</w:t>
      </w:r>
      <w:r w:rsidR="00E752A7">
        <w:t xml:space="preserve"> </w:t>
      </w:r>
      <w:r w:rsidR="00036A49">
        <w:t xml:space="preserve">for item 36 - </w:t>
      </w:r>
      <w:r w:rsidR="00E752A7">
        <w:t>A1 General Practitione</w:t>
      </w:r>
      <w:r w:rsidR="00036A49">
        <w:t>r consultation up to 40 minutes</w:t>
      </w:r>
      <w:r w:rsidR="00E752A7">
        <w:t>;</w:t>
      </w:r>
    </w:p>
    <w:p w14:paraId="37821BF8" w14:textId="37C6C82B" w:rsidR="00BB4ECE" w:rsidRDefault="00BB4ECE" w:rsidP="00E752A7">
      <w:pPr>
        <w:pStyle w:val="AspexBullet1"/>
      </w:pPr>
      <w:r>
        <w:t>8</w:t>
      </w:r>
      <w:r w:rsidR="00036A49">
        <w:t>% (</w:t>
      </w:r>
      <w:r>
        <w:t>13,346</w:t>
      </w:r>
      <w:r w:rsidR="00036A49">
        <w:t>)</w:t>
      </w:r>
      <w:r w:rsidR="00E752A7">
        <w:t xml:space="preserve"> </w:t>
      </w:r>
      <w:r w:rsidR="00036A49">
        <w:t xml:space="preserve">for item </w:t>
      </w:r>
      <w:r>
        <w:t>23 - A1 General Practitioner consultation more than to 20 minutes;</w:t>
      </w:r>
    </w:p>
    <w:p w14:paraId="1577C9DF" w14:textId="1E18C83F" w:rsidR="00BB4ECE" w:rsidRDefault="00BB4ECE" w:rsidP="00E752A7">
      <w:pPr>
        <w:pStyle w:val="AspexBullet1"/>
      </w:pPr>
      <w:r>
        <w:t>4</w:t>
      </w:r>
      <w:r w:rsidR="00036A49">
        <w:t>% (</w:t>
      </w:r>
      <w:r>
        <w:t>6,444</w:t>
      </w:r>
      <w:r w:rsidR="00036A49">
        <w:t>)</w:t>
      </w:r>
      <w:r w:rsidR="00E752A7">
        <w:t xml:space="preserve"> </w:t>
      </w:r>
      <w:r w:rsidR="00036A49">
        <w:t xml:space="preserve">for item </w:t>
      </w:r>
      <w:r>
        <w:t>105</w:t>
      </w:r>
      <w:r w:rsidR="00036A49">
        <w:t xml:space="preserve"> </w:t>
      </w:r>
      <w:r>
        <w:t>– A3 Specialist subsequent attendance; and</w:t>
      </w:r>
      <w:r w:rsidR="00E752A7">
        <w:tab/>
      </w:r>
    </w:p>
    <w:p w14:paraId="2F881C25" w14:textId="6C6FF50C" w:rsidR="00BB4ECE" w:rsidRDefault="00BB4ECE" w:rsidP="00BB4ECE">
      <w:pPr>
        <w:pStyle w:val="AspexBullet1"/>
      </w:pPr>
      <w:r>
        <w:t>2% (3,129) for item 53 - A2 Non-referred standard consultation less than 25 minutes.</w:t>
      </w:r>
    </w:p>
    <w:p w14:paraId="13AC90C2" w14:textId="77777777" w:rsidR="00E752A7" w:rsidRDefault="00E752A7" w:rsidP="00E752A7">
      <w:pPr>
        <w:pStyle w:val="AspexBodyStandard"/>
      </w:pPr>
      <w:r>
        <w:t xml:space="preserve">Based upon these findings, it might </w:t>
      </w:r>
      <w:r w:rsidR="00E953AF">
        <w:t xml:space="preserve">reasonably </w:t>
      </w:r>
      <w:r>
        <w:t>be concluded that:</w:t>
      </w:r>
    </w:p>
    <w:p w14:paraId="5E3A29BB" w14:textId="77777777" w:rsidR="00E752A7" w:rsidRDefault="00B308B7" w:rsidP="00E752A7">
      <w:pPr>
        <w:pStyle w:val="IntenseQuote"/>
      </w:pPr>
      <w:r>
        <w:t>MBS claims data</w:t>
      </w:r>
      <w:r w:rsidR="00E752A7">
        <w:t xml:space="preserve"> </w:t>
      </w:r>
      <w:r>
        <w:t>demonstrates</w:t>
      </w:r>
      <w:r w:rsidR="00E752A7">
        <w:t xml:space="preserve"> that current billing patterns of specialists favour use of </w:t>
      </w:r>
      <w:r w:rsidR="008975C9">
        <w:t>alternative</w:t>
      </w:r>
      <w:r w:rsidR="00E752A7">
        <w:t xml:space="preserve"> </w:t>
      </w:r>
      <w:r w:rsidR="00515F09">
        <w:t xml:space="preserve">MBS </w:t>
      </w:r>
      <w:r w:rsidR="00E752A7">
        <w:t xml:space="preserve">items for assessment and treatment </w:t>
      </w:r>
      <w:r w:rsidR="008975C9">
        <w:t>to</w:t>
      </w:r>
      <w:r w:rsidR="00E752A7">
        <w:t xml:space="preserve"> those currently available </w:t>
      </w:r>
      <w:r w:rsidR="008975C9">
        <w:t>for</w:t>
      </w:r>
      <w:r w:rsidR="00E752A7">
        <w:t xml:space="preserve"> registered </w:t>
      </w:r>
      <w:r w:rsidR="000E2752" w:rsidRPr="000E2752">
        <w:t>sexual health medicine</w:t>
      </w:r>
      <w:r w:rsidR="00E752A7">
        <w:t xml:space="preserve"> specialists.</w:t>
      </w:r>
    </w:p>
    <w:p w14:paraId="785FE12B" w14:textId="77777777" w:rsidR="00EC5CFE" w:rsidRDefault="00EC5CFE" w:rsidP="007333CE">
      <w:pPr>
        <w:pStyle w:val="Heading2"/>
      </w:pPr>
      <w:bookmarkStart w:id="118" w:name="_Toc351480535"/>
      <w:r>
        <w:t>Complex assessment, case conferencing and groups</w:t>
      </w:r>
      <w:bookmarkEnd w:id="118"/>
      <w:r>
        <w:t xml:space="preserve"> </w:t>
      </w:r>
    </w:p>
    <w:p w14:paraId="114E2097" w14:textId="0443F5A6" w:rsidR="00C150B2" w:rsidRDefault="00C150B2" w:rsidP="009830BA">
      <w:pPr>
        <w:pStyle w:val="AspexBodyStandard"/>
      </w:pPr>
      <w:r>
        <w:t>Moreover, many other specialty areas have access to a wider number of MBS items appropriate to the scope of their professional practice (</w:t>
      </w:r>
      <w:r w:rsidR="005909F2">
        <w:fldChar w:fldCharType="begin"/>
      </w:r>
      <w:r w:rsidR="005909F2">
        <w:instrText xml:space="preserve"> REF _Ref223868214 \h </w:instrText>
      </w:r>
      <w:r w:rsidR="005909F2">
        <w:fldChar w:fldCharType="separate"/>
      </w:r>
      <w:r w:rsidR="008E6665" w:rsidRPr="00C32C3D">
        <w:t xml:space="preserve">Table </w:t>
      </w:r>
      <w:r w:rsidR="008E6665">
        <w:rPr>
          <w:noProof/>
        </w:rPr>
        <w:t>5</w:t>
      </w:r>
      <w:r w:rsidR="008E6665">
        <w:noBreakHyphen/>
      </w:r>
      <w:r w:rsidR="008E6665">
        <w:rPr>
          <w:noProof/>
        </w:rPr>
        <w:t>2</w:t>
      </w:r>
      <w:r w:rsidR="005909F2">
        <w:fldChar w:fldCharType="end"/>
      </w:r>
      <w:r>
        <w:t>).</w:t>
      </w:r>
      <w:r w:rsidR="00D54691">
        <w:t xml:space="preserve">  Examination of the current MBS schedule, identifies that:</w:t>
      </w:r>
    </w:p>
    <w:p w14:paraId="7D44FEF8" w14:textId="7E97A0E9" w:rsidR="00D54691" w:rsidRDefault="00D54691" w:rsidP="00117910">
      <w:pPr>
        <w:pStyle w:val="AspexBullet1"/>
      </w:pPr>
      <w:r>
        <w:t>Vocationally registered GPs have additional items to support complex case planning, multi-disciplinary case conferencing;</w:t>
      </w:r>
    </w:p>
    <w:p w14:paraId="5AF6602F" w14:textId="5A2E2898" w:rsidR="00D54691" w:rsidRDefault="00D54691" w:rsidP="00117910">
      <w:pPr>
        <w:pStyle w:val="AspexBullet1"/>
      </w:pPr>
      <w:r>
        <w:t xml:space="preserve">Public </w:t>
      </w:r>
      <w:r w:rsidR="00913BF4">
        <w:t>h</w:t>
      </w:r>
      <w:r>
        <w:t xml:space="preserve">ealth </w:t>
      </w:r>
      <w:r w:rsidR="00913BF4">
        <w:t>p</w:t>
      </w:r>
      <w:r>
        <w:t>hysicians have access to complex case planning and group treatment</w:t>
      </w:r>
      <w:r w:rsidR="00117910">
        <w:t xml:space="preserve"> items</w:t>
      </w:r>
      <w:r>
        <w:t>;</w:t>
      </w:r>
      <w:r w:rsidR="00104DE9">
        <w:t xml:space="preserve"> and</w:t>
      </w:r>
    </w:p>
    <w:p w14:paraId="38D4E116" w14:textId="77777777" w:rsidR="00117910" w:rsidRDefault="00117910" w:rsidP="00117910">
      <w:pPr>
        <w:pStyle w:val="AspexBullet1"/>
      </w:pPr>
      <w:r>
        <w:t>Physicians have access to complex case planning and multi</w:t>
      </w:r>
      <w:r w:rsidR="00104DE9">
        <w:t>-disciplinary case conferencing.</w:t>
      </w:r>
    </w:p>
    <w:p w14:paraId="59CBE60D" w14:textId="77777777" w:rsidR="00180873" w:rsidRDefault="000E2752" w:rsidP="00180873">
      <w:pPr>
        <w:pStyle w:val="IntenseQuote"/>
      </w:pPr>
      <w:r>
        <w:lastRenderedPageBreak/>
        <w:t>Sexual health medicine</w:t>
      </w:r>
      <w:r w:rsidR="00117910">
        <w:t xml:space="preserve"> specialists do not have current access to any equivalent items</w:t>
      </w:r>
      <w:r w:rsidR="00180873">
        <w:t xml:space="preserve"> for complex assessment and treatment planning, </w:t>
      </w:r>
      <w:r w:rsidR="00104DE9">
        <w:t xml:space="preserve">and </w:t>
      </w:r>
      <w:r w:rsidR="00180873">
        <w:t>for multidisciplinary case conferencing</w:t>
      </w:r>
      <w:r w:rsidR="00117910">
        <w:t xml:space="preserve">.  </w:t>
      </w:r>
    </w:p>
    <w:p w14:paraId="7E45717C" w14:textId="00054F0A" w:rsidR="00117910" w:rsidRDefault="00180873" w:rsidP="009830BA">
      <w:pPr>
        <w:pStyle w:val="AspexBodyStandard"/>
      </w:pPr>
      <w:r>
        <w:t>At the current point in time, if these services are provided</w:t>
      </w:r>
      <w:r w:rsidR="007D08D8">
        <w:t>,</w:t>
      </w:r>
      <w:r w:rsidR="00117910">
        <w:t xml:space="preserve"> MBS claims need to be raised against other fellowship credentials.</w:t>
      </w:r>
    </w:p>
    <w:p w14:paraId="491FB069" w14:textId="38A04681" w:rsidR="00C150B2" w:rsidRDefault="00C150B2" w:rsidP="00CF3A3C">
      <w:pPr>
        <w:pStyle w:val="Caption"/>
      </w:pPr>
      <w:bookmarkStart w:id="119" w:name="_Ref223868214"/>
      <w:bookmarkStart w:id="120" w:name="_Toc351129885"/>
      <w:r w:rsidRPr="00C32C3D">
        <w:t xml:space="preserve">Table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A60D98">
        <w:noBreakHyphen/>
      </w:r>
      <w:r w:rsidR="008E6665">
        <w:fldChar w:fldCharType="begin"/>
      </w:r>
      <w:r w:rsidR="008E6665">
        <w:instrText xml:space="preserve"> SEQ Table \* ARABIC \s 1 </w:instrText>
      </w:r>
      <w:r w:rsidR="008E6665">
        <w:fldChar w:fldCharType="separate"/>
      </w:r>
      <w:r w:rsidR="008E6665">
        <w:rPr>
          <w:noProof/>
        </w:rPr>
        <w:t>2</w:t>
      </w:r>
      <w:r w:rsidR="008E6665">
        <w:rPr>
          <w:noProof/>
        </w:rPr>
        <w:fldChar w:fldCharType="end"/>
      </w:r>
      <w:bookmarkEnd w:id="119"/>
      <w:r w:rsidR="000D5396">
        <w:rPr>
          <w:noProof/>
        </w:rPr>
        <w:t>:</w:t>
      </w:r>
      <w:r w:rsidRPr="00C32C3D">
        <w:tab/>
      </w:r>
      <w:r>
        <w:t>MBS items available to support professional scopes of practice</w:t>
      </w:r>
      <w:bookmarkEnd w:id="120"/>
    </w:p>
    <w:bookmarkStart w:id="121" w:name="_MON_1425372771"/>
    <w:bookmarkEnd w:id="121"/>
    <w:p w14:paraId="5441F575" w14:textId="6BF99B6B" w:rsidR="00EC5CFE" w:rsidRDefault="00005DC8" w:rsidP="009830BA">
      <w:pPr>
        <w:pStyle w:val="AspexBodyStandard"/>
      </w:pPr>
      <w:r>
        <w:object w:dxaOrig="9133" w:dyaOrig="5920" w14:anchorId="5E9CC24B">
          <v:shape id="_x0000_i1034" type="#_x0000_t75" alt="Table 5 2: MBS items available to support professional scopes of practice" style="width:456.75pt;height:296.25pt" o:ole="">
            <v:imagedata r:id="rId53" o:title=""/>
          </v:shape>
          <o:OLEObject Type="Embed" ProgID="Word.Document.12" ShapeID="_x0000_i1034" DrawAspect="Content" ObjectID="_1457429609" r:id="rId54">
            <o:FieldCodes>\s</o:FieldCodes>
          </o:OLEObject>
        </w:object>
      </w:r>
      <w:r w:rsidR="00D54691">
        <w:t xml:space="preserve">Current claims data for </w:t>
      </w:r>
      <w:r w:rsidR="000E2752" w:rsidRPr="000E2752">
        <w:t xml:space="preserve">sexual health medicine </w:t>
      </w:r>
      <w:r w:rsidR="00D54691">
        <w:t xml:space="preserve">specialists was examined to identify the proportion of MBS items relating to Assessment, Treatment, Complex Assessment and Management, Multidisciplinary Case Conferencing and </w:t>
      </w:r>
      <w:r w:rsidR="00104DE9">
        <w:t>Home/Residential patient visits</w:t>
      </w:r>
      <w:r w:rsidR="00104DE9">
        <w:rPr>
          <w:rStyle w:val="FootnoteReference"/>
        </w:rPr>
        <w:footnoteReference w:id="31"/>
      </w:r>
      <w:r w:rsidR="00D54691">
        <w:t>.</w:t>
      </w:r>
    </w:p>
    <w:p w14:paraId="01725AA8" w14:textId="2D100CFC" w:rsidR="00180873" w:rsidRDefault="00D54691" w:rsidP="009830BA">
      <w:pPr>
        <w:pStyle w:val="AspexBodyStandard"/>
      </w:pPr>
      <w:r>
        <w:t xml:space="preserve">The proportion of items in each category is presented in </w:t>
      </w:r>
      <w:r w:rsidR="00632F42">
        <w:fldChar w:fldCharType="begin"/>
      </w:r>
      <w:r w:rsidR="00632F42">
        <w:instrText xml:space="preserve"> REF _Ref350872164 \h </w:instrText>
      </w:r>
      <w:r w:rsidR="00632F42">
        <w:fldChar w:fldCharType="separate"/>
      </w:r>
      <w:r w:rsidR="008E6665" w:rsidRPr="00C32C3D">
        <w:t xml:space="preserve">Figure </w:t>
      </w:r>
      <w:r w:rsidR="008E6665">
        <w:rPr>
          <w:noProof/>
        </w:rPr>
        <w:t>5</w:t>
      </w:r>
      <w:r w:rsidR="008E6665">
        <w:noBreakHyphen/>
      </w:r>
      <w:r w:rsidR="008E6665">
        <w:rPr>
          <w:noProof/>
        </w:rPr>
        <w:t>1</w:t>
      </w:r>
      <w:r w:rsidR="00632F42">
        <w:fldChar w:fldCharType="end"/>
      </w:r>
      <w:r>
        <w:t xml:space="preserve">.  The proportion cost of the same activities (at 2013 MBS item rebates) is presented in </w:t>
      </w:r>
      <w:r w:rsidR="00632F42">
        <w:fldChar w:fldCharType="begin"/>
      </w:r>
      <w:r w:rsidR="00632F42">
        <w:instrText xml:space="preserve"> REF _Ref350872172 \h </w:instrText>
      </w:r>
      <w:r w:rsidR="00632F42">
        <w:fldChar w:fldCharType="separate"/>
      </w:r>
      <w:r w:rsidR="008E6665" w:rsidRPr="00C32C3D">
        <w:t xml:space="preserve">Figure </w:t>
      </w:r>
      <w:r w:rsidR="008E6665">
        <w:rPr>
          <w:noProof/>
        </w:rPr>
        <w:t>5</w:t>
      </w:r>
      <w:r w:rsidR="008E6665">
        <w:noBreakHyphen/>
      </w:r>
      <w:r w:rsidR="008E6665">
        <w:rPr>
          <w:noProof/>
        </w:rPr>
        <w:t>2</w:t>
      </w:r>
      <w:r w:rsidR="00632F42">
        <w:fldChar w:fldCharType="end"/>
      </w:r>
      <w:r>
        <w:t>.</w:t>
      </w:r>
      <w:r w:rsidR="004D6089">
        <w:t xml:space="preserve">  Analysis reveals that</w:t>
      </w:r>
      <w:r w:rsidR="00180873">
        <w:t>:</w:t>
      </w:r>
      <w:r w:rsidR="004D6089">
        <w:t xml:space="preserve"> </w:t>
      </w:r>
    </w:p>
    <w:p w14:paraId="1B0C87A5" w14:textId="39CA9704" w:rsidR="00180873" w:rsidRDefault="00180873" w:rsidP="00180873">
      <w:pPr>
        <w:pStyle w:val="IntenseQuote"/>
      </w:pPr>
      <w:r>
        <w:t>C</w:t>
      </w:r>
      <w:r w:rsidR="004D6089">
        <w:t xml:space="preserve">omplex assessment and treatment planning, together with multi-disciplinary case conferencing currently occupies around </w:t>
      </w:r>
      <w:r w:rsidR="00104DE9">
        <w:t>7</w:t>
      </w:r>
      <w:r w:rsidR="004D6089">
        <w:t xml:space="preserve">% of all current MBS related activity, and up to </w:t>
      </w:r>
      <w:r w:rsidR="00104DE9">
        <w:t>13</w:t>
      </w:r>
      <w:r w:rsidR="004D6089">
        <w:t xml:space="preserve">% of MBS related costs for </w:t>
      </w:r>
      <w:r w:rsidR="007D08D8">
        <w:t>s</w:t>
      </w:r>
      <w:r w:rsidR="000E2752">
        <w:t>exual health medicine</w:t>
      </w:r>
      <w:r w:rsidR="004D6089">
        <w:t xml:space="preserve"> specialists</w:t>
      </w:r>
      <w:r>
        <w:t>.</w:t>
      </w:r>
    </w:p>
    <w:p w14:paraId="4ABC89A7" w14:textId="77777777" w:rsidR="00D54691" w:rsidRDefault="00180873" w:rsidP="009830BA">
      <w:pPr>
        <w:pStyle w:val="AspexBodyStandard"/>
      </w:pPr>
      <w:r>
        <w:lastRenderedPageBreak/>
        <w:t xml:space="preserve">These activities and costs are restricted to those specialists who can claim MBS items as other types of medical practitioners. </w:t>
      </w:r>
    </w:p>
    <w:p w14:paraId="3DF9A04D" w14:textId="4030CC7B" w:rsidR="00117910" w:rsidRPr="00C32C3D" w:rsidRDefault="00117910" w:rsidP="00CF3A3C">
      <w:pPr>
        <w:pStyle w:val="Caption"/>
      </w:pPr>
      <w:bookmarkStart w:id="122" w:name="_Ref350872164"/>
      <w:bookmarkStart w:id="123" w:name="_Toc351129613"/>
      <w:r w:rsidRPr="00C32C3D">
        <w:t xml:space="preserve">Figure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w:t>
      </w:r>
      <w:r w:rsidR="008E6665">
        <w:rPr>
          <w:noProof/>
        </w:rPr>
        <w:fldChar w:fldCharType="end"/>
      </w:r>
      <w:bookmarkEnd w:id="122"/>
      <w:r w:rsidR="00632F42">
        <w:rPr>
          <w:noProof/>
        </w:rPr>
        <w:t>:</w:t>
      </w:r>
      <w:r w:rsidRPr="00C32C3D">
        <w:tab/>
      </w:r>
      <w:r w:rsidR="0034185C">
        <w:t xml:space="preserve">Proportion of </w:t>
      </w:r>
      <w:r>
        <w:t xml:space="preserve">MBS item groups claimed by </w:t>
      </w:r>
      <w:r w:rsidR="00BB4ECE">
        <w:t>SHM</w:t>
      </w:r>
      <w:r>
        <w:t xml:space="preserve"> specialists (2010-12)</w:t>
      </w:r>
      <w:bookmarkEnd w:id="123"/>
    </w:p>
    <w:p w14:paraId="2C8776DA" w14:textId="50A45B74" w:rsidR="00D54691" w:rsidRDefault="004A434E" w:rsidP="00FE683C">
      <w:pPr>
        <w:pStyle w:val="AspexBodyStandard"/>
        <w:jc w:val="left"/>
      </w:pPr>
      <w:r w:rsidRPr="004A434E">
        <w:rPr>
          <w:noProof/>
          <w:lang w:eastAsia="en-AU"/>
        </w:rPr>
        <w:drawing>
          <wp:inline distT="0" distB="0" distL="0" distR="0" wp14:anchorId="61398B65" wp14:editId="041F6701">
            <wp:extent cx="5723890" cy="2906348"/>
            <wp:effectExtent l="0" t="0" r="0" b="8890"/>
            <wp:docPr id="40" name="Picture 13" title="Figure 5 1: Proportion of MBS item groups claimed by SHM specialists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90" cy="2906348"/>
                    </a:xfrm>
                    <a:prstGeom prst="rect">
                      <a:avLst/>
                    </a:prstGeom>
                    <a:noFill/>
                    <a:ln>
                      <a:noFill/>
                    </a:ln>
                  </pic:spPr>
                </pic:pic>
              </a:graphicData>
            </a:graphic>
          </wp:inline>
        </w:drawing>
      </w:r>
    </w:p>
    <w:p w14:paraId="63E74A9B" w14:textId="77E010C3" w:rsidR="00117910" w:rsidRPr="00C32C3D" w:rsidRDefault="00117910" w:rsidP="00CF3A3C">
      <w:pPr>
        <w:pStyle w:val="Caption"/>
      </w:pPr>
      <w:bookmarkStart w:id="124" w:name="_Ref350872172"/>
      <w:bookmarkStart w:id="125" w:name="_Toc351129614"/>
      <w:r w:rsidRPr="00C32C3D">
        <w:t xml:space="preserve">Figure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2</w:t>
      </w:r>
      <w:r w:rsidR="008E6665">
        <w:rPr>
          <w:noProof/>
        </w:rPr>
        <w:fldChar w:fldCharType="end"/>
      </w:r>
      <w:bookmarkEnd w:id="124"/>
      <w:r w:rsidR="00632F42">
        <w:rPr>
          <w:noProof/>
        </w:rPr>
        <w:t>:</w:t>
      </w:r>
      <w:r w:rsidRPr="00C32C3D">
        <w:tab/>
      </w:r>
      <w:r w:rsidR="0034185C">
        <w:t xml:space="preserve">Proportion of </w:t>
      </w:r>
      <w:r>
        <w:t>MBS item group</w:t>
      </w:r>
      <w:r w:rsidR="0034185C">
        <w:t xml:space="preserve"> cost</w:t>
      </w:r>
      <w:r>
        <w:t xml:space="preserve">s for </w:t>
      </w:r>
      <w:r w:rsidR="00BB4ECE">
        <w:t>SHM</w:t>
      </w:r>
      <w:r w:rsidR="007D75BB">
        <w:t xml:space="preserve"> specialists (at $ </w:t>
      </w:r>
      <w:r>
        <w:t>2013)</w:t>
      </w:r>
      <w:bookmarkEnd w:id="125"/>
    </w:p>
    <w:p w14:paraId="3B260C1A" w14:textId="35EE40B5" w:rsidR="00EC5CFE" w:rsidRPr="009830BA" w:rsidRDefault="00A96446" w:rsidP="00FE683C">
      <w:pPr>
        <w:pStyle w:val="AspexBodyStandard"/>
        <w:jc w:val="left"/>
      </w:pPr>
      <w:r w:rsidRPr="00A96446">
        <w:rPr>
          <w:noProof/>
          <w:lang w:eastAsia="en-AU"/>
        </w:rPr>
        <w:drawing>
          <wp:inline distT="0" distB="0" distL="0" distR="0" wp14:anchorId="23857C14" wp14:editId="1E671F42">
            <wp:extent cx="5723890" cy="3260444"/>
            <wp:effectExtent l="0" t="0" r="0" b="0"/>
            <wp:docPr id="41" name="Picture 14" title="Figure 5 2: Proportion of MBS item group costs for SHM specialists (at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3890" cy="3260444"/>
                    </a:xfrm>
                    <a:prstGeom prst="rect">
                      <a:avLst/>
                    </a:prstGeom>
                    <a:noFill/>
                    <a:ln>
                      <a:noFill/>
                    </a:ln>
                  </pic:spPr>
                </pic:pic>
              </a:graphicData>
            </a:graphic>
          </wp:inline>
        </w:drawing>
      </w:r>
    </w:p>
    <w:p w14:paraId="3DAB1B96" w14:textId="2F6A5F86" w:rsidR="00180873" w:rsidRDefault="007D75BB" w:rsidP="00052019">
      <w:pPr>
        <w:pStyle w:val="AspexBodyStandard"/>
      </w:pPr>
      <w:r>
        <w:t xml:space="preserve">It was considered useful to compare the proportion of similar activities with data reported from General Practitioners (BEACH, 2012). Comparisons </w:t>
      </w:r>
      <w:r w:rsidR="00180873">
        <w:t xml:space="preserve">are presented in </w:t>
      </w:r>
      <w:r w:rsidR="00632F42">
        <w:fldChar w:fldCharType="begin"/>
      </w:r>
      <w:r w:rsidR="00632F42">
        <w:instrText xml:space="preserve"> REF _Ref350872196 \h </w:instrText>
      </w:r>
      <w:r w:rsidR="00632F42">
        <w:fldChar w:fldCharType="separate"/>
      </w:r>
      <w:r w:rsidR="008E6665" w:rsidRPr="00C32C3D">
        <w:t xml:space="preserve">Figure </w:t>
      </w:r>
      <w:r w:rsidR="008E6665">
        <w:rPr>
          <w:noProof/>
        </w:rPr>
        <w:t>5</w:t>
      </w:r>
      <w:r w:rsidR="008E6665">
        <w:noBreakHyphen/>
      </w:r>
      <w:r w:rsidR="008E6665">
        <w:rPr>
          <w:noProof/>
        </w:rPr>
        <w:t>3</w:t>
      </w:r>
      <w:r w:rsidR="00632F42">
        <w:fldChar w:fldCharType="end"/>
      </w:r>
      <w:r w:rsidR="00180873">
        <w:t xml:space="preserve"> and </w:t>
      </w:r>
      <w:r w:rsidR="00632F42">
        <w:fldChar w:fldCharType="begin"/>
      </w:r>
      <w:r w:rsidR="00632F42">
        <w:instrText xml:space="preserve"> REF _Ref350872208 \h </w:instrText>
      </w:r>
      <w:r w:rsidR="00632F42">
        <w:fldChar w:fldCharType="separate"/>
      </w:r>
      <w:r w:rsidR="008E6665" w:rsidRPr="00C32C3D">
        <w:t xml:space="preserve">Figure </w:t>
      </w:r>
      <w:r w:rsidR="008E6665">
        <w:rPr>
          <w:noProof/>
        </w:rPr>
        <w:t>5</w:t>
      </w:r>
      <w:r w:rsidR="008E6665">
        <w:noBreakHyphen/>
      </w:r>
      <w:r w:rsidR="008E6665">
        <w:rPr>
          <w:noProof/>
        </w:rPr>
        <w:t>4</w:t>
      </w:r>
      <w:r w:rsidR="00632F42">
        <w:fldChar w:fldCharType="end"/>
      </w:r>
      <w:r w:rsidR="00180873">
        <w:t>.</w:t>
      </w:r>
    </w:p>
    <w:p w14:paraId="19B2A577" w14:textId="115A1170" w:rsidR="00632F42" w:rsidRDefault="00632F42">
      <w:pPr>
        <w:spacing w:before="0" w:after="0" w:line="240" w:lineRule="auto"/>
      </w:pPr>
    </w:p>
    <w:p w14:paraId="684E10AC" w14:textId="51BDF10D" w:rsidR="007D75BB" w:rsidRPr="00C32C3D" w:rsidRDefault="007D75BB" w:rsidP="00CF3A3C">
      <w:pPr>
        <w:pStyle w:val="Caption"/>
      </w:pPr>
      <w:bookmarkStart w:id="126" w:name="_Ref350872196"/>
      <w:bookmarkStart w:id="127" w:name="_Toc351129615"/>
      <w:r w:rsidRPr="00C32C3D">
        <w:lastRenderedPageBreak/>
        <w:t xml:space="preserve">Figure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3</w:t>
      </w:r>
      <w:r w:rsidR="008E6665">
        <w:rPr>
          <w:noProof/>
        </w:rPr>
        <w:fldChar w:fldCharType="end"/>
      </w:r>
      <w:bookmarkEnd w:id="126"/>
      <w:r w:rsidR="00632F42">
        <w:rPr>
          <w:noProof/>
        </w:rPr>
        <w:t>:</w:t>
      </w:r>
      <w:r w:rsidRPr="00C32C3D">
        <w:tab/>
      </w:r>
      <w:r w:rsidR="004D7B84">
        <w:t xml:space="preserve">General Practice billing of MBS item groups for </w:t>
      </w:r>
      <w:r w:rsidR="00123CA1">
        <w:t>sexual health</w:t>
      </w:r>
      <w:r w:rsidR="004D7B84">
        <w:t xml:space="preserve"> problems</w:t>
      </w:r>
      <w:bookmarkEnd w:id="127"/>
    </w:p>
    <w:p w14:paraId="15E285C1" w14:textId="39478EA5" w:rsidR="004D6089" w:rsidRDefault="00A96446" w:rsidP="00FE683C">
      <w:pPr>
        <w:pStyle w:val="AspexBodyStandard"/>
        <w:jc w:val="left"/>
      </w:pPr>
      <w:r w:rsidRPr="00A96446">
        <w:rPr>
          <w:noProof/>
          <w:lang w:eastAsia="en-AU"/>
        </w:rPr>
        <w:drawing>
          <wp:inline distT="0" distB="0" distL="0" distR="0" wp14:anchorId="116CD7F0" wp14:editId="72407BA6">
            <wp:extent cx="5723890" cy="3434334"/>
            <wp:effectExtent l="0" t="0" r="0" b="0"/>
            <wp:docPr id="42" name="Picture 15" title="Figure 5 3: General Practice billing of MBS item groups for sexual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3890" cy="3434334"/>
                    </a:xfrm>
                    <a:prstGeom prst="rect">
                      <a:avLst/>
                    </a:prstGeom>
                    <a:noFill/>
                    <a:ln>
                      <a:noFill/>
                    </a:ln>
                  </pic:spPr>
                </pic:pic>
              </a:graphicData>
            </a:graphic>
          </wp:inline>
        </w:drawing>
      </w:r>
    </w:p>
    <w:p w14:paraId="2E320CD7" w14:textId="78B648C9" w:rsidR="000C1473" w:rsidRDefault="000C1473">
      <w:pPr>
        <w:spacing w:before="0" w:after="0" w:line="240" w:lineRule="auto"/>
      </w:pPr>
      <w:r>
        <w:br w:type="page"/>
      </w:r>
    </w:p>
    <w:p w14:paraId="04133578" w14:textId="77777777" w:rsidR="004D7B84" w:rsidRDefault="004D7B84" w:rsidP="007D75BB">
      <w:pPr>
        <w:pStyle w:val="AspexBodyStandard"/>
        <w:jc w:val="center"/>
      </w:pPr>
    </w:p>
    <w:p w14:paraId="512351C5" w14:textId="0CDB2C99" w:rsidR="004D7B84" w:rsidRPr="00C32C3D" w:rsidRDefault="004D7B84" w:rsidP="00CF3A3C">
      <w:pPr>
        <w:pStyle w:val="Caption"/>
      </w:pPr>
      <w:bookmarkStart w:id="128" w:name="_Ref350872208"/>
      <w:bookmarkStart w:id="129" w:name="_Toc351129616"/>
      <w:r w:rsidRPr="00C32C3D">
        <w:t xml:space="preserve">Figure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4</w:t>
      </w:r>
      <w:r w:rsidR="008E6665">
        <w:rPr>
          <w:noProof/>
        </w:rPr>
        <w:fldChar w:fldCharType="end"/>
      </w:r>
      <w:bookmarkEnd w:id="128"/>
      <w:r w:rsidR="00632F42">
        <w:rPr>
          <w:noProof/>
        </w:rPr>
        <w:t>:</w:t>
      </w:r>
      <w:r w:rsidRPr="00C32C3D">
        <w:tab/>
      </w:r>
      <w:r w:rsidR="000E2752">
        <w:t>Sexual health medicine</w:t>
      </w:r>
      <w:r>
        <w:t xml:space="preserve"> billing of MBS item groups for </w:t>
      </w:r>
      <w:r w:rsidR="00123CA1">
        <w:t>sexual health</w:t>
      </w:r>
      <w:r>
        <w:t xml:space="preserve"> problems</w:t>
      </w:r>
      <w:bookmarkEnd w:id="129"/>
    </w:p>
    <w:p w14:paraId="5304DF36" w14:textId="3D2300FF" w:rsidR="004D7B84" w:rsidRDefault="00A96446" w:rsidP="00FE683C">
      <w:pPr>
        <w:pStyle w:val="AspexBodyStandard"/>
        <w:jc w:val="left"/>
      </w:pPr>
      <w:r w:rsidRPr="00A96446">
        <w:rPr>
          <w:noProof/>
          <w:lang w:eastAsia="en-AU"/>
        </w:rPr>
        <w:drawing>
          <wp:inline distT="0" distB="0" distL="0" distR="0" wp14:anchorId="0B10A9FA" wp14:editId="2B64420B">
            <wp:extent cx="5723890" cy="3434334"/>
            <wp:effectExtent l="0" t="0" r="0" b="0"/>
            <wp:docPr id="43" name="Picture 16" title="Figure 5 4: Sexual health medicine billing of MBS item groups for sexual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3890" cy="3434334"/>
                    </a:xfrm>
                    <a:prstGeom prst="rect">
                      <a:avLst/>
                    </a:prstGeom>
                    <a:noFill/>
                    <a:ln>
                      <a:noFill/>
                    </a:ln>
                  </pic:spPr>
                </pic:pic>
              </a:graphicData>
            </a:graphic>
          </wp:inline>
        </w:drawing>
      </w:r>
    </w:p>
    <w:p w14:paraId="7CF402FD" w14:textId="12EE36FC" w:rsidR="00180873" w:rsidRDefault="00180873" w:rsidP="00180873">
      <w:pPr>
        <w:pStyle w:val="AspexBodyStandard"/>
      </w:pPr>
      <w:r>
        <w:t xml:space="preserve">The data revealed two notable differences in the clinical activities undertaken by </w:t>
      </w:r>
      <w:r w:rsidR="00913BF4">
        <w:t>GPs</w:t>
      </w:r>
      <w:r>
        <w:t xml:space="preserve"> compared with those undertaken by </w:t>
      </w:r>
      <w:r w:rsidR="000E2752" w:rsidRPr="000E2752">
        <w:t xml:space="preserve">sexual health medicine </w:t>
      </w:r>
      <w:r>
        <w:t>specialists:</w:t>
      </w:r>
    </w:p>
    <w:p w14:paraId="3823A516" w14:textId="0304D3FD" w:rsidR="00180873" w:rsidRDefault="000E2752" w:rsidP="00180873">
      <w:pPr>
        <w:pStyle w:val="AspexBullet1"/>
      </w:pPr>
      <w:r>
        <w:t>Sexual health medicine</w:t>
      </w:r>
      <w:r w:rsidR="00180873">
        <w:t xml:space="preserve"> specialists spend (on average) more time with patients compared with </w:t>
      </w:r>
      <w:r w:rsidR="00913BF4">
        <w:t>GPs</w:t>
      </w:r>
      <w:r w:rsidR="00180873">
        <w:t>; and</w:t>
      </w:r>
    </w:p>
    <w:p w14:paraId="4A811C87" w14:textId="00AB2512" w:rsidR="00180873" w:rsidRDefault="000E2752" w:rsidP="00180873">
      <w:pPr>
        <w:pStyle w:val="AspexBullet1"/>
      </w:pPr>
      <w:r>
        <w:t>Sexual health medicine</w:t>
      </w:r>
      <w:r w:rsidR="00180873">
        <w:t xml:space="preserve"> specialists spend more time in prolonged consultations, complex assessments, and multidisciplinary case conferencing </w:t>
      </w:r>
      <w:r w:rsidR="00104DE9">
        <w:t xml:space="preserve">(26%) </w:t>
      </w:r>
      <w:r w:rsidR="00180873">
        <w:t xml:space="preserve">compared with </w:t>
      </w:r>
      <w:r w:rsidR="00913BF4">
        <w:t>GPs</w:t>
      </w:r>
      <w:r w:rsidR="00104DE9">
        <w:t xml:space="preserve"> (3%)</w:t>
      </w:r>
      <w:r w:rsidR="00180873">
        <w:t>.</w:t>
      </w:r>
    </w:p>
    <w:p w14:paraId="56303139" w14:textId="54EC0023" w:rsidR="00180873" w:rsidRDefault="00180873" w:rsidP="00180873">
      <w:pPr>
        <w:pStyle w:val="AspexBodyStandard"/>
      </w:pPr>
      <w:r>
        <w:t xml:space="preserve">These findings are consistent with previous findings that </w:t>
      </w:r>
      <w:r w:rsidR="00D12576">
        <w:t>GPs</w:t>
      </w:r>
      <w:r>
        <w:t xml:space="preserve"> have more limited time to spend with patients experiencing </w:t>
      </w:r>
      <w:r w:rsidR="00104DE9">
        <w:t>sexual health</w:t>
      </w:r>
      <w:r>
        <w:t xml:space="preserve">-related problems.  They also identify that specialists spend more time in complex assessment and care-coordination. </w:t>
      </w:r>
    </w:p>
    <w:p w14:paraId="11DD2ACE" w14:textId="77777777" w:rsidR="00C202A9" w:rsidRPr="00424812" w:rsidRDefault="00B64666" w:rsidP="007333CE">
      <w:pPr>
        <w:pStyle w:val="Heading2"/>
      </w:pPr>
      <w:bookmarkStart w:id="130" w:name="_Toc351480536"/>
      <w:r w:rsidRPr="00424812">
        <w:t>Modelled</w:t>
      </w:r>
      <w:r w:rsidR="0087419D" w:rsidRPr="00424812">
        <w:t xml:space="preserve"> Costs of </w:t>
      </w:r>
      <w:r w:rsidRPr="00424812">
        <w:t>Current Expenditure</w:t>
      </w:r>
      <w:bookmarkEnd w:id="130"/>
    </w:p>
    <w:p w14:paraId="6CBFE52B" w14:textId="24CB74F6" w:rsidR="00A119C3" w:rsidRDefault="004F61D5" w:rsidP="00783F0E">
      <w:pPr>
        <w:pStyle w:val="AspexBodyStandard"/>
      </w:pPr>
      <w:r w:rsidRPr="00424812">
        <w:t xml:space="preserve">The cost of current expenditure on </w:t>
      </w:r>
      <w:r w:rsidR="000E2752" w:rsidRPr="00424812">
        <w:t>sexual health medicine</w:t>
      </w:r>
      <w:r w:rsidRPr="00424812">
        <w:t xml:space="preserve"> was modelled from available MBS data.  The approach to modelling is outlined in Appendix </w:t>
      </w:r>
      <w:r w:rsidR="00123CA1" w:rsidRPr="00424812">
        <w:t>6</w:t>
      </w:r>
      <w:r w:rsidRPr="00424812">
        <w:t>.</w:t>
      </w:r>
      <w:r w:rsidR="00783F0E" w:rsidRPr="00424812">
        <w:t xml:space="preserve"> </w:t>
      </w:r>
      <w:r w:rsidR="00B6602E" w:rsidRPr="00424812">
        <w:t xml:space="preserve">A summary of the data is shown below in </w:t>
      </w:r>
      <w:r w:rsidR="00B6602E" w:rsidRPr="00424812">
        <w:fldChar w:fldCharType="begin"/>
      </w:r>
      <w:r w:rsidR="00B6602E" w:rsidRPr="00424812">
        <w:instrText xml:space="preserve"> REF _Ref349634768 \h </w:instrText>
      </w:r>
      <w:r w:rsidR="00B6602E" w:rsidRPr="00424812">
        <w:fldChar w:fldCharType="separate"/>
      </w:r>
      <w:r w:rsidR="008E6665" w:rsidRPr="00424812">
        <w:t xml:space="preserve">Table </w:t>
      </w:r>
      <w:r w:rsidR="008E6665">
        <w:rPr>
          <w:noProof/>
        </w:rPr>
        <w:t>5</w:t>
      </w:r>
      <w:r w:rsidR="008E6665" w:rsidRPr="00424812">
        <w:noBreakHyphen/>
      </w:r>
      <w:r w:rsidR="008E6665">
        <w:rPr>
          <w:noProof/>
        </w:rPr>
        <w:t>3</w:t>
      </w:r>
      <w:r w:rsidR="00B6602E" w:rsidRPr="00424812">
        <w:fldChar w:fldCharType="end"/>
      </w:r>
      <w:r w:rsidR="00CE501A" w:rsidRPr="00424812">
        <w:t xml:space="preserve">, and </w:t>
      </w:r>
      <w:r w:rsidR="00D12576">
        <w:t xml:space="preserve">has been </w:t>
      </w:r>
      <w:r w:rsidR="00CE501A" w:rsidRPr="00424812">
        <w:t>used as a basis for comparison modelling of alternative billing scenarios described in Chapter 6 and presented in Chapter 7.</w:t>
      </w:r>
    </w:p>
    <w:p w14:paraId="2C52D058" w14:textId="77777777" w:rsidR="00A119C3" w:rsidRDefault="00A119C3" w:rsidP="00A119C3">
      <w:pPr>
        <w:pStyle w:val="AspexBodyStandard"/>
      </w:pPr>
      <w:r>
        <w:br w:type="page"/>
      </w:r>
    </w:p>
    <w:p w14:paraId="391713BB" w14:textId="4A3C5637" w:rsidR="008F3879" w:rsidRDefault="00B6602E" w:rsidP="00CF69FF">
      <w:pPr>
        <w:pStyle w:val="Caption"/>
        <w:spacing w:before="0"/>
      </w:pPr>
      <w:bookmarkStart w:id="131" w:name="_Ref349634768"/>
      <w:bookmarkStart w:id="132" w:name="_Toc349634727"/>
      <w:bookmarkStart w:id="133" w:name="_Toc351129886"/>
      <w:r w:rsidRPr="00424812">
        <w:lastRenderedPageBreak/>
        <w:t xml:space="preserve">Table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A60D98" w:rsidRPr="00424812">
        <w:noBreakHyphen/>
      </w:r>
      <w:r w:rsidR="008E6665">
        <w:fldChar w:fldCharType="begin"/>
      </w:r>
      <w:r w:rsidR="008E6665">
        <w:instrText xml:space="preserve"> SEQ Table \* ARABIC \s 1 </w:instrText>
      </w:r>
      <w:r w:rsidR="008E6665">
        <w:fldChar w:fldCharType="separate"/>
      </w:r>
      <w:r w:rsidR="008E6665">
        <w:rPr>
          <w:noProof/>
        </w:rPr>
        <w:t>3</w:t>
      </w:r>
      <w:r w:rsidR="008E6665">
        <w:rPr>
          <w:noProof/>
        </w:rPr>
        <w:fldChar w:fldCharType="end"/>
      </w:r>
      <w:bookmarkEnd w:id="131"/>
      <w:r w:rsidRPr="00424812">
        <w:rPr>
          <w:noProof/>
        </w:rPr>
        <w:t>:</w:t>
      </w:r>
      <w:r w:rsidRPr="00424812">
        <w:tab/>
      </w:r>
      <w:bookmarkEnd w:id="132"/>
      <w:r w:rsidRPr="00424812">
        <w:t xml:space="preserve">Summary of sample MBS billing data – </w:t>
      </w:r>
      <w:r w:rsidR="008C29C6" w:rsidRPr="00424812">
        <w:t>Sexual Health Medicine</w:t>
      </w:r>
      <w:bookmarkEnd w:id="133"/>
    </w:p>
    <w:bookmarkStart w:id="134" w:name="_MON_1425372840"/>
    <w:bookmarkEnd w:id="134"/>
    <w:p w14:paraId="3BC46129" w14:textId="4168770A" w:rsidR="002B2681" w:rsidRPr="00C5427C" w:rsidRDefault="00005DC8" w:rsidP="00C5427C">
      <w:pPr>
        <w:pStyle w:val="AspexBodyStandard"/>
      </w:pPr>
      <w:r>
        <w:object w:dxaOrig="9235" w:dyaOrig="2953" w14:anchorId="4D6416A8">
          <v:shape id="_x0000_i1035" type="#_x0000_t75" alt="Table 5 3: Summary of sample MBS billing data – Sexual Health Medicine" style="width:461.25pt;height:147pt" o:ole="">
            <v:imagedata r:id="rId59" o:title=""/>
          </v:shape>
          <o:OLEObject Type="Embed" ProgID="Word.Document.12" ShapeID="_x0000_i1035" DrawAspect="Content" ObjectID="_1457429610" r:id="rId60">
            <o:FieldCodes>\s</o:FieldCodes>
          </o:OLEObject>
        </w:object>
      </w:r>
      <w:r w:rsidR="00783F0E" w:rsidRPr="00C5427C">
        <w:t xml:space="preserve">The overall number of services within the limited time series </w:t>
      </w:r>
      <w:r w:rsidR="001C65D3" w:rsidRPr="00C5427C">
        <w:t>increased in 2011</w:t>
      </w:r>
      <w:r w:rsidR="00D00AAE" w:rsidRPr="00C5427C">
        <w:t xml:space="preserve"> to 73,171 </w:t>
      </w:r>
      <w:r w:rsidR="00C5427C">
        <w:t xml:space="preserve">(7.5%) </w:t>
      </w:r>
      <w:r w:rsidR="00D00AAE" w:rsidRPr="00C5427C">
        <w:t xml:space="preserve">with a </w:t>
      </w:r>
      <w:r w:rsidR="00C5427C">
        <w:t>further modest</w:t>
      </w:r>
      <w:r w:rsidR="00D00AAE" w:rsidRPr="00C5427C">
        <w:t xml:space="preserve"> increase in 2012 to 73,807 </w:t>
      </w:r>
      <w:r w:rsidR="00C5427C">
        <w:t>(0.08%)</w:t>
      </w:r>
      <w:r w:rsidR="00D00AAE" w:rsidRPr="00C5427C">
        <w:t>.</w:t>
      </w:r>
      <w:r w:rsidR="00783F0E" w:rsidRPr="00C5427C">
        <w:t xml:space="preserve">  Benefits to specialists followed a parallel trajectory, however </w:t>
      </w:r>
      <w:r w:rsidR="003B7CD2" w:rsidRPr="00C5427C">
        <w:t>out-of-pocket</w:t>
      </w:r>
      <w:r w:rsidR="00783F0E" w:rsidRPr="00C5427C">
        <w:t xml:space="preserve"> costs to the consumer followed </w:t>
      </w:r>
      <w:r w:rsidR="00D00AAE" w:rsidRPr="00C5427C">
        <w:t xml:space="preserve">a slightly </w:t>
      </w:r>
      <w:r w:rsidR="00783F0E" w:rsidRPr="00C5427C">
        <w:t xml:space="preserve">different pattern.  </w:t>
      </w:r>
      <w:r w:rsidR="003B7CD2" w:rsidRPr="00C5427C">
        <w:t>Out-of-pocket</w:t>
      </w:r>
      <w:r w:rsidR="00783F0E" w:rsidRPr="00C5427C">
        <w:t xml:space="preserve"> costs </w:t>
      </w:r>
      <w:r w:rsidR="00D00AAE" w:rsidRPr="00C5427C">
        <w:t>in</w:t>
      </w:r>
      <w:r w:rsidR="00783F0E" w:rsidRPr="00C5427C">
        <w:t xml:space="preserve">creased in 2011 and </w:t>
      </w:r>
      <w:r w:rsidR="00D00AAE" w:rsidRPr="00C5427C">
        <w:t xml:space="preserve">then showed a slight decline </w:t>
      </w:r>
      <w:r w:rsidR="00783F0E" w:rsidRPr="00C5427C">
        <w:t>in 2012</w:t>
      </w:r>
      <w:r w:rsidR="00D00AAE" w:rsidRPr="00C5427C">
        <w:t>.</w:t>
      </w:r>
    </w:p>
    <w:p w14:paraId="77D03EA7" w14:textId="77777777" w:rsidR="00B6602E" w:rsidRPr="00A30DB2" w:rsidRDefault="00B6602E" w:rsidP="00F44503">
      <w:pPr>
        <w:pStyle w:val="Heading3"/>
      </w:pPr>
      <w:r w:rsidRPr="00A30DB2">
        <w:t>Demand and Financial Projections</w:t>
      </w:r>
    </w:p>
    <w:p w14:paraId="0B0087EE" w14:textId="1132C533" w:rsidR="00B6602E" w:rsidRPr="00A30DB2" w:rsidRDefault="00B6602E" w:rsidP="00B6602E">
      <w:pPr>
        <w:pStyle w:val="AspexBodyStandard"/>
      </w:pPr>
      <w:r w:rsidRPr="00A30DB2">
        <w:t xml:space="preserve">Separate growth estimates were identified for “assessment” and “treatment” type items. These growth factors were then applied to the MBS sample data shown in </w:t>
      </w:r>
      <w:r w:rsidRPr="00A30DB2">
        <w:fldChar w:fldCharType="begin"/>
      </w:r>
      <w:r w:rsidRPr="00A30DB2">
        <w:instrText xml:space="preserve"> REF _Ref349634768 \h </w:instrText>
      </w:r>
      <w:r w:rsidRPr="00A30DB2">
        <w:fldChar w:fldCharType="separate"/>
      </w:r>
      <w:r w:rsidR="008E6665" w:rsidRPr="00424812">
        <w:t xml:space="preserve">Table </w:t>
      </w:r>
      <w:r w:rsidR="008E6665">
        <w:rPr>
          <w:noProof/>
        </w:rPr>
        <w:t>5</w:t>
      </w:r>
      <w:r w:rsidR="008E6665" w:rsidRPr="00424812">
        <w:noBreakHyphen/>
      </w:r>
      <w:r w:rsidR="008E6665">
        <w:rPr>
          <w:noProof/>
        </w:rPr>
        <w:t>3</w:t>
      </w:r>
      <w:r w:rsidRPr="00A30DB2">
        <w:fldChar w:fldCharType="end"/>
      </w:r>
      <w:r w:rsidRPr="00A30DB2">
        <w:t xml:space="preserve"> and the results are provided in </w:t>
      </w:r>
      <w:r w:rsidRPr="00A30DB2">
        <w:fldChar w:fldCharType="begin"/>
      </w:r>
      <w:r w:rsidRPr="00A30DB2">
        <w:instrText xml:space="preserve"> REF _Ref349641222 \h </w:instrText>
      </w:r>
      <w:r w:rsidRPr="00A30DB2">
        <w:fldChar w:fldCharType="separate"/>
      </w:r>
      <w:r w:rsidR="008E6665" w:rsidRPr="00A30DB2">
        <w:t xml:space="preserve">Table </w:t>
      </w:r>
      <w:r w:rsidR="008E6665">
        <w:rPr>
          <w:noProof/>
        </w:rPr>
        <w:t>5</w:t>
      </w:r>
      <w:r w:rsidR="008E6665" w:rsidRPr="00A30DB2">
        <w:noBreakHyphen/>
      </w:r>
      <w:r w:rsidR="008E6665">
        <w:rPr>
          <w:noProof/>
        </w:rPr>
        <w:t>4</w:t>
      </w:r>
      <w:r w:rsidRPr="00A30DB2">
        <w:fldChar w:fldCharType="end"/>
      </w:r>
      <w:r w:rsidRPr="00A30DB2">
        <w:t xml:space="preserve">. </w:t>
      </w:r>
    </w:p>
    <w:p w14:paraId="2E6B614C" w14:textId="6143121B" w:rsidR="00B6602E" w:rsidRDefault="00D12576" w:rsidP="00B6602E">
      <w:pPr>
        <w:pStyle w:val="AspexBodyStandard"/>
        <w:rPr>
          <w:b/>
          <w:i/>
        </w:rPr>
      </w:pPr>
      <w:r>
        <w:rPr>
          <w:b/>
          <w:i/>
        </w:rPr>
        <w:t>N</w:t>
      </w:r>
      <w:r w:rsidR="00B6602E" w:rsidRPr="00A30DB2">
        <w:rPr>
          <w:b/>
          <w:i/>
        </w:rPr>
        <w:t xml:space="preserve">ote that the amounts shown for 2013 to 2015 are expressed in terms of 2012 dollars. The impact of inflation is included in </w:t>
      </w:r>
      <w:r w:rsidR="002B2681" w:rsidRPr="00A30DB2">
        <w:rPr>
          <w:b/>
          <w:i/>
        </w:rPr>
        <w:t>Chapter 7</w:t>
      </w:r>
      <w:r w:rsidR="00B6602E" w:rsidRPr="00A30DB2">
        <w:rPr>
          <w:b/>
          <w:i/>
        </w:rPr>
        <w:t>.</w:t>
      </w:r>
    </w:p>
    <w:p w14:paraId="2F27BB00" w14:textId="22D13162" w:rsidR="00B6602E" w:rsidRDefault="00B6602E" w:rsidP="00005DC8">
      <w:pPr>
        <w:pStyle w:val="Caption"/>
        <w:spacing w:before="360"/>
      </w:pPr>
      <w:bookmarkStart w:id="135" w:name="_Ref349641222"/>
      <w:bookmarkStart w:id="136" w:name="_Toc351129887"/>
      <w:r w:rsidRPr="00A30DB2">
        <w:t xml:space="preserve">Table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A60D98" w:rsidRPr="00A30DB2">
        <w:noBreakHyphen/>
      </w:r>
      <w:r w:rsidR="008E6665">
        <w:fldChar w:fldCharType="begin"/>
      </w:r>
      <w:r w:rsidR="008E6665">
        <w:instrText xml:space="preserve"> SEQ Table \* ARABIC \s 1 </w:instrText>
      </w:r>
      <w:r w:rsidR="008E6665">
        <w:fldChar w:fldCharType="separate"/>
      </w:r>
      <w:r w:rsidR="008E6665">
        <w:rPr>
          <w:noProof/>
        </w:rPr>
        <w:t>4</w:t>
      </w:r>
      <w:r w:rsidR="008E6665">
        <w:rPr>
          <w:noProof/>
        </w:rPr>
        <w:fldChar w:fldCharType="end"/>
      </w:r>
      <w:bookmarkEnd w:id="135"/>
      <w:r w:rsidRPr="00A30DB2">
        <w:rPr>
          <w:noProof/>
        </w:rPr>
        <w:t>:</w:t>
      </w:r>
      <w:r w:rsidRPr="00A30DB2">
        <w:tab/>
        <w:t xml:space="preserve">Estimated MBS billing data for total demand – </w:t>
      </w:r>
      <w:r w:rsidR="008C29C6" w:rsidRPr="00A30DB2">
        <w:t>Sexual Health Medicine</w:t>
      </w:r>
      <w:bookmarkEnd w:id="136"/>
    </w:p>
    <w:bookmarkStart w:id="137" w:name="_MON_1425372899"/>
    <w:bookmarkEnd w:id="137"/>
    <w:p w14:paraId="223DB2BD" w14:textId="6968F01A" w:rsidR="00B6602E" w:rsidRPr="00B578FC" w:rsidRDefault="00005DC8" w:rsidP="00B6602E">
      <w:pPr>
        <w:pStyle w:val="AspexBodyStandard"/>
      </w:pPr>
      <w:r>
        <w:object w:dxaOrig="9235" w:dyaOrig="2451" w14:anchorId="372A7132">
          <v:shape id="_x0000_i1036" type="#_x0000_t75" alt="Table 5 4: Estimated MBS billing data for total demand – Sexual Health Medicine" style="width:461.25pt;height:123pt" o:ole="">
            <v:imagedata r:id="rId61" o:title=""/>
          </v:shape>
          <o:OLEObject Type="Embed" ProgID="Word.Document.12" ShapeID="_x0000_i1036" DrawAspect="Content" ObjectID="_1457429611" r:id="rId62">
            <o:FieldCodes>\s</o:FieldCodes>
          </o:OLEObject>
        </w:object>
      </w:r>
      <w:r w:rsidR="000E2752" w:rsidRPr="00B578FC">
        <w:t>Sexual health medicine</w:t>
      </w:r>
      <w:r w:rsidR="00B6602E" w:rsidRPr="00B578FC">
        <w:t xml:space="preserve"> demand is estimated at </w:t>
      </w:r>
      <w:r w:rsidR="00397D46" w:rsidRPr="00B578FC">
        <w:t>76,857</w:t>
      </w:r>
      <w:r w:rsidR="00B6602E" w:rsidRPr="00B578FC">
        <w:t xml:space="preserve"> services in 2012 and this is expected to </w:t>
      </w:r>
      <w:r w:rsidR="00397D46" w:rsidRPr="00B578FC">
        <w:t xml:space="preserve">increase </w:t>
      </w:r>
      <w:r w:rsidR="00B6602E" w:rsidRPr="00B578FC">
        <w:t xml:space="preserve">to </w:t>
      </w:r>
      <w:r w:rsidR="00397D46" w:rsidRPr="00B578FC">
        <w:t>85,736</w:t>
      </w:r>
      <w:r w:rsidR="00B6602E" w:rsidRPr="00B578FC">
        <w:t xml:space="preserve"> services by 2015. Benefits paid over the same period </w:t>
      </w:r>
      <w:r w:rsidR="00397D46" w:rsidRPr="00B578FC">
        <w:t>increase</w:t>
      </w:r>
      <w:r w:rsidR="00D30560">
        <w:t>d</w:t>
      </w:r>
      <w:r w:rsidR="00397D46" w:rsidRPr="00B578FC">
        <w:t xml:space="preserve"> </w:t>
      </w:r>
      <w:r w:rsidR="00B6602E" w:rsidRPr="00B578FC">
        <w:t>from $</w:t>
      </w:r>
      <w:r w:rsidR="00397D46" w:rsidRPr="00B578FC">
        <w:t>5.144</w:t>
      </w:r>
      <w:r w:rsidR="00B6602E" w:rsidRPr="00B578FC">
        <w:t>m in 2012 to $</w:t>
      </w:r>
      <w:r w:rsidR="00397D46" w:rsidRPr="00B578FC">
        <w:t>5.723</w:t>
      </w:r>
      <w:r w:rsidR="00B6602E" w:rsidRPr="00B578FC">
        <w:t>m in 2015</w:t>
      </w:r>
      <w:r w:rsidR="00397D46" w:rsidRPr="00B578FC">
        <w:t xml:space="preserve"> (unindexed)</w:t>
      </w:r>
      <w:r w:rsidR="00B6602E" w:rsidRPr="00B578FC">
        <w:t>.</w:t>
      </w:r>
    </w:p>
    <w:p w14:paraId="33FEB7EE" w14:textId="433CB956" w:rsidR="00B6602E" w:rsidRDefault="00B6602E" w:rsidP="00F333A1">
      <w:pPr>
        <w:spacing w:before="0" w:after="0" w:line="240" w:lineRule="auto"/>
      </w:pPr>
      <w:r w:rsidRPr="00B578FC">
        <w:fldChar w:fldCharType="begin"/>
      </w:r>
      <w:r w:rsidRPr="00B578FC">
        <w:instrText xml:space="preserve"> REF _Ref349720345 \h </w:instrText>
      </w:r>
      <w:r w:rsidRPr="00B578FC">
        <w:fldChar w:fldCharType="separate"/>
      </w:r>
      <w:r w:rsidR="008E6665" w:rsidRPr="00B578FC">
        <w:t xml:space="preserve">Figure </w:t>
      </w:r>
      <w:r w:rsidR="008E6665">
        <w:rPr>
          <w:noProof/>
        </w:rPr>
        <w:t>5</w:t>
      </w:r>
      <w:r w:rsidR="008E6665">
        <w:noBreakHyphen/>
      </w:r>
      <w:r w:rsidR="008E6665">
        <w:rPr>
          <w:noProof/>
        </w:rPr>
        <w:t>5</w:t>
      </w:r>
      <w:r w:rsidRPr="00B578FC">
        <w:fldChar w:fldCharType="end"/>
      </w:r>
      <w:r w:rsidRPr="00B578FC">
        <w:t xml:space="preserve"> and</w:t>
      </w:r>
      <w:r w:rsidR="00D30560">
        <w:t xml:space="preserve"> </w:t>
      </w:r>
      <w:r w:rsidR="00CD59CE">
        <w:fldChar w:fldCharType="begin"/>
      </w:r>
      <w:r w:rsidR="00CD59CE">
        <w:instrText xml:space="preserve"> REF _Ref225128532 \h </w:instrText>
      </w:r>
      <w:r w:rsidR="00CD59CE">
        <w:fldChar w:fldCharType="separate"/>
      </w:r>
      <w:r w:rsidR="008E6665">
        <w:t xml:space="preserve">Figure </w:t>
      </w:r>
      <w:r w:rsidR="008E6665">
        <w:rPr>
          <w:noProof/>
        </w:rPr>
        <w:t>5</w:t>
      </w:r>
      <w:r w:rsidR="008E6665">
        <w:noBreakHyphen/>
      </w:r>
      <w:r w:rsidR="008E6665">
        <w:rPr>
          <w:noProof/>
        </w:rPr>
        <w:t>6</w:t>
      </w:r>
      <w:r w:rsidR="00CD59CE">
        <w:fldChar w:fldCharType="end"/>
      </w:r>
      <w:r w:rsidR="00D30560">
        <w:t xml:space="preserve">  </w:t>
      </w:r>
      <w:r w:rsidRPr="00B578FC">
        <w:t xml:space="preserve"> show the average charge, benefit and out-of-pocket amounts for treatment and assessment services respectively under current operating conditions</w:t>
      </w:r>
      <w:r w:rsidR="00CD59CE">
        <w:t>.</w:t>
      </w:r>
    </w:p>
    <w:p w14:paraId="6015EFFF" w14:textId="44A4FA1B" w:rsidR="003C07BB" w:rsidRDefault="003C07BB">
      <w:pPr>
        <w:spacing w:before="0" w:after="0" w:line="240" w:lineRule="auto"/>
      </w:pPr>
      <w:r>
        <w:br w:type="page"/>
      </w:r>
    </w:p>
    <w:p w14:paraId="4DE2F2F0" w14:textId="4B05BF55" w:rsidR="00B6602E" w:rsidRPr="00B578FC" w:rsidRDefault="00B6602E" w:rsidP="00CF3A3C">
      <w:pPr>
        <w:pStyle w:val="Caption"/>
      </w:pPr>
      <w:bookmarkStart w:id="138" w:name="_Ref349720345"/>
      <w:bookmarkStart w:id="139" w:name="_Toc351129617"/>
      <w:r w:rsidRPr="00B578FC">
        <w:lastRenderedPageBreak/>
        <w:t xml:space="preserve">Figure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rsidR="00D30560">
        <w:noBreakHyphen/>
      </w:r>
      <w:r w:rsidR="008E6665">
        <w:fldChar w:fldCharType="begin"/>
      </w:r>
      <w:r w:rsidR="008E6665">
        <w:instrText xml:space="preserve"> SEQ Figure </w:instrText>
      </w:r>
      <w:r w:rsidR="008E6665">
        <w:instrText xml:space="preserve">\* ARABIC \s 1 </w:instrText>
      </w:r>
      <w:r w:rsidR="008E6665">
        <w:fldChar w:fldCharType="separate"/>
      </w:r>
      <w:r w:rsidR="008E6665">
        <w:rPr>
          <w:noProof/>
        </w:rPr>
        <w:t>5</w:t>
      </w:r>
      <w:r w:rsidR="008E6665">
        <w:rPr>
          <w:noProof/>
        </w:rPr>
        <w:fldChar w:fldCharType="end"/>
      </w:r>
      <w:bookmarkEnd w:id="138"/>
      <w:r w:rsidRPr="00B578FC">
        <w:rPr>
          <w:noProof/>
        </w:rPr>
        <w:t>:</w:t>
      </w:r>
      <w:r w:rsidR="00AE66EA">
        <w:t xml:space="preserve"> </w:t>
      </w:r>
      <w:r w:rsidR="00632F42">
        <w:tab/>
      </w:r>
      <w:r w:rsidRPr="00B578FC">
        <w:t>Treatment services – Average $/service</w:t>
      </w:r>
      <w:bookmarkEnd w:id="139"/>
    </w:p>
    <w:p w14:paraId="168EB3FC" w14:textId="39273893" w:rsidR="00A863BF" w:rsidRPr="00964276" w:rsidRDefault="00A96446" w:rsidP="00FE683C">
      <w:pPr>
        <w:pStyle w:val="AspexBodyStandard"/>
        <w:jc w:val="left"/>
        <w:rPr>
          <w:highlight w:val="green"/>
        </w:rPr>
      </w:pPr>
      <w:r w:rsidRPr="00A96446">
        <w:rPr>
          <w:noProof/>
          <w:lang w:eastAsia="en-AU"/>
        </w:rPr>
        <w:drawing>
          <wp:inline distT="0" distB="0" distL="0" distR="0" wp14:anchorId="6EB84790" wp14:editId="4051EA33">
            <wp:extent cx="4834589" cy="2771831"/>
            <wp:effectExtent l="0" t="0" r="4445" b="0"/>
            <wp:docPr id="44" name="Picture 17" title="Figure 5 5:  Treatment services – Averag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0370" cy="2775145"/>
                    </a:xfrm>
                    <a:prstGeom prst="rect">
                      <a:avLst/>
                    </a:prstGeom>
                    <a:noFill/>
                    <a:ln>
                      <a:noFill/>
                    </a:ln>
                  </pic:spPr>
                </pic:pic>
              </a:graphicData>
            </a:graphic>
          </wp:inline>
        </w:drawing>
      </w:r>
    </w:p>
    <w:p w14:paraId="7B9B995E" w14:textId="12248457" w:rsidR="00B6602E" w:rsidRPr="00B578FC" w:rsidRDefault="00B6602E" w:rsidP="00B6602E">
      <w:pPr>
        <w:pStyle w:val="AspexBodyStandard"/>
      </w:pPr>
      <w:r w:rsidRPr="00B578FC">
        <w:t xml:space="preserve">In 2012, the </w:t>
      </w:r>
      <w:r w:rsidR="00B578FC">
        <w:t xml:space="preserve">weighted </w:t>
      </w:r>
      <w:r w:rsidRPr="00B578FC">
        <w:t>average charge for treatment type services was $</w:t>
      </w:r>
      <w:r w:rsidR="00872DAC" w:rsidRPr="00B578FC">
        <w:t>70.23</w:t>
      </w:r>
      <w:r w:rsidRPr="00B578FC">
        <w:t>, the benefit was $5</w:t>
      </w:r>
      <w:r w:rsidR="00872DAC" w:rsidRPr="00B578FC">
        <w:t>7.10</w:t>
      </w:r>
      <w:r w:rsidRPr="00B578FC">
        <w:t xml:space="preserve"> and the out-of-pocket amount was $</w:t>
      </w:r>
      <w:r w:rsidR="00872DAC" w:rsidRPr="00B578FC">
        <w:t>13.14</w:t>
      </w:r>
      <w:r w:rsidRPr="00B578FC">
        <w:t>.</w:t>
      </w:r>
    </w:p>
    <w:p w14:paraId="3C6BF328" w14:textId="5D9872C8" w:rsidR="00D30560" w:rsidRDefault="00D30560" w:rsidP="00CD59CE">
      <w:pPr>
        <w:spacing w:before="0" w:after="0" w:line="240" w:lineRule="auto"/>
      </w:pPr>
      <w:bookmarkStart w:id="140" w:name="_Ref349720357"/>
      <w:bookmarkStart w:id="141" w:name="_Toc351129618"/>
    </w:p>
    <w:p w14:paraId="1EC87A90" w14:textId="6D914C17" w:rsidR="00B6602E" w:rsidRPr="00B578FC" w:rsidRDefault="00D30560">
      <w:pPr>
        <w:pStyle w:val="Caption"/>
      </w:pPr>
      <w:bookmarkStart w:id="142" w:name="_Ref225128532"/>
      <w:r>
        <w:t xml:space="preserve">Figure </w:t>
      </w:r>
      <w:r w:rsidR="008E6665">
        <w:fldChar w:fldCharType="begin"/>
      </w:r>
      <w:r w:rsidR="008E6665">
        <w:instrText xml:space="preserve"> STYLEREF 1 \s </w:instrText>
      </w:r>
      <w:r w:rsidR="008E6665">
        <w:fldChar w:fldCharType="separate"/>
      </w:r>
      <w:r w:rsidR="008E6665">
        <w:rPr>
          <w:noProof/>
        </w:rPr>
        <w:t>5</w:t>
      </w:r>
      <w:r w:rsidR="008E6665">
        <w:rPr>
          <w:noProof/>
        </w:rPr>
        <w:fldChar w:fldCharType="end"/>
      </w:r>
      <w:r>
        <w:noBreakHyphen/>
      </w:r>
      <w:r w:rsidR="008E6665">
        <w:fldChar w:fldCharType="begin"/>
      </w:r>
      <w:r w:rsidR="008E6665">
        <w:instrText xml:space="preserve"> SEQ Figure \* ARABIC \s 1 </w:instrText>
      </w:r>
      <w:r w:rsidR="008E6665">
        <w:fldChar w:fldCharType="separate"/>
      </w:r>
      <w:r w:rsidR="008E6665">
        <w:rPr>
          <w:noProof/>
        </w:rPr>
        <w:t>6</w:t>
      </w:r>
      <w:r w:rsidR="008E6665">
        <w:rPr>
          <w:noProof/>
        </w:rPr>
        <w:fldChar w:fldCharType="end"/>
      </w:r>
      <w:bookmarkEnd w:id="140"/>
      <w:bookmarkEnd w:id="142"/>
      <w:r w:rsidR="002010BF">
        <w:t>:</w:t>
      </w:r>
      <w:r w:rsidR="002010BF">
        <w:tab/>
      </w:r>
      <w:r w:rsidR="00B6602E" w:rsidRPr="00B578FC">
        <w:t>Assessment services – Average $/service</w:t>
      </w:r>
      <w:bookmarkEnd w:id="141"/>
    </w:p>
    <w:p w14:paraId="0C12A40F" w14:textId="420A5716" w:rsidR="00A863BF" w:rsidRPr="00964276" w:rsidRDefault="00130FEA" w:rsidP="00FE683C">
      <w:pPr>
        <w:pStyle w:val="AspexBodyStandard"/>
        <w:jc w:val="left"/>
        <w:rPr>
          <w:highlight w:val="green"/>
        </w:rPr>
      </w:pPr>
      <w:r w:rsidRPr="00130FEA">
        <w:rPr>
          <w:noProof/>
          <w:lang w:eastAsia="en-AU"/>
        </w:rPr>
        <w:t xml:space="preserve"> </w:t>
      </w:r>
      <w:r w:rsidR="00A96446" w:rsidRPr="00A96446">
        <w:rPr>
          <w:noProof/>
          <w:lang w:eastAsia="en-AU"/>
        </w:rPr>
        <w:drawing>
          <wp:inline distT="0" distB="0" distL="0" distR="0" wp14:anchorId="66D6306F" wp14:editId="439BFB85">
            <wp:extent cx="5202632" cy="2989780"/>
            <wp:effectExtent l="0" t="0" r="0" b="1270"/>
            <wp:docPr id="45" name="Picture 18" title="Figure 5 6: Assessment services – Averag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3875" cy="2990494"/>
                    </a:xfrm>
                    <a:prstGeom prst="rect">
                      <a:avLst/>
                    </a:prstGeom>
                    <a:noFill/>
                    <a:ln>
                      <a:noFill/>
                    </a:ln>
                  </pic:spPr>
                </pic:pic>
              </a:graphicData>
            </a:graphic>
          </wp:inline>
        </w:drawing>
      </w:r>
    </w:p>
    <w:p w14:paraId="422C7A56" w14:textId="2AB7A826" w:rsidR="00B6602E" w:rsidRPr="006A7BB5" w:rsidRDefault="00B6602E" w:rsidP="00B6602E">
      <w:pPr>
        <w:pStyle w:val="AspexBodyStandard"/>
      </w:pPr>
      <w:r w:rsidRPr="00B578FC">
        <w:t xml:space="preserve">The </w:t>
      </w:r>
      <w:r w:rsidR="00B578FC" w:rsidRPr="00B578FC">
        <w:t xml:space="preserve">weighted </w:t>
      </w:r>
      <w:r w:rsidRPr="00B578FC">
        <w:t>averages for assessment type services in 2012 were a charge of $1</w:t>
      </w:r>
      <w:r w:rsidR="00130FEA" w:rsidRPr="00B578FC">
        <w:t>27.68</w:t>
      </w:r>
      <w:r w:rsidRPr="00B578FC">
        <w:t>, benefit $10</w:t>
      </w:r>
      <w:r w:rsidR="00130FEA" w:rsidRPr="00B578FC">
        <w:t>0.92</w:t>
      </w:r>
      <w:r w:rsidRPr="00B578FC">
        <w:t xml:space="preserve"> and out-of-pocket $</w:t>
      </w:r>
      <w:r w:rsidR="00130FEA" w:rsidRPr="00B578FC">
        <w:t>26.76</w:t>
      </w:r>
      <w:r w:rsidRPr="00B578FC">
        <w:t>.</w:t>
      </w:r>
    </w:p>
    <w:p w14:paraId="1804F854" w14:textId="77777777" w:rsidR="0087419D" w:rsidRDefault="00F67222" w:rsidP="007333CE">
      <w:pPr>
        <w:pStyle w:val="Heading1"/>
      </w:pPr>
      <w:bookmarkStart w:id="143" w:name="_Ref225136082"/>
      <w:bookmarkStart w:id="144" w:name="_Toc351480537"/>
      <w:r>
        <w:lastRenderedPageBreak/>
        <w:t xml:space="preserve">Options for </w:t>
      </w:r>
      <w:r w:rsidR="0087419D">
        <w:t xml:space="preserve">Future </w:t>
      </w:r>
      <w:r>
        <w:t xml:space="preserve">Private Sector </w:t>
      </w:r>
      <w:r w:rsidR="00730921">
        <w:t>Remuneration</w:t>
      </w:r>
      <w:bookmarkEnd w:id="143"/>
      <w:bookmarkEnd w:id="144"/>
      <w:r w:rsidR="0087419D">
        <w:t xml:space="preserve"> </w:t>
      </w:r>
    </w:p>
    <w:p w14:paraId="11B7642B" w14:textId="7A20F66D" w:rsidR="004A08DA" w:rsidRDefault="00023227" w:rsidP="00023227">
      <w:pPr>
        <w:pStyle w:val="AspexBodyStandard"/>
      </w:pPr>
      <w:r>
        <w:t xml:space="preserve">A number of dedicated MBS item numbers have been proposed in the Decision Analytic Protocol by MSAC, following earlier consultations with </w:t>
      </w:r>
      <w:r w:rsidR="000E2752" w:rsidRPr="000E2752">
        <w:t xml:space="preserve">sexual health medicine </w:t>
      </w:r>
      <w:r>
        <w:t>specialists.  A number of additional MBS items have been</w:t>
      </w:r>
      <w:r w:rsidR="00CD59CE">
        <w:t xml:space="preserve"> more recently suggested to </w:t>
      </w:r>
      <w:r>
        <w:t xml:space="preserve">align </w:t>
      </w:r>
      <w:r w:rsidR="00CD59CE">
        <w:t xml:space="preserve">the </w:t>
      </w:r>
      <w:r>
        <w:t xml:space="preserve">scope of practice of </w:t>
      </w:r>
      <w:r w:rsidR="000E2752" w:rsidRPr="000E2752">
        <w:t xml:space="preserve">sexual health medicine </w:t>
      </w:r>
      <w:r>
        <w:t>specialists in both public and private sectors.</w:t>
      </w:r>
    </w:p>
    <w:p w14:paraId="438A7B32" w14:textId="77777777" w:rsidR="00023227" w:rsidRDefault="00023227" w:rsidP="00023227">
      <w:pPr>
        <w:pStyle w:val="AspexBodyStandard"/>
      </w:pPr>
      <w:r>
        <w:t>These item numbers have been suggested in accordance with several key principles, including (but not necessarily limited to):</w:t>
      </w:r>
    </w:p>
    <w:p w14:paraId="32A50222" w14:textId="77777777" w:rsidR="00023227" w:rsidRDefault="00023227" w:rsidP="000E2752">
      <w:pPr>
        <w:pStyle w:val="AspexBullet1"/>
      </w:pPr>
      <w:r>
        <w:t xml:space="preserve">Professional recognition: Of the specialty of </w:t>
      </w:r>
      <w:r w:rsidR="000E2752" w:rsidRPr="000E2752">
        <w:t xml:space="preserve">sexual health medicine </w:t>
      </w:r>
      <w:r>
        <w:t>alongside other specialties acknowledged by the Australian Medical Council.</w:t>
      </w:r>
    </w:p>
    <w:p w14:paraId="7F4FAB70" w14:textId="5D9ABF56" w:rsidR="00023227" w:rsidRDefault="00023227" w:rsidP="000E2752">
      <w:pPr>
        <w:pStyle w:val="AspexBullet1"/>
      </w:pPr>
      <w:r>
        <w:t xml:space="preserve">Equity of reimbursement: Of </w:t>
      </w:r>
      <w:r w:rsidR="000E2752" w:rsidRPr="000E2752">
        <w:t xml:space="preserve">sexual health medicine </w:t>
      </w:r>
      <w:r w:rsidR="00CD59CE">
        <w:t>specialists in</w:t>
      </w:r>
      <w:r>
        <w:t xml:space="preserve"> an equivalent manner to other accredited specialists claiming on the MBS.</w:t>
      </w:r>
    </w:p>
    <w:p w14:paraId="2E70E6C4" w14:textId="77777777" w:rsidR="00731253" w:rsidRDefault="00731253" w:rsidP="00023227">
      <w:pPr>
        <w:pStyle w:val="AspexBullet1"/>
      </w:pPr>
      <w:r>
        <w:t>Safe and effective care: To enable patients to receive safe and effective interventions.</w:t>
      </w:r>
    </w:p>
    <w:p w14:paraId="3C51C971" w14:textId="77777777" w:rsidR="00023227" w:rsidRDefault="00023227" w:rsidP="00023227">
      <w:pPr>
        <w:pStyle w:val="AspexBullet1"/>
      </w:pPr>
      <w:r>
        <w:t xml:space="preserve">Responsiveness: To enable the best interests of patients to be addressed in a </w:t>
      </w:r>
      <w:r w:rsidR="00731253">
        <w:t xml:space="preserve">timely and </w:t>
      </w:r>
      <w:r>
        <w:t xml:space="preserve">comprehensive manner by </w:t>
      </w:r>
      <w:r w:rsidR="00731253">
        <w:t>the most appropriate specialist, rather than distributing service provision across multiple alternative service providers in order to meet patient need.</w:t>
      </w:r>
    </w:p>
    <w:p w14:paraId="28A9BE88" w14:textId="5739BC22" w:rsidR="00023227" w:rsidRDefault="00023227" w:rsidP="00023227">
      <w:pPr>
        <w:pStyle w:val="AspexBullet1"/>
      </w:pPr>
      <w:r>
        <w:t>Efficiency</w:t>
      </w:r>
      <w:r w:rsidR="00731253">
        <w:t xml:space="preserve">: To provide the most appropriate suite of services in order to </w:t>
      </w:r>
      <w:r w:rsidR="00CD59CE">
        <w:t xml:space="preserve">achieve maximum outcomes </w:t>
      </w:r>
      <w:r>
        <w:t xml:space="preserve">within a minimum number of occasions of service </w:t>
      </w:r>
      <w:r w:rsidR="00731253">
        <w:t>for each patient.</w:t>
      </w:r>
    </w:p>
    <w:p w14:paraId="12FF3004" w14:textId="77777777" w:rsidR="00731253" w:rsidRDefault="00731253" w:rsidP="00023227">
      <w:pPr>
        <w:pStyle w:val="AspexBullet1"/>
      </w:pPr>
      <w:r>
        <w:t>Access to services: By promoting workforce development of the specialty area to increase specialist supply in both the public and private sectors.</w:t>
      </w:r>
    </w:p>
    <w:p w14:paraId="62E1BD4D" w14:textId="77777777" w:rsidR="00731253" w:rsidRDefault="00731253" w:rsidP="00731253">
      <w:pPr>
        <w:pStyle w:val="AspexBullet1"/>
      </w:pPr>
      <w:r>
        <w:t xml:space="preserve">Care co-ordination: To streamline access to the most appropriate range of medical, psychological, social, and legal services required to address the needs of patients with </w:t>
      </w:r>
      <w:r w:rsidR="00123CA1">
        <w:t>sexual health</w:t>
      </w:r>
      <w:r>
        <w:t xml:space="preserve"> related problems.</w:t>
      </w:r>
    </w:p>
    <w:p w14:paraId="0928277D" w14:textId="77777777" w:rsidR="00731253" w:rsidRDefault="00731253" w:rsidP="00023227">
      <w:pPr>
        <w:pStyle w:val="AspexBullet1"/>
      </w:pPr>
      <w:r>
        <w:t xml:space="preserve">Minimal cost to consumers: To minimise </w:t>
      </w:r>
      <w:r w:rsidR="003B7CD2">
        <w:t>out-of-pocket</w:t>
      </w:r>
      <w:r>
        <w:t xml:space="preserve"> costs to consumers associated with multiple specialty referrals.</w:t>
      </w:r>
    </w:p>
    <w:p w14:paraId="647FAB31" w14:textId="77777777" w:rsidR="00023227" w:rsidRDefault="00023227" w:rsidP="00023227">
      <w:pPr>
        <w:pStyle w:val="AspexBullet1"/>
      </w:pPr>
      <w:r>
        <w:t>Ethical behaviour</w:t>
      </w:r>
      <w:r w:rsidR="00731253">
        <w:t xml:space="preserve">: To </w:t>
      </w:r>
      <w:r>
        <w:t>minimise over servicing to patients whilst maximising potential benefits of clinical interventions (however applied in accordance with best available evidence)</w:t>
      </w:r>
      <w:r w:rsidR="00731253">
        <w:t>.</w:t>
      </w:r>
    </w:p>
    <w:p w14:paraId="10D76D44" w14:textId="77777777" w:rsidR="00023227" w:rsidRDefault="00ED7199" w:rsidP="00023227">
      <w:pPr>
        <w:pStyle w:val="AspexBodyStandard"/>
      </w:pPr>
      <w:r>
        <w:t>Proposed options for future MBS billing arrangements are presented in the following sections.</w:t>
      </w:r>
    </w:p>
    <w:p w14:paraId="338783D9" w14:textId="77777777" w:rsidR="002C14D4" w:rsidRDefault="002C14D4" w:rsidP="007333CE">
      <w:pPr>
        <w:pStyle w:val="Heading2"/>
      </w:pPr>
      <w:bookmarkStart w:id="145" w:name="_Toc351480538"/>
      <w:r>
        <w:t xml:space="preserve">MBS items for Professional </w:t>
      </w:r>
      <w:r w:rsidR="009D0DCE">
        <w:t>attendances</w:t>
      </w:r>
      <w:bookmarkEnd w:id="145"/>
    </w:p>
    <w:p w14:paraId="70D9F3DF" w14:textId="77777777" w:rsidR="001905EE" w:rsidRDefault="00D16D93" w:rsidP="002C14D4">
      <w:pPr>
        <w:pStyle w:val="AspexBodyStandard"/>
      </w:pPr>
      <w:r>
        <w:t xml:space="preserve">Two </w:t>
      </w:r>
      <w:r w:rsidR="002743FF">
        <w:t>options for MBS items</w:t>
      </w:r>
      <w:r>
        <w:t xml:space="preserve"> have been proposed to reimburse professional consultations undertaken by </w:t>
      </w:r>
      <w:r w:rsidR="000E2752" w:rsidRPr="000E2752">
        <w:t xml:space="preserve">sexual health medicine </w:t>
      </w:r>
      <w:r>
        <w:t>specialists</w:t>
      </w:r>
      <w:r w:rsidR="003B7CD2">
        <w:t>.</w:t>
      </w:r>
    </w:p>
    <w:p w14:paraId="746D9C42" w14:textId="1D5C7AEB" w:rsidR="00A130C4" w:rsidRDefault="00A130C4" w:rsidP="00F44503">
      <w:pPr>
        <w:pStyle w:val="Heading4"/>
      </w:pPr>
      <w:r>
        <w:t>Physician equivalent items</w:t>
      </w:r>
    </w:p>
    <w:p w14:paraId="2C107FB2" w14:textId="77777777" w:rsidR="002743FF" w:rsidRDefault="002743FF" w:rsidP="002743FF">
      <w:pPr>
        <w:pStyle w:val="AspexBodyStandard"/>
      </w:pPr>
      <w:r>
        <w:t>Option 1 would involve “Physician equivalent” items enabling access to the A4 MBS Group. Specifically, this level of remuneration would enable specialists to claim reimbursement for:</w:t>
      </w:r>
    </w:p>
    <w:p w14:paraId="0FFFA2EA" w14:textId="77777777" w:rsidR="002743FF" w:rsidRDefault="00C028F5" w:rsidP="002743FF">
      <w:pPr>
        <w:pStyle w:val="AspexBullet1"/>
      </w:pPr>
      <w:r>
        <w:t xml:space="preserve">One initial </w:t>
      </w:r>
      <w:r w:rsidR="008C29C6">
        <w:t>attendance</w:t>
      </w:r>
      <w:r w:rsidR="002743FF">
        <w:t>; and</w:t>
      </w:r>
    </w:p>
    <w:p w14:paraId="5D1996EA" w14:textId="77777777" w:rsidR="002743FF" w:rsidRDefault="002743FF" w:rsidP="002743FF">
      <w:pPr>
        <w:pStyle w:val="AspexBullet1"/>
      </w:pPr>
      <w:r>
        <w:lastRenderedPageBreak/>
        <w:t>An unlimited num</w:t>
      </w:r>
      <w:r w:rsidR="00C028F5">
        <w:t xml:space="preserve">ber of </w:t>
      </w:r>
      <w:r w:rsidR="008C29C6">
        <w:t>subsequent attendances</w:t>
      </w:r>
      <w:r>
        <w:t>.</w:t>
      </w:r>
    </w:p>
    <w:p w14:paraId="39BF79C8" w14:textId="77777777" w:rsidR="002743FF" w:rsidRDefault="008C29C6" w:rsidP="002743FF">
      <w:pPr>
        <w:pStyle w:val="AspexBodyStandard"/>
      </w:pPr>
      <w:r>
        <w:t>This approach would parallel the current MBS items 110 (for initial attendance) and 116 (subsequent attendance</w:t>
      </w:r>
      <w:r w:rsidR="00DB47DD">
        <w:t>) available</w:t>
      </w:r>
      <w:r>
        <w:t xml:space="preserve"> for physicians.</w:t>
      </w:r>
    </w:p>
    <w:p w14:paraId="01AFC148" w14:textId="0812745C" w:rsidR="00035AD3" w:rsidRDefault="00035AD3" w:rsidP="00CF3A3C">
      <w:pPr>
        <w:pStyle w:val="Caption"/>
      </w:pPr>
      <w:bookmarkStart w:id="146" w:name="_Toc351129619"/>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w:t>
      </w:r>
      <w:r w:rsidR="008E6665">
        <w:rPr>
          <w:noProof/>
        </w:rPr>
        <w:fldChar w:fldCharType="end"/>
      </w:r>
      <w:r w:rsidR="00632F42">
        <w:rPr>
          <w:noProof/>
        </w:rPr>
        <w:t>:</w:t>
      </w:r>
      <w:r w:rsidRPr="001905EE">
        <w:tab/>
        <w:t xml:space="preserve">Proposed </w:t>
      </w:r>
      <w:r>
        <w:t>structure</w:t>
      </w:r>
      <w:r w:rsidRPr="001905EE">
        <w:t xml:space="preserve"> for </w:t>
      </w:r>
      <w:r>
        <w:t>physician equivalent items</w:t>
      </w:r>
      <w:bookmarkEnd w:id="146"/>
    </w:p>
    <w:p w14:paraId="5EEB0A75" w14:textId="4706AB9D" w:rsidR="000C1378" w:rsidRDefault="000C1378" w:rsidP="000C1378">
      <w:pPr>
        <w:pStyle w:val="AspexBodyStandard"/>
      </w:pPr>
      <w:r>
        <w:rPr>
          <w:noProof/>
          <w:lang w:eastAsia="en-AU"/>
        </w:rPr>
        <w:drawing>
          <wp:inline distT="0" distB="0" distL="0" distR="0" wp14:anchorId="65F276BB" wp14:editId="58FF0DD8">
            <wp:extent cx="5588000" cy="2565400"/>
            <wp:effectExtent l="0" t="19050" r="0" b="25400"/>
            <wp:docPr id="35" name="Diagram 35" title="Figure 6 1: Proposed structure for physician equivalent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E968F8B" w14:textId="3F7EB1ED" w:rsidR="00035AD3" w:rsidRDefault="005A2327" w:rsidP="002743FF">
      <w:pPr>
        <w:pStyle w:val="AspexBodyStandard"/>
      </w:pPr>
      <w:r>
        <w:t xml:space="preserve">The proposed MBS item descriptors for physician equivalent items are presented in </w:t>
      </w:r>
      <w:r>
        <w:fldChar w:fldCharType="begin"/>
      </w:r>
      <w:r>
        <w:instrText xml:space="preserve"> REF _Ref224008867 \h </w:instrText>
      </w:r>
      <w:r>
        <w:fldChar w:fldCharType="separate"/>
      </w:r>
      <w:r w:rsidR="008E6665" w:rsidRPr="001905EE">
        <w:t xml:space="preserve">Figure </w:t>
      </w:r>
      <w:r w:rsidR="008E6665">
        <w:rPr>
          <w:noProof/>
        </w:rPr>
        <w:t>6</w:t>
      </w:r>
      <w:r w:rsidR="008E6665">
        <w:noBreakHyphen/>
      </w:r>
      <w:r w:rsidR="008E6665">
        <w:rPr>
          <w:noProof/>
        </w:rPr>
        <w:t>2</w:t>
      </w:r>
      <w:r>
        <w:fldChar w:fldCharType="end"/>
      </w:r>
      <w:r>
        <w:t>.</w:t>
      </w:r>
      <w:r w:rsidR="007142D4">
        <w:t xml:space="preserve"> </w:t>
      </w:r>
    </w:p>
    <w:p w14:paraId="010D9DAC" w14:textId="6B271FBB" w:rsidR="005A2327" w:rsidRPr="001905EE" w:rsidRDefault="005A2327" w:rsidP="00CF3A3C">
      <w:pPr>
        <w:pStyle w:val="Caption"/>
      </w:pPr>
      <w:bookmarkStart w:id="147" w:name="_Ref224008867"/>
      <w:bookmarkStart w:id="148" w:name="_Toc351129620"/>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2</w:t>
      </w:r>
      <w:r w:rsidR="008E6665">
        <w:rPr>
          <w:noProof/>
        </w:rPr>
        <w:fldChar w:fldCharType="end"/>
      </w:r>
      <w:bookmarkEnd w:id="147"/>
      <w:r w:rsidR="00632F42">
        <w:rPr>
          <w:noProof/>
        </w:rPr>
        <w:t>:</w:t>
      </w:r>
      <w:r w:rsidRPr="001905EE">
        <w:tab/>
      </w:r>
      <w:r w:rsidR="00773057">
        <w:t>I</w:t>
      </w:r>
      <w:r w:rsidRPr="001905EE">
        <w:t xml:space="preserve">tem </w:t>
      </w:r>
      <w:r>
        <w:t>descriptors for physician equivalent MBS consultations</w:t>
      </w:r>
      <w:bookmarkEnd w:id="148"/>
    </w:p>
    <w:p w14:paraId="6E215BA4" w14:textId="77777777" w:rsidR="00F63DE5" w:rsidRPr="008C29C6" w:rsidRDefault="00F63DE5" w:rsidP="00F63DE5">
      <w:pPr>
        <w:pBdr>
          <w:top w:val="single" w:sz="2" w:space="1" w:color="auto"/>
          <w:left w:val="single" w:sz="2" w:space="4" w:color="auto"/>
          <w:bottom w:val="single" w:sz="2" w:space="1" w:color="auto"/>
          <w:right w:val="single" w:sz="2" w:space="4" w:color="auto"/>
        </w:pBdr>
        <w:shd w:val="clear" w:color="auto" w:fill="C6D9F1" w:themeFill="text2" w:themeFillTint="33"/>
        <w:spacing w:after="0" w:line="240" w:lineRule="auto"/>
        <w:rPr>
          <w:rFonts w:ascii="Arial Narrow" w:hAnsi="Arial Narrow" w:cs="Calibri"/>
          <w:b/>
          <w:sz w:val="20"/>
          <w:lang w:eastAsia="en-AU"/>
        </w:rPr>
      </w:pPr>
      <w:r w:rsidRPr="008C29C6">
        <w:rPr>
          <w:rFonts w:ascii="Arial Narrow" w:hAnsi="Arial Narrow" w:cs="Calibri"/>
          <w:b/>
          <w:sz w:val="20"/>
          <w:lang w:eastAsia="en-AU"/>
        </w:rPr>
        <w:t xml:space="preserve">SEXUAL HEALTH MEDICINE SPECIALIST, </w:t>
      </w:r>
      <w:r>
        <w:rPr>
          <w:rFonts w:ascii="Arial Narrow" w:hAnsi="Arial Narrow" w:cs="Calibri"/>
          <w:b/>
          <w:sz w:val="20"/>
          <w:lang w:eastAsia="en-AU"/>
        </w:rPr>
        <w:t>REFERRED</w:t>
      </w:r>
      <w:r w:rsidRPr="008C29C6">
        <w:rPr>
          <w:rFonts w:ascii="Arial Narrow" w:hAnsi="Arial Narrow" w:cs="Calibri"/>
          <w:b/>
          <w:sz w:val="20"/>
          <w:lang w:eastAsia="en-AU"/>
        </w:rPr>
        <w:t xml:space="preserve"> ATTENDANCE</w:t>
      </w:r>
    </w:p>
    <w:p w14:paraId="10C5A21C" w14:textId="77777777" w:rsidR="00F63DE5" w:rsidRPr="008C29C6"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u w:val="single"/>
          <w:lang w:eastAsia="en-AU"/>
        </w:rPr>
      </w:pPr>
      <w:r>
        <w:rPr>
          <w:rFonts w:ascii="Arial Narrow" w:hAnsi="Arial Narrow" w:cs="Calibri"/>
          <w:sz w:val="20"/>
          <w:u w:val="single"/>
          <w:lang w:eastAsia="en-AU"/>
        </w:rPr>
        <w:t>MBS Item 605</w:t>
      </w:r>
      <w:r w:rsidRPr="008C29C6">
        <w:rPr>
          <w:rFonts w:ascii="Arial Narrow" w:hAnsi="Arial Narrow" w:cs="Calibri"/>
          <w:sz w:val="20"/>
          <w:u w:val="single"/>
          <w:lang w:eastAsia="en-AU"/>
        </w:rPr>
        <w:t>1</w:t>
      </w:r>
    </w:p>
    <w:p w14:paraId="08E8C57F" w14:textId="77777777" w:rsidR="00F63DE5" w:rsidRPr="008C29C6"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sidRPr="008C29C6">
        <w:rPr>
          <w:rFonts w:ascii="Arial Narrow" w:hAnsi="Arial Narrow" w:cs="Calibri"/>
          <w:sz w:val="20"/>
          <w:lang w:eastAsia="en-AU"/>
        </w:rPr>
        <w:t xml:space="preserve">Professional attendance by </w:t>
      </w:r>
      <w:r w:rsidRPr="000E2752">
        <w:rPr>
          <w:rFonts w:ascii="Arial Narrow" w:hAnsi="Arial Narrow" w:cs="Calibri"/>
          <w:sz w:val="20"/>
          <w:lang w:eastAsia="en-AU"/>
        </w:rPr>
        <w:t xml:space="preserve">sexual health medicine </w:t>
      </w:r>
      <w:r w:rsidRPr="008C29C6">
        <w:rPr>
          <w:rFonts w:ascii="Arial Narrow" w:hAnsi="Arial Narrow" w:cs="Calibri"/>
          <w:sz w:val="20"/>
          <w:lang w:eastAsia="en-AU"/>
        </w:rPr>
        <w:t xml:space="preserve">specialist in his or her specialty, where the patient is referred to him or her by a referring medical practitioner. </w:t>
      </w:r>
    </w:p>
    <w:p w14:paraId="64ED4AE3" w14:textId="77777777" w:rsidR="00F63DE5" w:rsidRPr="008C29C6"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sidRPr="008C29C6">
        <w:rPr>
          <w:rFonts w:ascii="Arial Narrow" w:hAnsi="Arial Narrow" w:cs="Calibri"/>
          <w:sz w:val="20"/>
          <w:lang w:eastAsia="en-AU"/>
        </w:rPr>
        <w:t>Initial attendance in a single course of treatment</w:t>
      </w:r>
    </w:p>
    <w:p w14:paraId="7E5ED7AE" w14:textId="0E235C05" w:rsidR="00F63DE5" w:rsidRPr="00715940"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b/>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A119C3">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A119C3">
        <w:rPr>
          <w:rFonts w:ascii="Arial Narrow" w:hAnsi="Arial Narrow" w:cs="Verdana"/>
          <w:b/>
          <w:sz w:val="20"/>
          <w:lang w:val="en-US" w:eastAsia="en-AU"/>
        </w:rPr>
        <w:t xml:space="preserve"> 75% = $113.20</w:t>
      </w:r>
      <w:r w:rsidR="00A119C3">
        <w:rPr>
          <w:rFonts w:ascii="Arial Narrow" w:hAnsi="Arial Narrow" w:cs="Verdana"/>
          <w:b/>
          <w:sz w:val="20"/>
          <w:lang w:val="en-US" w:eastAsia="en-AU"/>
        </w:rPr>
        <w:tab/>
      </w:r>
      <w:r w:rsidRPr="00715940">
        <w:rPr>
          <w:rFonts w:ascii="Arial Narrow" w:hAnsi="Arial Narrow" w:cs="Verdana"/>
          <w:b/>
          <w:sz w:val="20"/>
          <w:lang w:val="en-US" w:eastAsia="en-AU"/>
        </w:rPr>
        <w:t>85% = $128.30</w:t>
      </w:r>
    </w:p>
    <w:p w14:paraId="178519A9" w14:textId="77777777" w:rsidR="00F63DE5" w:rsidRPr="00715940"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sz w:val="20"/>
          <w:lang w:eastAsia="en-AU"/>
        </w:rPr>
      </w:pPr>
      <w:r w:rsidRPr="00715940">
        <w:rPr>
          <w:rFonts w:ascii="Arial Narrow" w:hAnsi="Arial Narrow" w:cs="Calibri"/>
          <w:b/>
          <w:sz w:val="20"/>
          <w:lang w:eastAsia="en-AU"/>
        </w:rPr>
        <w:t xml:space="preserve">SEXUAL HEALTH MEDICINE SPECIALIST, </w:t>
      </w:r>
      <w:r>
        <w:rPr>
          <w:rFonts w:ascii="Arial Narrow" w:hAnsi="Arial Narrow" w:cs="Calibri"/>
          <w:b/>
          <w:sz w:val="20"/>
          <w:lang w:eastAsia="en-AU"/>
        </w:rPr>
        <w:t>REFERRED SHORTER</w:t>
      </w:r>
      <w:r w:rsidRPr="00715940">
        <w:rPr>
          <w:rFonts w:ascii="Arial Narrow" w:hAnsi="Arial Narrow" w:cs="Calibri"/>
          <w:b/>
          <w:sz w:val="20"/>
          <w:lang w:eastAsia="en-AU"/>
        </w:rPr>
        <w:t xml:space="preserve"> </w:t>
      </w:r>
      <w:r>
        <w:rPr>
          <w:rFonts w:ascii="Arial Narrow" w:hAnsi="Arial Narrow" w:cs="Calibri"/>
          <w:b/>
          <w:sz w:val="20"/>
          <w:lang w:eastAsia="en-AU"/>
        </w:rPr>
        <w:t>OR PATIENT REVIEW</w:t>
      </w:r>
    </w:p>
    <w:p w14:paraId="68362E00" w14:textId="77777777" w:rsidR="00F63DE5" w:rsidRPr="00715940"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u w:val="single"/>
          <w:lang w:eastAsia="en-AU"/>
        </w:rPr>
      </w:pPr>
      <w:r>
        <w:rPr>
          <w:rFonts w:ascii="Arial Narrow" w:hAnsi="Arial Narrow" w:cs="Calibri"/>
          <w:sz w:val="20"/>
          <w:u w:val="single"/>
          <w:lang w:eastAsia="en-AU"/>
        </w:rPr>
        <w:t>MBS Item 605</w:t>
      </w:r>
      <w:r w:rsidRPr="00715940">
        <w:rPr>
          <w:rFonts w:ascii="Arial Narrow" w:hAnsi="Arial Narrow" w:cs="Calibri"/>
          <w:sz w:val="20"/>
          <w:u w:val="single"/>
          <w:lang w:eastAsia="en-AU"/>
        </w:rPr>
        <w:t>2</w:t>
      </w:r>
    </w:p>
    <w:p w14:paraId="018FAC64" w14:textId="77777777" w:rsidR="00F63DE5" w:rsidRPr="00715940"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sidRPr="00715940">
        <w:rPr>
          <w:rFonts w:ascii="Arial Narrow" w:hAnsi="Arial Narrow"/>
          <w:sz w:val="20"/>
        </w:rPr>
        <w:t>Each attendance subsequent to the first in a single course of treatment.</w:t>
      </w:r>
    </w:p>
    <w:p w14:paraId="7FD52B80" w14:textId="65DBD8D3" w:rsidR="00F63DE5" w:rsidRPr="00715940"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b/>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$75.50</w:t>
      </w:r>
      <w:r w:rsidR="00A119C3">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$56.65</w:t>
      </w:r>
      <w:r w:rsidR="00A119C3">
        <w:rPr>
          <w:rFonts w:ascii="Arial Narrow" w:hAnsi="Arial Narrow" w:cs="Verdana"/>
          <w:b/>
          <w:sz w:val="20"/>
          <w:lang w:val="en-US" w:eastAsia="en-AU"/>
        </w:rPr>
        <w:tab/>
      </w:r>
      <w:r w:rsidRPr="00715940">
        <w:rPr>
          <w:rFonts w:ascii="Arial Narrow" w:hAnsi="Arial Narrow" w:cs="Verdana"/>
          <w:b/>
          <w:sz w:val="20"/>
          <w:lang w:val="en-US" w:eastAsia="en-AU"/>
        </w:rPr>
        <w:t>85% = $64.20</w:t>
      </w:r>
    </w:p>
    <w:p w14:paraId="4A15228F" w14:textId="77777777" w:rsidR="00DB47DD" w:rsidRDefault="00DB47DD" w:rsidP="00DB47DD">
      <w:pPr>
        <w:pStyle w:val="AspexBodyStandard"/>
      </w:pPr>
      <w:r>
        <w:t>The scenario developed to model the potential impact of these items upon the MBS involved:</w:t>
      </w:r>
    </w:p>
    <w:p w14:paraId="27DBA982" w14:textId="77777777" w:rsidR="00F97A5D" w:rsidRDefault="00DB47DD" w:rsidP="00DB47DD">
      <w:pPr>
        <w:pStyle w:val="AspexBullet1"/>
      </w:pPr>
      <w:r>
        <w:t>The c</w:t>
      </w:r>
      <w:r w:rsidR="00F97A5D">
        <w:t xml:space="preserve">osts of all observed assessment items transferred/substituted to </w:t>
      </w:r>
      <w:r>
        <w:t xml:space="preserve">a </w:t>
      </w:r>
      <w:r w:rsidR="00F97A5D">
        <w:t>rate of the current physician equivalent MBS item 110 (initial attendance).</w:t>
      </w:r>
    </w:p>
    <w:p w14:paraId="3102A6BC" w14:textId="77777777" w:rsidR="00F97A5D" w:rsidRDefault="00F97A5D" w:rsidP="00DB47DD">
      <w:pPr>
        <w:pStyle w:val="AspexBullet2"/>
      </w:pPr>
      <w:r>
        <w:t>Items relating to complex assessment or management planning were included as components of assessment.</w:t>
      </w:r>
    </w:p>
    <w:p w14:paraId="4DC35137" w14:textId="77777777" w:rsidR="00F97A5D" w:rsidRDefault="00715940" w:rsidP="00DB47DD">
      <w:pPr>
        <w:pStyle w:val="AspexBullet1"/>
      </w:pPr>
      <w:r>
        <w:lastRenderedPageBreak/>
        <w:t>The c</w:t>
      </w:r>
      <w:r w:rsidR="00F97A5D">
        <w:t>osts of all observed treatment items were transferred/substituted to a rate of the current physician equivalent MBS item 116 (subsequent attendance).</w:t>
      </w:r>
    </w:p>
    <w:p w14:paraId="590F796E" w14:textId="085BA4DE" w:rsidR="00F97A5D" w:rsidRDefault="00F97A5D" w:rsidP="00DB47DD">
      <w:pPr>
        <w:pStyle w:val="AspexBullet2"/>
      </w:pPr>
      <w:r>
        <w:t>Items relating to multidisciplinary case conferencing were included as components of treatment.</w:t>
      </w:r>
    </w:p>
    <w:p w14:paraId="41B2519E" w14:textId="77777777" w:rsidR="007142D4" w:rsidRDefault="00F97A5D" w:rsidP="00F97A5D">
      <w:pPr>
        <w:pStyle w:val="AspexBodyStandard"/>
      </w:pPr>
      <w:r>
        <w:t>Estimations derived from these scenarios are separately presented in Chapter 7.</w:t>
      </w:r>
    </w:p>
    <w:p w14:paraId="70F20060" w14:textId="77777777" w:rsidR="00A130C4" w:rsidRDefault="003B7CD2" w:rsidP="00F44503">
      <w:pPr>
        <w:pStyle w:val="Heading4"/>
      </w:pPr>
      <w:r>
        <w:t>Time-tiered</w:t>
      </w:r>
      <w:r w:rsidR="00A130C4">
        <w:t xml:space="preserve"> items</w:t>
      </w:r>
    </w:p>
    <w:p w14:paraId="0F0544E2" w14:textId="77777777" w:rsidR="001F52B9" w:rsidRDefault="002743FF" w:rsidP="000E2752">
      <w:pPr>
        <w:pStyle w:val="AspexBodyStandard"/>
      </w:pPr>
      <w:r>
        <w:t xml:space="preserve">An alternative approach to claiming physician equivalent items for </w:t>
      </w:r>
      <w:r w:rsidR="000E2752" w:rsidRPr="000E2752">
        <w:t xml:space="preserve">sexual health medicine </w:t>
      </w:r>
      <w:r>
        <w:t xml:space="preserve">would be to allow a </w:t>
      </w:r>
      <w:r w:rsidR="003B7CD2">
        <w:t>time-tiered</w:t>
      </w:r>
      <w:r w:rsidR="00F97A5D">
        <w:t xml:space="preserve"> structure by which specialists could bill for actual time spent with any individual patient.  This approach parallels </w:t>
      </w:r>
      <w:r w:rsidR="001F52B9">
        <w:t xml:space="preserve">existing MBS items available for General Practice (items: 3, 23, 36, 44).  It has been previously proposed that </w:t>
      </w:r>
      <w:r w:rsidR="003B7CD2">
        <w:t>time-tiered</w:t>
      </w:r>
      <w:r w:rsidR="001F52B9">
        <w:t xml:space="preserve"> items would enable greater flexibility to respond to the fluctuating needs of individual patients.</w:t>
      </w:r>
    </w:p>
    <w:p w14:paraId="58305C0E" w14:textId="304B9601" w:rsidR="001F52B9" w:rsidRDefault="001905EE" w:rsidP="00CF3A3C">
      <w:pPr>
        <w:pStyle w:val="Caption"/>
      </w:pPr>
      <w:bookmarkStart w:id="149" w:name="_Ref222241303"/>
      <w:bookmarkStart w:id="150" w:name="_Toc351129621"/>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w:instrText>
      </w:r>
      <w:r w:rsidR="008E6665">
        <w:instrText xml:space="preserve">C \s 1 </w:instrText>
      </w:r>
      <w:r w:rsidR="008E6665">
        <w:fldChar w:fldCharType="separate"/>
      </w:r>
      <w:r w:rsidR="008E6665">
        <w:rPr>
          <w:noProof/>
        </w:rPr>
        <w:t>3</w:t>
      </w:r>
      <w:r w:rsidR="008E6665">
        <w:rPr>
          <w:noProof/>
        </w:rPr>
        <w:fldChar w:fldCharType="end"/>
      </w:r>
      <w:bookmarkEnd w:id="149"/>
      <w:r w:rsidR="00632F42">
        <w:rPr>
          <w:noProof/>
        </w:rPr>
        <w:t>:</w:t>
      </w:r>
      <w:r w:rsidRPr="001905EE">
        <w:tab/>
        <w:t>Proposed</w:t>
      </w:r>
      <w:r w:rsidR="001F52B9">
        <w:t xml:space="preserve"> structure for </w:t>
      </w:r>
      <w:r w:rsidR="001B5CAD">
        <w:t>time-</w:t>
      </w:r>
      <w:r w:rsidR="001F52B9">
        <w:t>tiered</w:t>
      </w:r>
      <w:r w:rsidRPr="001905EE">
        <w:t xml:space="preserve"> items</w:t>
      </w:r>
      <w:bookmarkEnd w:id="150"/>
      <w:r w:rsidRPr="001905EE">
        <w:t xml:space="preserve"> </w:t>
      </w:r>
    </w:p>
    <w:p w14:paraId="524869A4" w14:textId="77777777" w:rsidR="001F52B9" w:rsidRDefault="001F52B9" w:rsidP="00CF3A3C">
      <w:pPr>
        <w:pStyle w:val="Caption"/>
      </w:pPr>
      <w:r>
        <w:rPr>
          <w:noProof/>
          <w:lang w:eastAsia="en-AU"/>
        </w:rPr>
        <w:drawing>
          <wp:inline distT="0" distB="0" distL="0" distR="0" wp14:anchorId="0EA9A619" wp14:editId="14286D6A">
            <wp:extent cx="4907271" cy="2717800"/>
            <wp:effectExtent l="57150" t="0" r="8255" b="6350"/>
            <wp:docPr id="34" name="Diagram 34" title="Figure 6 3: Proposed structure for time-tiered items "/>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F098947" w14:textId="0874F5B8" w:rsidR="002C4E97" w:rsidRDefault="002C4E97" w:rsidP="002C4E97">
      <w:pPr>
        <w:pStyle w:val="AspexBodyStandard"/>
      </w:pPr>
      <w:r>
        <w:t xml:space="preserve">Under this structure, time-tiered items could be anchored so as not to exceed the physician equivalent rates available under the A4 schedule (items 110 and 116).  A proposed structure for time-tiered items is presented in </w:t>
      </w:r>
      <w:r>
        <w:fldChar w:fldCharType="begin"/>
      </w:r>
      <w:r>
        <w:instrText xml:space="preserve"> REF _Ref222241303 \h </w:instrText>
      </w:r>
      <w:r>
        <w:fldChar w:fldCharType="separate"/>
      </w:r>
      <w:r w:rsidR="008E6665" w:rsidRPr="001905EE">
        <w:t xml:space="preserve">Figure </w:t>
      </w:r>
      <w:r w:rsidR="008E6665">
        <w:rPr>
          <w:noProof/>
        </w:rPr>
        <w:t>6</w:t>
      </w:r>
      <w:r w:rsidR="008E6665">
        <w:noBreakHyphen/>
      </w:r>
      <w:r w:rsidR="008E6665">
        <w:rPr>
          <w:noProof/>
        </w:rPr>
        <w:t>3</w:t>
      </w:r>
      <w:r>
        <w:fldChar w:fldCharType="end"/>
      </w:r>
      <w:r>
        <w:t>, to allow MBS billing for:</w:t>
      </w:r>
    </w:p>
    <w:p w14:paraId="6BE43451" w14:textId="77777777" w:rsidR="002C4E97" w:rsidRDefault="002C4E97" w:rsidP="002C4E97">
      <w:pPr>
        <w:pStyle w:val="AspexBullet1"/>
      </w:pPr>
      <w:r>
        <w:t>Consultations that lasts not more than 15 minutes duration;</w:t>
      </w:r>
    </w:p>
    <w:p w14:paraId="2CB80B3A" w14:textId="77777777" w:rsidR="002C4E97" w:rsidRDefault="002C4E97" w:rsidP="002C4E97">
      <w:pPr>
        <w:pStyle w:val="AspexBullet1"/>
      </w:pPr>
      <w:r>
        <w:t>Consultations that last more than 15 but not more than 30 minutes duration;</w:t>
      </w:r>
    </w:p>
    <w:p w14:paraId="2B937707" w14:textId="77777777" w:rsidR="002C4E97" w:rsidRDefault="002C4E97" w:rsidP="002C4E97">
      <w:pPr>
        <w:pStyle w:val="AspexBullet1"/>
      </w:pPr>
      <w:r>
        <w:t>Consultations that last more than 30 but not more than 45 minutes duration; and</w:t>
      </w:r>
    </w:p>
    <w:p w14:paraId="534A21E8" w14:textId="77777777" w:rsidR="002C4E97" w:rsidRDefault="002C4E97" w:rsidP="002D3389">
      <w:pPr>
        <w:pStyle w:val="AspexBullet1"/>
      </w:pPr>
      <w:r>
        <w:t>Consultations that last for more than 45 minutes duration.</w:t>
      </w:r>
    </w:p>
    <w:p w14:paraId="5E039D5E" w14:textId="5A244216" w:rsidR="002D3389" w:rsidRDefault="002D3389" w:rsidP="002D3389">
      <w:pPr>
        <w:pStyle w:val="AspexBodyStandard"/>
      </w:pPr>
      <w:r>
        <w:t xml:space="preserve">The proposed MBS item descriptors for physician equivalent items are presented in </w:t>
      </w:r>
      <w:r>
        <w:fldChar w:fldCharType="begin"/>
      </w:r>
      <w:r>
        <w:instrText xml:space="preserve"> REF _Ref224011082 \h </w:instrText>
      </w:r>
      <w:r>
        <w:fldChar w:fldCharType="separate"/>
      </w:r>
      <w:r w:rsidR="008E6665" w:rsidRPr="001905EE">
        <w:t xml:space="preserve">Figure </w:t>
      </w:r>
      <w:r w:rsidR="008E6665">
        <w:rPr>
          <w:noProof/>
        </w:rPr>
        <w:t>6</w:t>
      </w:r>
      <w:r w:rsidR="008E6665">
        <w:noBreakHyphen/>
      </w:r>
      <w:r w:rsidR="008E6665">
        <w:rPr>
          <w:noProof/>
        </w:rPr>
        <w:t>4</w:t>
      </w:r>
      <w:r>
        <w:fldChar w:fldCharType="end"/>
      </w:r>
      <w:r>
        <w:t xml:space="preserve">. </w:t>
      </w:r>
    </w:p>
    <w:p w14:paraId="3672E80B" w14:textId="713CBADF" w:rsidR="00632F42" w:rsidRDefault="00632F42">
      <w:pPr>
        <w:spacing w:before="0" w:after="0" w:line="240" w:lineRule="auto"/>
      </w:pPr>
      <w:r>
        <w:br w:type="page"/>
      </w:r>
    </w:p>
    <w:p w14:paraId="4BB9020E" w14:textId="1D5B7CE8" w:rsidR="002D3389" w:rsidRPr="001905EE" w:rsidRDefault="002D3389" w:rsidP="00CF3A3C">
      <w:pPr>
        <w:pStyle w:val="Caption"/>
      </w:pPr>
      <w:bookmarkStart w:id="151" w:name="_Ref224011082"/>
      <w:bookmarkStart w:id="152" w:name="_Toc351129622"/>
      <w:r w:rsidRPr="001905EE">
        <w:lastRenderedPageBreak/>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4</w:t>
      </w:r>
      <w:r w:rsidR="008E6665">
        <w:rPr>
          <w:noProof/>
        </w:rPr>
        <w:fldChar w:fldCharType="end"/>
      </w:r>
      <w:bookmarkEnd w:id="151"/>
      <w:r w:rsidR="00632F42">
        <w:rPr>
          <w:noProof/>
        </w:rPr>
        <w:t>:</w:t>
      </w:r>
      <w:r w:rsidRPr="001905EE">
        <w:tab/>
      </w:r>
      <w:r w:rsidR="00773057">
        <w:t>I</w:t>
      </w:r>
      <w:r w:rsidRPr="001905EE">
        <w:t xml:space="preserve">tem </w:t>
      </w:r>
      <w:r>
        <w:t xml:space="preserve">descriptors for </w:t>
      </w:r>
      <w:r w:rsidR="00FC21C4">
        <w:t>time-tiered</w:t>
      </w:r>
      <w:r>
        <w:t xml:space="preserve"> MBS consultations</w:t>
      </w:r>
      <w:bookmarkEnd w:id="152"/>
    </w:p>
    <w:p w14:paraId="17032AE2"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b/>
          <w:color w:val="000000"/>
          <w:sz w:val="20"/>
          <w:lang w:eastAsia="ja-JP"/>
        </w:rPr>
        <w:t>Category 1 – Professional attendances</w:t>
      </w:r>
    </w:p>
    <w:p w14:paraId="6F90D719"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olor w:val="000000"/>
          <w:sz w:val="20"/>
          <w:u w:val="single"/>
          <w:lang w:val="en-US" w:eastAsia="ja-JP"/>
        </w:rPr>
      </w:pPr>
      <w:r>
        <w:rPr>
          <w:rFonts w:ascii="Arial Narrow" w:hAnsi="Arial Narrow"/>
          <w:color w:val="000000"/>
          <w:sz w:val="20"/>
          <w:u w:val="single"/>
          <w:lang w:val="en-US" w:eastAsia="ja-JP"/>
        </w:rPr>
        <w:t>MBS Item 6051</w:t>
      </w:r>
    </w:p>
    <w:p w14:paraId="2298C05C"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sidRPr="000E2752">
        <w:rPr>
          <w:rFonts w:ascii="Arial Narrow" w:hAnsi="Arial Narrow"/>
          <w:color w:val="000000"/>
          <w:sz w:val="20"/>
          <w:lang w:val="en-US" w:eastAsia="ja-JP"/>
        </w:rPr>
        <w:t xml:space="preserve">sexual health medicine </w:t>
      </w:r>
      <w:r w:rsidRPr="00735532">
        <w:rPr>
          <w:rFonts w:ascii="Arial Narrow" w:hAnsi="Arial Narrow"/>
          <w:color w:val="000000"/>
          <w:sz w:val="20"/>
          <w:lang w:val="en-US" w:eastAsia="ja-JP"/>
        </w:rPr>
        <w:t>specialist in the practice of his or her specialty, following referral of the patient to him or her by a medical practitioner - an attendance of not more than 15 minutes duration</w:t>
      </w:r>
    </w:p>
    <w:p w14:paraId="59186103" w14:textId="77777777" w:rsidR="00F63DE5" w:rsidRPr="00735532"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rPr>
          <w:rFonts w:ascii="Arial Narrow" w:hAnsi="Arial Narrow" w:cs="Calibri"/>
          <w:color w:val="000000"/>
          <w:sz w:val="20"/>
          <w:lang w:eastAsia="en-AU"/>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42.71</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32.03</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36.30</w:t>
      </w:r>
    </w:p>
    <w:p w14:paraId="174E96E5"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Pr>
          <w:rFonts w:ascii="Arial Narrow" w:hAnsi="Arial Narrow"/>
          <w:color w:val="000000"/>
          <w:sz w:val="20"/>
          <w:u w:val="single"/>
          <w:lang w:val="en-US" w:eastAsia="ja-JP"/>
        </w:rPr>
        <w:t>MBS Item 605</w:t>
      </w:r>
      <w:r w:rsidRPr="00735532">
        <w:rPr>
          <w:rFonts w:ascii="Arial Narrow" w:hAnsi="Arial Narrow"/>
          <w:color w:val="000000"/>
          <w:sz w:val="20"/>
          <w:u w:val="single"/>
          <w:lang w:val="en-US" w:eastAsia="ja-JP"/>
        </w:rPr>
        <w:t>2</w:t>
      </w:r>
    </w:p>
    <w:p w14:paraId="3CFF8AC3"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sidRPr="000E2752">
        <w:rPr>
          <w:rFonts w:ascii="Arial Narrow" w:hAnsi="Arial Narrow"/>
          <w:color w:val="000000"/>
          <w:sz w:val="20"/>
          <w:lang w:val="en-US" w:eastAsia="ja-JP"/>
        </w:rPr>
        <w:t xml:space="preserve">sexual health medicine </w:t>
      </w:r>
      <w:r w:rsidRPr="00735532">
        <w:rPr>
          <w:rFonts w:ascii="Arial Narrow" w:hAnsi="Arial Narrow"/>
          <w:color w:val="000000"/>
          <w:sz w:val="20"/>
          <w:lang w:val="en-US" w:eastAsia="ja-JP"/>
        </w:rPr>
        <w:t>specialist in the practice of his or her specialty, following referral of the patient to him or he</w:t>
      </w:r>
      <w:r>
        <w:rPr>
          <w:rFonts w:ascii="Arial Narrow" w:hAnsi="Arial Narrow"/>
          <w:color w:val="000000"/>
          <w:sz w:val="20"/>
          <w:lang w:val="en-US" w:eastAsia="ja-JP"/>
        </w:rPr>
        <w:t xml:space="preserve">r by a medical practitioner - </w:t>
      </w:r>
      <w:r w:rsidRPr="00735532">
        <w:rPr>
          <w:rFonts w:ascii="Arial Narrow" w:hAnsi="Arial Narrow"/>
          <w:color w:val="000000"/>
          <w:sz w:val="20"/>
          <w:lang w:val="en-US" w:eastAsia="ja-JP"/>
        </w:rPr>
        <w:t>an attendance of more than 15 minutes, but not more than 30 minutes duration</w:t>
      </w:r>
    </w:p>
    <w:p w14:paraId="327B1DD4" w14:textId="0D404591" w:rsidR="00F63DE5" w:rsidRPr="00735532"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$75.50</w:t>
      </w:r>
      <w:r w:rsidR="00A119C3">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A119C3">
        <w:rPr>
          <w:rFonts w:ascii="Arial Narrow" w:hAnsi="Arial Narrow" w:cs="Verdana"/>
          <w:b/>
          <w:sz w:val="20"/>
          <w:lang w:val="en-US" w:eastAsia="en-AU"/>
        </w:rPr>
        <w:t xml:space="preserve"> 75% = $56.65</w:t>
      </w:r>
      <w:r w:rsidR="00A119C3">
        <w:rPr>
          <w:rFonts w:ascii="Arial Narrow" w:hAnsi="Arial Narrow" w:cs="Verdana"/>
          <w:b/>
          <w:sz w:val="20"/>
          <w:lang w:val="en-US" w:eastAsia="en-AU"/>
        </w:rPr>
        <w:tab/>
      </w:r>
      <w:r w:rsidRPr="00715940">
        <w:rPr>
          <w:rFonts w:ascii="Arial Narrow" w:hAnsi="Arial Narrow" w:cs="Verdana"/>
          <w:b/>
          <w:sz w:val="20"/>
          <w:lang w:val="en-US" w:eastAsia="en-AU"/>
        </w:rPr>
        <w:t>85% = $64.20</w:t>
      </w:r>
    </w:p>
    <w:p w14:paraId="38341054" w14:textId="77777777" w:rsidR="00F63DE5" w:rsidRPr="00735532" w:rsidRDefault="00F63DE5" w:rsidP="005F47B7">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6054</w:t>
      </w:r>
    </w:p>
    <w:p w14:paraId="406336D7" w14:textId="77777777" w:rsidR="00F63DE5" w:rsidRPr="00735532" w:rsidRDefault="00F63DE5" w:rsidP="005F47B7">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sidRPr="000E2752">
        <w:rPr>
          <w:rFonts w:ascii="Arial Narrow" w:hAnsi="Arial Narrow"/>
          <w:color w:val="000000"/>
          <w:sz w:val="20"/>
          <w:lang w:val="en-US" w:eastAsia="ja-JP"/>
        </w:rPr>
        <w:t xml:space="preserve">sexual health medicine </w:t>
      </w:r>
      <w:r w:rsidRPr="00735532">
        <w:rPr>
          <w:rFonts w:ascii="Arial Narrow" w:hAnsi="Arial Narrow"/>
          <w:color w:val="000000"/>
          <w:sz w:val="20"/>
          <w:lang w:val="en-US" w:eastAsia="ja-JP"/>
        </w:rPr>
        <w:t>specialist in the practice of his or her specialty, following referral of the patient to him or her by a medical practitioner - an attendance of more than 30 minutes, but not more than 45 minutes duration</w:t>
      </w:r>
    </w:p>
    <w:p w14:paraId="393BA528" w14:textId="77777777" w:rsidR="00F63DE5" w:rsidRPr="00735532"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rPr>
          <w:rFonts w:ascii="Arial Narrow" w:hAnsi="Arial Narrow" w:cs="Calibri"/>
          <w:color w:val="000000"/>
          <w:sz w:val="20"/>
          <w:lang w:eastAsia="en-AU"/>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113.29</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84.97</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96.30</w:t>
      </w:r>
    </w:p>
    <w:p w14:paraId="403BBB36"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Pr>
          <w:rFonts w:ascii="Arial Narrow" w:hAnsi="Arial Narrow"/>
          <w:color w:val="000000"/>
          <w:sz w:val="20"/>
          <w:u w:val="single"/>
          <w:lang w:val="en-US" w:eastAsia="ja-JP"/>
        </w:rPr>
        <w:t>MBS Item 6055</w:t>
      </w:r>
    </w:p>
    <w:p w14:paraId="4E89CBA0" w14:textId="77777777" w:rsidR="00F63DE5" w:rsidRPr="00735532"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 xml:space="preserve">Professional attendance by an </w:t>
      </w:r>
      <w:r w:rsidRPr="000E2752">
        <w:rPr>
          <w:rFonts w:ascii="Arial Narrow" w:hAnsi="Arial Narrow"/>
          <w:color w:val="000000"/>
          <w:sz w:val="20"/>
          <w:lang w:val="en-US" w:eastAsia="ja-JP"/>
        </w:rPr>
        <w:t xml:space="preserve">sexual health medicine </w:t>
      </w:r>
      <w:r w:rsidRPr="00735532">
        <w:rPr>
          <w:rFonts w:ascii="Arial Narrow" w:hAnsi="Arial Narrow"/>
          <w:color w:val="000000"/>
          <w:sz w:val="20"/>
          <w:lang w:val="en-US" w:eastAsia="ja-JP"/>
        </w:rPr>
        <w:t>specialist in the practice of his or her specialty, following referral of the patient to him or her by a medical practitioner - an attendance of more than 45 minutes duration</w:t>
      </w:r>
    </w:p>
    <w:p w14:paraId="17559E22" w14:textId="112AD54A" w:rsidR="00F63DE5" w:rsidRPr="00735532"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A119C3">
        <w:rPr>
          <w:rFonts w:ascii="Arial Narrow" w:hAnsi="Arial Narrow" w:cs="Verdana"/>
          <w:b/>
          <w:sz w:val="20"/>
          <w:lang w:val="en-US" w:eastAsia="en-AU"/>
        </w:rPr>
        <w:tab/>
      </w:r>
      <w:r w:rsidRPr="00715940">
        <w:rPr>
          <w:rFonts w:ascii="Arial Narrow" w:hAnsi="Arial Narrow" w:cs="Verdana"/>
          <w:b/>
          <w:bCs/>
          <w:sz w:val="20"/>
          <w:lang w:val="en-US" w:eastAsia="en-AU"/>
        </w:rPr>
        <w:t>Benefit:</w:t>
      </w:r>
      <w:r w:rsidR="00A119C3">
        <w:rPr>
          <w:rFonts w:ascii="Arial Narrow" w:hAnsi="Arial Narrow" w:cs="Verdana"/>
          <w:b/>
          <w:sz w:val="20"/>
          <w:lang w:val="en-US" w:eastAsia="en-AU"/>
        </w:rPr>
        <w:t xml:space="preserve"> 75% = $113.20</w:t>
      </w:r>
      <w:r w:rsidR="00A119C3">
        <w:rPr>
          <w:rFonts w:ascii="Arial Narrow" w:hAnsi="Arial Narrow" w:cs="Verdana"/>
          <w:b/>
          <w:sz w:val="20"/>
          <w:lang w:val="en-US" w:eastAsia="en-AU"/>
        </w:rPr>
        <w:tab/>
      </w:r>
      <w:r w:rsidRPr="00715940">
        <w:rPr>
          <w:rFonts w:ascii="Arial Narrow" w:hAnsi="Arial Narrow" w:cs="Verdana"/>
          <w:b/>
          <w:sz w:val="20"/>
          <w:lang w:val="en-US" w:eastAsia="en-AU"/>
        </w:rPr>
        <w:t>85% = $128.30</w:t>
      </w:r>
    </w:p>
    <w:p w14:paraId="4EF1D2EB" w14:textId="77777777" w:rsidR="002D3389" w:rsidRDefault="002D3389" w:rsidP="002D3389">
      <w:pPr>
        <w:pStyle w:val="AspexBodyStandard"/>
      </w:pPr>
      <w:r>
        <w:t>The scenario developed to model the potential impact of these items upon the MBS involved:</w:t>
      </w:r>
    </w:p>
    <w:p w14:paraId="2E356DB8" w14:textId="77777777" w:rsidR="002D3389" w:rsidRDefault="00736AFB" w:rsidP="00736AFB">
      <w:pPr>
        <w:pStyle w:val="AspexBullet1"/>
      </w:pPr>
      <w:r>
        <w:t xml:space="preserve">Anchoring tier 1 (up to 15 minutes duration) </w:t>
      </w:r>
      <w:r w:rsidR="002D3389">
        <w:t>at the GP eq</w:t>
      </w:r>
      <w:r>
        <w:t>uivalent rate of an MBS item 23</w:t>
      </w:r>
      <w:r w:rsidR="002D3389">
        <w:t>;</w:t>
      </w:r>
    </w:p>
    <w:p w14:paraId="52BEF858" w14:textId="77777777" w:rsidR="002D3389" w:rsidRDefault="00736AFB" w:rsidP="00736AFB">
      <w:pPr>
        <w:pStyle w:val="AspexBullet1"/>
      </w:pPr>
      <w:r>
        <w:t>Anchoring tier 2 (m</w:t>
      </w:r>
      <w:r w:rsidR="002D3389">
        <w:t>ore than 15 but less than 30 minutes duration</w:t>
      </w:r>
      <w:r>
        <w:t xml:space="preserve">) </w:t>
      </w:r>
      <w:r w:rsidR="002D3389">
        <w:t xml:space="preserve">at the physician equivalent item rate of </w:t>
      </w:r>
      <w:r>
        <w:t>116 for a subsequent attendance</w:t>
      </w:r>
      <w:r w:rsidR="002D3389">
        <w:t>;</w:t>
      </w:r>
    </w:p>
    <w:p w14:paraId="034A3345" w14:textId="77777777" w:rsidR="002D3389" w:rsidRDefault="00736AFB" w:rsidP="00736AFB">
      <w:pPr>
        <w:pStyle w:val="AspexBullet1"/>
      </w:pPr>
      <w:r>
        <w:t>Anchoring tier 3 (m</w:t>
      </w:r>
      <w:r w:rsidR="002D3389">
        <w:t>ore than 30 but less than 45 minu</w:t>
      </w:r>
      <w:r>
        <w:t xml:space="preserve">tes duration) </w:t>
      </w:r>
      <w:r w:rsidR="002D3389">
        <w:t>at a costing mid</w:t>
      </w:r>
      <w:r>
        <w:t>point between tier 2 and tier 4</w:t>
      </w:r>
      <w:r w:rsidR="002D3389">
        <w:t>; and</w:t>
      </w:r>
    </w:p>
    <w:p w14:paraId="509D95BD" w14:textId="77777777" w:rsidR="002D3389" w:rsidRDefault="00736AFB" w:rsidP="00736AFB">
      <w:pPr>
        <w:pStyle w:val="AspexBullet1"/>
      </w:pPr>
      <w:r>
        <w:t>Anchoring tier 4 (m</w:t>
      </w:r>
      <w:r w:rsidR="002D3389">
        <w:t>ore than 45 minutes duration</w:t>
      </w:r>
      <w:r>
        <w:t xml:space="preserve">) </w:t>
      </w:r>
      <w:r w:rsidR="002D3389">
        <w:t>at the physician equivalent item rate o</w:t>
      </w:r>
      <w:r>
        <w:t>f 110 for an initial attendance</w:t>
      </w:r>
      <w:r w:rsidR="002D3389">
        <w:t>.</w:t>
      </w:r>
    </w:p>
    <w:p w14:paraId="48864BEE" w14:textId="77777777" w:rsidR="00736AFB" w:rsidRDefault="00736AFB" w:rsidP="00736AFB">
      <w:pPr>
        <w:pStyle w:val="AspexBullet1"/>
      </w:pPr>
      <w:r>
        <w:t>Estimating the proportion of claims within each of the four tiers:</w:t>
      </w:r>
    </w:p>
    <w:p w14:paraId="631BB2E4" w14:textId="62267316" w:rsidR="002D3389" w:rsidRDefault="002D3389" w:rsidP="00736AFB">
      <w:pPr>
        <w:pStyle w:val="AspexBullet2"/>
      </w:pPr>
      <w:r>
        <w:t xml:space="preserve">Based upon current item volumes for assessment and treatment related MBS items it was assumed that </w:t>
      </w:r>
      <w:r w:rsidR="00A82BEE">
        <w:t>21</w:t>
      </w:r>
      <w:r>
        <w:t>% of all items would be billed at the highest time tier (for patient assessments).</w:t>
      </w:r>
    </w:p>
    <w:p w14:paraId="38AAAEF8" w14:textId="77777777" w:rsidR="002D3389" w:rsidRDefault="002D3389" w:rsidP="00736AFB">
      <w:pPr>
        <w:pStyle w:val="AspexBullet2"/>
      </w:pPr>
      <w:r>
        <w:t>The remaining items were estimated at the following rates of billing (to maximise efficiency and revenue arising from clinical practice arrangements).</w:t>
      </w:r>
    </w:p>
    <w:p w14:paraId="07072748" w14:textId="781A0CBF" w:rsidR="002D3389" w:rsidRDefault="00A82BEE" w:rsidP="00736AFB">
      <w:pPr>
        <w:pStyle w:val="AspexBullet3"/>
      </w:pPr>
      <w:r>
        <w:t>11.85</w:t>
      </w:r>
      <w:r w:rsidR="002D3389">
        <w:t>% (15% of assessment residual) for short/standard consultations (tier 1)</w:t>
      </w:r>
    </w:p>
    <w:p w14:paraId="387A97B3" w14:textId="1A6801F6" w:rsidR="002D3389" w:rsidRDefault="00A82BEE" w:rsidP="00736AFB">
      <w:pPr>
        <w:pStyle w:val="AspexBullet3"/>
      </w:pPr>
      <w:r>
        <w:t>55.30</w:t>
      </w:r>
      <w:r w:rsidR="002D3389">
        <w:t>% (70% of assessment residual) for physician follow-up consultations (tier 2)</w:t>
      </w:r>
    </w:p>
    <w:p w14:paraId="521A7DC0" w14:textId="231FF689" w:rsidR="002D3389" w:rsidRDefault="00A82BEE" w:rsidP="00736AFB">
      <w:pPr>
        <w:pStyle w:val="AspexBullet3"/>
      </w:pPr>
      <w:r>
        <w:t>11.85</w:t>
      </w:r>
      <w:r w:rsidR="002D3389">
        <w:t>% (15% of assessment residual) for prolonged follow-up consultations (tier 3)</w:t>
      </w:r>
    </w:p>
    <w:p w14:paraId="5D5712C7" w14:textId="77777777" w:rsidR="002D3389" w:rsidRDefault="00736AFB" w:rsidP="00736AFB">
      <w:pPr>
        <w:pStyle w:val="AspexBullet1"/>
      </w:pPr>
      <w:r>
        <w:t>Conducting a s</w:t>
      </w:r>
      <w:r w:rsidR="002D3389">
        <w:t>ensitivity analysis on the impact of changes in billing volumes within the first three tiers, to identify variations at:</w:t>
      </w:r>
    </w:p>
    <w:p w14:paraId="707848F0" w14:textId="77777777" w:rsidR="002D3389" w:rsidRDefault="002D3389" w:rsidP="00736AFB">
      <w:pPr>
        <w:pStyle w:val="AspexBullet2"/>
      </w:pPr>
      <w:r>
        <w:lastRenderedPageBreak/>
        <w:t>10-20% of the assessment residual billed at tier 1.</w:t>
      </w:r>
    </w:p>
    <w:p w14:paraId="51930790" w14:textId="77777777" w:rsidR="002D3389" w:rsidRDefault="002D3389" w:rsidP="00736AFB">
      <w:pPr>
        <w:pStyle w:val="AspexBullet2"/>
      </w:pPr>
      <w:r>
        <w:t>60-80% of the assessment residual billed at tier 2.</w:t>
      </w:r>
    </w:p>
    <w:p w14:paraId="1095FA34" w14:textId="77777777" w:rsidR="002D3389" w:rsidRDefault="002D3389" w:rsidP="00736AFB">
      <w:pPr>
        <w:pStyle w:val="AspexBullet2"/>
      </w:pPr>
      <w:r>
        <w:t>10-20% of the assessment residual billed at tier 3.</w:t>
      </w:r>
    </w:p>
    <w:p w14:paraId="64AC5D07" w14:textId="77777777" w:rsidR="002D3389" w:rsidRDefault="002D3389" w:rsidP="002D3389">
      <w:pPr>
        <w:pStyle w:val="AspexBodyStandard"/>
      </w:pPr>
      <w:r>
        <w:t>Estimations derived from these scenarios are separately presented in Chapter 7.</w:t>
      </w:r>
    </w:p>
    <w:p w14:paraId="4379C1F7" w14:textId="77777777" w:rsidR="002C14D4" w:rsidRDefault="001B5CAD" w:rsidP="007333CE">
      <w:pPr>
        <w:pStyle w:val="Heading2"/>
      </w:pPr>
      <w:bookmarkStart w:id="153" w:name="_Toc351480539"/>
      <w:r>
        <w:t>MBS items for c</w:t>
      </w:r>
      <w:r w:rsidR="002C14D4">
        <w:t xml:space="preserve">omplex </w:t>
      </w:r>
      <w:r w:rsidR="003A5D76">
        <w:t>treatment and</w:t>
      </w:r>
      <w:r w:rsidR="002C14D4">
        <w:t xml:space="preserve"> </w:t>
      </w:r>
      <w:r w:rsidR="003A5D76">
        <w:t>management</w:t>
      </w:r>
      <w:r w:rsidR="002C14D4">
        <w:t xml:space="preserve"> planning</w:t>
      </w:r>
      <w:bookmarkEnd w:id="153"/>
    </w:p>
    <w:p w14:paraId="0D3FC25C" w14:textId="62100954" w:rsidR="00017202" w:rsidRPr="00017202" w:rsidRDefault="00017202" w:rsidP="00017202">
      <w:pPr>
        <w:pStyle w:val="Caption"/>
      </w:pPr>
      <w:bookmarkStart w:id="154" w:name="_Ref224012512"/>
      <w:bookmarkStart w:id="155" w:name="_Toc351129623"/>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noBreakHyphen/>
      </w:r>
      <w:r w:rsidR="008E6665">
        <w:fldChar w:fldCharType="begin"/>
      </w:r>
      <w:r w:rsidR="008E6665">
        <w:instrText xml:space="preserve"> SEQ Figure \* ARABIC \s 1 </w:instrText>
      </w:r>
      <w:r w:rsidR="008E6665">
        <w:fldChar w:fldCharType="separate"/>
      </w:r>
      <w:r w:rsidR="008E6665">
        <w:rPr>
          <w:noProof/>
        </w:rPr>
        <w:t>5</w:t>
      </w:r>
      <w:r w:rsidR="008E6665">
        <w:rPr>
          <w:noProof/>
        </w:rPr>
        <w:fldChar w:fldCharType="end"/>
      </w:r>
      <w:bookmarkEnd w:id="154"/>
      <w:r>
        <w:rPr>
          <w:noProof/>
        </w:rPr>
        <w:t>:</w:t>
      </w:r>
      <w:r w:rsidRPr="001905EE">
        <w:tab/>
        <w:t xml:space="preserve">Proposed items for </w:t>
      </w:r>
      <w:r>
        <w:t>complex treatment and management planning</w:t>
      </w:r>
      <w:bookmarkEnd w:id="155"/>
    </w:p>
    <w:p w14:paraId="1C42C76A" w14:textId="77777777" w:rsidR="00017202" w:rsidRDefault="00D72754" w:rsidP="00736AFB">
      <w:pPr>
        <w:pStyle w:val="AspexBodyStandard"/>
      </w:pPr>
      <w:r w:rsidRPr="0011383D">
        <w:rPr>
          <w:noProof/>
          <w:lang w:eastAsia="en-AU"/>
        </w:rPr>
        <w:drawing>
          <wp:inline distT="0" distB="0" distL="0" distR="0" wp14:anchorId="5CF0DF43" wp14:editId="30BB78CD">
            <wp:extent cx="5099050" cy="2400300"/>
            <wp:effectExtent l="0" t="19050" r="0" b="19050"/>
            <wp:docPr id="36" name="Diagram 36" title="Figure 6 5: Proposed items for complex treatment and management planning"/>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112F434" w14:textId="48E8F690" w:rsidR="00736AFB" w:rsidRPr="00736AFB" w:rsidRDefault="00DD10E9" w:rsidP="00736AFB">
      <w:pPr>
        <w:pStyle w:val="AspexBodyStandard"/>
      </w:pPr>
      <w:r w:rsidRPr="0011383D">
        <w:t xml:space="preserve">Fellow consultation and analysis of current MBS data indicates that around 10% of all clinical activities undertaken by </w:t>
      </w:r>
      <w:r w:rsidR="000E2752" w:rsidRPr="0011383D">
        <w:t xml:space="preserve">sexual health medicine </w:t>
      </w:r>
      <w:r w:rsidRPr="0011383D">
        <w:t>specialists relates to the preparation of complex treatment and management plans.  Accordingly, a set of equivalent MBS items to</w:t>
      </w:r>
      <w:r>
        <w:t xml:space="preserve"> those available to </w:t>
      </w:r>
      <w:r w:rsidR="00773057">
        <w:t>g</w:t>
      </w:r>
      <w:r>
        <w:t xml:space="preserve">eneral </w:t>
      </w:r>
      <w:r w:rsidR="00773057">
        <w:t>p</w:t>
      </w:r>
      <w:r w:rsidR="00CD59CE">
        <w:t>ractitioners</w:t>
      </w:r>
      <w:r>
        <w:t xml:space="preserve"> </w:t>
      </w:r>
      <w:r w:rsidR="002C4E97">
        <w:t>and</w:t>
      </w:r>
      <w:r w:rsidR="00B578FC">
        <w:t xml:space="preserve"> consultant</w:t>
      </w:r>
      <w:r w:rsidR="002C4E97">
        <w:t xml:space="preserve"> </w:t>
      </w:r>
      <w:r w:rsidR="00773057">
        <w:t>p</w:t>
      </w:r>
      <w:r>
        <w:t xml:space="preserve">hysicians </w:t>
      </w:r>
      <w:r w:rsidR="002C4E97">
        <w:t>has been proposed</w:t>
      </w:r>
      <w:r>
        <w:t xml:space="preserve"> to undertake complex treatment and management planning (</w:t>
      </w:r>
      <w:r>
        <w:fldChar w:fldCharType="begin"/>
      </w:r>
      <w:r>
        <w:instrText xml:space="preserve"> REF _Ref224012512 \h </w:instrText>
      </w:r>
      <w:r>
        <w:fldChar w:fldCharType="separate"/>
      </w:r>
      <w:r w:rsidR="008E6665" w:rsidRPr="001905EE">
        <w:t xml:space="preserve">Figure </w:t>
      </w:r>
      <w:r w:rsidR="008E6665">
        <w:rPr>
          <w:noProof/>
        </w:rPr>
        <w:t>6</w:t>
      </w:r>
      <w:r w:rsidR="008E6665">
        <w:noBreakHyphen/>
      </w:r>
      <w:r w:rsidR="008E6665">
        <w:rPr>
          <w:noProof/>
        </w:rPr>
        <w:t>5</w:t>
      </w:r>
      <w:r>
        <w:fldChar w:fldCharType="end"/>
      </w:r>
      <w:r>
        <w:t>).</w:t>
      </w:r>
    </w:p>
    <w:p w14:paraId="654D8F37" w14:textId="0524F279" w:rsidR="009D0DCE" w:rsidRDefault="00DD10E9" w:rsidP="009D0DCE">
      <w:pPr>
        <w:pStyle w:val="AspexBodyStandard"/>
      </w:pPr>
      <w:r>
        <w:t>It is suggested that the item descriptors follow the same structure as MBS items currently available to Physicians (</w:t>
      </w:r>
      <w:r>
        <w:fldChar w:fldCharType="begin"/>
      </w:r>
      <w:r>
        <w:instrText xml:space="preserve"> REF _Ref224012593 \h </w:instrText>
      </w:r>
      <w:r>
        <w:fldChar w:fldCharType="separate"/>
      </w:r>
      <w:r w:rsidR="008E6665" w:rsidRPr="001905EE">
        <w:t xml:space="preserve">Figure </w:t>
      </w:r>
      <w:r w:rsidR="008E6665">
        <w:rPr>
          <w:noProof/>
        </w:rPr>
        <w:t>6</w:t>
      </w:r>
      <w:r w:rsidR="008E6665">
        <w:noBreakHyphen/>
      </w:r>
      <w:r w:rsidR="008E6665">
        <w:rPr>
          <w:noProof/>
        </w:rPr>
        <w:t>6</w:t>
      </w:r>
      <w:r>
        <w:fldChar w:fldCharType="end"/>
      </w:r>
      <w:r>
        <w:t>).</w:t>
      </w:r>
    </w:p>
    <w:p w14:paraId="6B7C1B87" w14:textId="77777777" w:rsidR="009D5FB4" w:rsidRDefault="009D5FB4" w:rsidP="009D0DCE">
      <w:pPr>
        <w:pStyle w:val="AspexBodyStandard"/>
      </w:pPr>
    </w:p>
    <w:p w14:paraId="1338EF20" w14:textId="0B4EFF93" w:rsidR="00632F42" w:rsidRDefault="00632F42">
      <w:pPr>
        <w:spacing w:before="0" w:after="0" w:line="240" w:lineRule="auto"/>
      </w:pPr>
      <w:r>
        <w:br w:type="page"/>
      </w:r>
    </w:p>
    <w:p w14:paraId="0A3A5374" w14:textId="49CFC49A" w:rsidR="00DD10E9" w:rsidRPr="001905EE" w:rsidRDefault="00DD10E9" w:rsidP="00CF3A3C">
      <w:pPr>
        <w:pStyle w:val="Caption"/>
      </w:pPr>
      <w:bookmarkStart w:id="156" w:name="_Ref224012593"/>
      <w:bookmarkStart w:id="157" w:name="_Toc351129624"/>
      <w:r w:rsidRPr="001905EE">
        <w:lastRenderedPageBreak/>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6</w:t>
      </w:r>
      <w:r w:rsidR="008E6665">
        <w:rPr>
          <w:noProof/>
        </w:rPr>
        <w:fldChar w:fldCharType="end"/>
      </w:r>
      <w:bookmarkEnd w:id="156"/>
      <w:r w:rsidR="00632F42">
        <w:rPr>
          <w:noProof/>
        </w:rPr>
        <w:t>:</w:t>
      </w:r>
      <w:r w:rsidRPr="001905EE">
        <w:tab/>
        <w:t xml:space="preserve">Proposed items </w:t>
      </w:r>
      <w:r>
        <w:t>descriptors for complex patients</w:t>
      </w:r>
      <w:bookmarkEnd w:id="157"/>
    </w:p>
    <w:p w14:paraId="438C35FA" w14:textId="77777777" w:rsidR="00F63DE5" w:rsidRPr="00F330FD"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Pr>
          <w:rStyle w:val="Strong"/>
          <w:sz w:val="20"/>
        </w:rPr>
        <w:t>SEXUAL HEALTH MEDICINE SPECIALIST,</w:t>
      </w:r>
      <w:r w:rsidRPr="00676763">
        <w:rPr>
          <w:rStyle w:val="Strong"/>
          <w:sz w:val="20"/>
        </w:rPr>
        <w:t xml:space="preserve"> REFERRED </w:t>
      </w:r>
      <w:r>
        <w:rPr>
          <w:rStyle w:val="Strong"/>
          <w:sz w:val="20"/>
        </w:rPr>
        <w:t xml:space="preserve">COMPLEX </w:t>
      </w:r>
      <w:r w:rsidRPr="00676763">
        <w:rPr>
          <w:rStyle w:val="Strong"/>
          <w:sz w:val="20"/>
        </w:rPr>
        <w:t>PATIENT TREATMENT AND MANAGEMENT PLAN - SURGERY OR HOSPITAL</w:t>
      </w:r>
    </w:p>
    <w:p w14:paraId="74FF8DE9"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6059</w:t>
      </w:r>
    </w:p>
    <w:p w14:paraId="5F92A313"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Professional attendance of at least 45 minutes duration for an initial assessment of a patient with at least two morbidities, where the patient is referred by a re</w:t>
      </w:r>
      <w:r>
        <w:rPr>
          <w:rFonts w:ascii="Arial Narrow" w:hAnsi="Arial Narrow" w:cs="Calibri"/>
          <w:color w:val="000000"/>
          <w:sz w:val="20"/>
          <w:lang w:eastAsia="en-AU"/>
        </w:rPr>
        <w:t>ferring practitioner, and where:</w:t>
      </w:r>
    </w:p>
    <w:p w14:paraId="42481B46" w14:textId="7C7A1865"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 xml:space="preserve">a) assessment is undertaken that covers: </w:t>
      </w:r>
    </w:p>
    <w:p w14:paraId="6C9E1804" w14:textId="65AFBB7A"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a comprehensive history, including psychosocial history and medication review; </w:t>
      </w:r>
    </w:p>
    <w:p w14:paraId="6ABE5A91" w14:textId="21B81834"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comprehensive multi or detailed single organ system assessment; </w:t>
      </w:r>
    </w:p>
    <w:p w14:paraId="78CB9BCF" w14:textId="2E855769"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the formulation </w:t>
      </w:r>
      <w:r>
        <w:rPr>
          <w:rFonts w:ascii="Arial Narrow" w:hAnsi="Arial Narrow" w:cs="Calibri"/>
          <w:color w:val="000000"/>
          <w:sz w:val="20"/>
          <w:lang w:eastAsia="en-AU"/>
        </w:rPr>
        <w:t xml:space="preserve">of differential diagnoses; and </w:t>
      </w:r>
    </w:p>
    <w:p w14:paraId="437E231A" w14:textId="7306C490"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 xml:space="preserve">b) a consultant physician treatment and management plan of significant complexity is developed and provided to the referring practitioner that involves: </w:t>
      </w:r>
    </w:p>
    <w:p w14:paraId="66ED94A9" w14:textId="4C772CCA"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an opinion on diagnosis and risk assessment </w:t>
      </w:r>
    </w:p>
    <w:p w14:paraId="16DE754B" w14:textId="12FE0C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treatment options and decisions </w:t>
      </w:r>
    </w:p>
    <w:p w14:paraId="2E79DC6D" w14:textId="3730E4DB"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medication recommendations </w:t>
      </w:r>
    </w:p>
    <w:p w14:paraId="140A11D9"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a patient in respect of whom, an attendance under items </w:t>
      </w:r>
      <w:r>
        <w:rPr>
          <w:rFonts w:ascii="Arial Narrow" w:hAnsi="Arial Narrow" w:cs="Calibri"/>
          <w:color w:val="000000"/>
          <w:sz w:val="20"/>
          <w:lang w:eastAsia="en-AU"/>
        </w:rPr>
        <w:t>6051</w:t>
      </w:r>
      <w:r w:rsidRPr="00676763">
        <w:rPr>
          <w:rFonts w:ascii="Arial Narrow" w:hAnsi="Arial Narrow" w:cs="Calibri"/>
          <w:color w:val="000000"/>
          <w:sz w:val="20"/>
          <w:lang w:eastAsia="en-AU"/>
        </w:rPr>
        <w:t xml:space="preserve"> and </w:t>
      </w:r>
      <w:r>
        <w:rPr>
          <w:rFonts w:ascii="Arial Narrow" w:hAnsi="Arial Narrow" w:cs="Calibri"/>
          <w:color w:val="000000"/>
          <w:sz w:val="20"/>
          <w:lang w:eastAsia="en-AU"/>
        </w:rPr>
        <w:t>6052</w:t>
      </w:r>
      <w:r w:rsidRPr="00676763">
        <w:rPr>
          <w:rFonts w:ascii="Arial Narrow" w:hAnsi="Arial Narrow" w:cs="Calibri"/>
          <w:color w:val="000000"/>
          <w:sz w:val="20"/>
          <w:lang w:eastAsia="en-AU"/>
        </w:rPr>
        <w:t xml:space="preserve"> has been received on the same day by the same </w:t>
      </w:r>
      <w:r w:rsidRPr="000E2752">
        <w:rPr>
          <w:rFonts w:ascii="Arial Narrow" w:hAnsi="Arial Narrow" w:cs="Calibri"/>
          <w:color w:val="000000"/>
          <w:sz w:val="20"/>
          <w:lang w:eastAsia="en-AU"/>
        </w:rPr>
        <w:t xml:space="preserve">sexual health medicine </w:t>
      </w:r>
      <w:r>
        <w:rPr>
          <w:rFonts w:ascii="Arial Narrow" w:hAnsi="Arial Narrow" w:cs="Calibri"/>
          <w:color w:val="000000"/>
          <w:sz w:val="20"/>
          <w:lang w:eastAsia="en-AU"/>
        </w:rPr>
        <w:t>specialist</w:t>
      </w:r>
      <w:r w:rsidRPr="00676763">
        <w:rPr>
          <w:rFonts w:ascii="Arial Narrow" w:hAnsi="Arial Narrow" w:cs="Calibri"/>
          <w:color w:val="000000"/>
          <w:sz w:val="20"/>
          <w:lang w:eastAsia="en-AU"/>
        </w:rPr>
        <w:t xml:space="preserve">. </w:t>
      </w:r>
    </w:p>
    <w:p w14:paraId="615B79E9"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the patient in respect of whom, in the preceding 12 months, payment has been made under this item for attendance by the same </w:t>
      </w:r>
      <w:r w:rsidRPr="000E2752">
        <w:rPr>
          <w:rFonts w:ascii="Arial Narrow" w:hAnsi="Arial Narrow" w:cs="Calibri"/>
          <w:color w:val="000000"/>
          <w:sz w:val="20"/>
          <w:lang w:eastAsia="en-AU"/>
        </w:rPr>
        <w:t xml:space="preserve">sexual health medicine </w:t>
      </w:r>
      <w:r>
        <w:rPr>
          <w:rFonts w:ascii="Arial Narrow" w:hAnsi="Arial Narrow" w:cs="Calibri"/>
          <w:color w:val="000000"/>
          <w:sz w:val="20"/>
          <w:lang w:eastAsia="en-AU"/>
        </w:rPr>
        <w:t>specialist.</w:t>
      </w:r>
    </w:p>
    <w:p w14:paraId="0D60D5CF" w14:textId="78D55411" w:rsidR="00F63DE5" w:rsidRPr="00580523"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b/>
          <w:color w:val="000000"/>
          <w:sz w:val="20"/>
          <w:lang w:eastAsia="en-AU"/>
        </w:rPr>
      </w:pPr>
      <w:r w:rsidRPr="00580523">
        <w:rPr>
          <w:rFonts w:ascii="Arial Narrow" w:hAnsi="Arial Narrow" w:cs="Verdana"/>
          <w:b/>
          <w:bCs/>
          <w:sz w:val="20"/>
          <w:lang w:val="en-US" w:eastAsia="en-AU"/>
        </w:rPr>
        <w:t>Fee:</w:t>
      </w:r>
      <w:r w:rsidRPr="00580523">
        <w:rPr>
          <w:rFonts w:ascii="Arial Narrow" w:hAnsi="Arial Narrow" w:cs="Verdana"/>
          <w:b/>
          <w:sz w:val="20"/>
          <w:lang w:val="en-US" w:eastAsia="en-AU"/>
        </w:rPr>
        <w:t xml:space="preserve"> $263.90</w:t>
      </w:r>
      <w:r w:rsidR="00A119C3">
        <w:rPr>
          <w:rFonts w:ascii="Arial Narrow" w:hAnsi="Arial Narrow" w:cs="Verdana"/>
          <w:b/>
          <w:sz w:val="20"/>
          <w:lang w:val="en-US" w:eastAsia="en-AU"/>
        </w:rPr>
        <w:tab/>
      </w:r>
      <w:r w:rsidRPr="00580523">
        <w:rPr>
          <w:rFonts w:ascii="Arial Narrow" w:hAnsi="Arial Narrow" w:cs="Verdana"/>
          <w:b/>
          <w:bCs/>
          <w:sz w:val="20"/>
          <w:lang w:val="en-US" w:eastAsia="en-AU"/>
        </w:rPr>
        <w:t>Benefit:</w:t>
      </w:r>
      <w:r w:rsidRPr="00580523">
        <w:rPr>
          <w:rFonts w:ascii="Arial Narrow" w:hAnsi="Arial Narrow" w:cs="Verdana"/>
          <w:b/>
          <w:sz w:val="20"/>
          <w:lang w:val="en-US" w:eastAsia="en-AU"/>
        </w:rPr>
        <w:t xml:space="preserve"> 75% = $197.95</w:t>
      </w:r>
      <w:r w:rsidR="00A119C3">
        <w:rPr>
          <w:rFonts w:ascii="Arial Narrow" w:hAnsi="Arial Narrow" w:cs="Verdana"/>
          <w:b/>
          <w:sz w:val="20"/>
          <w:lang w:val="en-US" w:eastAsia="en-AU"/>
        </w:rPr>
        <w:tab/>
      </w:r>
      <w:r w:rsidRPr="00580523">
        <w:rPr>
          <w:rFonts w:ascii="Arial Narrow" w:hAnsi="Arial Narrow" w:cs="Verdana"/>
          <w:b/>
          <w:sz w:val="20"/>
          <w:lang w:val="en-US" w:eastAsia="en-AU"/>
        </w:rPr>
        <w:t>85% = $224.35</w:t>
      </w:r>
    </w:p>
    <w:p w14:paraId="56F72AD5" w14:textId="77777777" w:rsidR="00F63DE5" w:rsidRPr="00B54671"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szCs w:val="20"/>
          <w:lang w:eastAsia="en-AU"/>
        </w:rPr>
      </w:pPr>
      <w:r w:rsidRPr="00337D61">
        <w:rPr>
          <w:rStyle w:val="Strong"/>
          <w:sz w:val="20"/>
        </w:rPr>
        <w:t xml:space="preserve">SEXUAL HEALTH MEDICINE SPECIALIST, </w:t>
      </w:r>
      <w:r w:rsidRPr="00337D61">
        <w:rPr>
          <w:rStyle w:val="Strong"/>
          <w:sz w:val="20"/>
          <w:szCs w:val="20"/>
        </w:rPr>
        <w:t>REVIEW OF REFERRED PATIENT TREATMENT AND MANAGEMENT PLAN - SURGERY OR HOSPITAL</w:t>
      </w:r>
    </w:p>
    <w:p w14:paraId="633315E7" w14:textId="77777777" w:rsidR="00F63DE5" w:rsidRPr="00DD10E9"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6060</w:t>
      </w:r>
    </w:p>
    <w:p w14:paraId="2096BB8B"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Professional attendance of at least 20 minutes duration subsequent to the first attendance in a single course of treatment for a review of a patient</w:t>
      </w:r>
      <w:r>
        <w:rPr>
          <w:rFonts w:ascii="Arial Narrow" w:hAnsi="Arial Narrow"/>
          <w:color w:val="000000"/>
          <w:sz w:val="20"/>
          <w:lang w:eastAsia="en-AU"/>
        </w:rPr>
        <w:t xml:space="preserve"> with at least two morbidities where: </w:t>
      </w:r>
    </w:p>
    <w:p w14:paraId="65262519"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a) a review is undertaken that covers: </w:t>
      </w:r>
    </w:p>
    <w:p w14:paraId="65A79A16" w14:textId="64F87131"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review of initial presenting problem/s and results of diagnostic investigations </w:t>
      </w:r>
    </w:p>
    <w:p w14:paraId="4A79F99A" w14:textId="3861E58B"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review of responses to treatment and medication plans initiated at time of initial consultation comprehensive multi or </w:t>
      </w:r>
      <w:r>
        <w:rPr>
          <w:rFonts w:ascii="Arial Narrow" w:hAnsi="Arial Narrow" w:cs="Calibri"/>
          <w:color w:val="000000"/>
          <w:sz w:val="20"/>
          <w:lang w:eastAsia="en-AU"/>
        </w:rPr>
        <w:br/>
      </w: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detailed single organ system assessment, </w:t>
      </w:r>
    </w:p>
    <w:p w14:paraId="63ACE811" w14:textId="7715DEF9"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review of original and differential diagnoses; and </w:t>
      </w:r>
    </w:p>
    <w:p w14:paraId="283D04EE" w14:textId="00B2C33B"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b) a modified consultant physician treatment and management plan is provided to the referring practitioner that involves, where appropriate: </w:t>
      </w:r>
    </w:p>
    <w:p w14:paraId="71C7CB3E" w14:textId="1EAFD586"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a revised opinion on the diagnosis and risk assessment </w:t>
      </w:r>
    </w:p>
    <w:p w14:paraId="4BE20959" w14:textId="5A9F28DB"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treatment options and decisions </w:t>
      </w:r>
    </w:p>
    <w:p w14:paraId="1002A834" w14:textId="26EF35B9" w:rsidR="00F63DE5" w:rsidRPr="00C3659E"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revised medication recommendations </w:t>
      </w:r>
    </w:p>
    <w:p w14:paraId="50FB8E02" w14:textId="77777777" w:rsidR="00F63DE5" w:rsidRPr="008F187F"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Not being an attendance on a patient in respect of whom, an attendance under item </w:t>
      </w:r>
      <w:r>
        <w:rPr>
          <w:rFonts w:ascii="Arial Narrow" w:hAnsi="Arial Narrow" w:cs="Calibri"/>
          <w:color w:val="000000"/>
          <w:sz w:val="20"/>
          <w:u w:val="single"/>
          <w:lang w:eastAsia="en-AU"/>
        </w:rPr>
        <w:t>6051</w:t>
      </w:r>
      <w:r w:rsidRPr="008F187F">
        <w:rPr>
          <w:rFonts w:ascii="Arial Narrow" w:hAnsi="Arial Narrow"/>
          <w:color w:val="000000"/>
          <w:sz w:val="20"/>
          <w:lang w:eastAsia="en-AU"/>
        </w:rPr>
        <w:t xml:space="preserve">, </w:t>
      </w:r>
      <w:r>
        <w:rPr>
          <w:rFonts w:ascii="Arial Narrow" w:hAnsi="Arial Narrow"/>
          <w:color w:val="000000"/>
          <w:sz w:val="20"/>
          <w:lang w:eastAsia="en-AU"/>
        </w:rPr>
        <w:t xml:space="preserve">or </w:t>
      </w:r>
      <w:r>
        <w:rPr>
          <w:rFonts w:ascii="Arial Narrow" w:hAnsi="Arial Narrow" w:cs="Calibri"/>
          <w:color w:val="000000"/>
          <w:sz w:val="20"/>
          <w:u w:val="single"/>
          <w:lang w:eastAsia="en-AU"/>
        </w:rPr>
        <w:t xml:space="preserve">6052 </w:t>
      </w:r>
      <w:r w:rsidRPr="008F187F">
        <w:rPr>
          <w:rFonts w:ascii="Arial Narrow" w:hAnsi="Arial Narrow"/>
          <w:color w:val="000000"/>
          <w:sz w:val="20"/>
          <w:lang w:eastAsia="en-AU"/>
        </w:rPr>
        <w:t xml:space="preserve">has been received on the same day by the same </w:t>
      </w:r>
      <w:r w:rsidRPr="000E2752">
        <w:rPr>
          <w:rFonts w:ascii="Arial Narrow" w:hAnsi="Arial Narrow" w:cs="Calibri"/>
          <w:color w:val="000000"/>
          <w:sz w:val="20"/>
          <w:lang w:eastAsia="en-AU"/>
        </w:rPr>
        <w:t xml:space="preserve">sexual health medicine </w:t>
      </w:r>
      <w:r>
        <w:rPr>
          <w:rFonts w:ascii="Arial Narrow" w:hAnsi="Arial Narrow" w:cs="Calibri"/>
          <w:color w:val="000000"/>
          <w:sz w:val="20"/>
          <w:lang w:eastAsia="en-AU"/>
        </w:rPr>
        <w:t>specialist</w:t>
      </w:r>
      <w:r w:rsidRPr="008F187F">
        <w:rPr>
          <w:rFonts w:ascii="Arial Narrow" w:hAnsi="Arial Narrow"/>
          <w:color w:val="000000"/>
          <w:sz w:val="20"/>
          <w:lang w:eastAsia="en-AU"/>
        </w:rPr>
        <w:t xml:space="preserve">. </w:t>
      </w:r>
    </w:p>
    <w:p w14:paraId="5D83C8A1" w14:textId="77777777" w:rsidR="00F63DE5" w:rsidRPr="008F187F"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Being an attendance on a patient in respect of whom, in the preceding 12 months, payment has been made under item </w:t>
      </w:r>
      <w:r>
        <w:rPr>
          <w:rFonts w:ascii="Arial Narrow" w:hAnsi="Arial Narrow" w:cs="Calibri"/>
          <w:color w:val="000000"/>
          <w:sz w:val="20"/>
          <w:u w:val="single"/>
          <w:lang w:eastAsia="en-AU"/>
        </w:rPr>
        <w:t xml:space="preserve">6059 </w:t>
      </w:r>
      <w:r w:rsidRPr="008F187F">
        <w:rPr>
          <w:rFonts w:ascii="Arial Narrow" w:hAnsi="Arial Narrow"/>
          <w:color w:val="000000"/>
          <w:sz w:val="20"/>
          <w:lang w:eastAsia="en-AU"/>
        </w:rPr>
        <w:t xml:space="preserve">by the same </w:t>
      </w:r>
      <w:r w:rsidRPr="000E2752">
        <w:rPr>
          <w:rFonts w:ascii="Arial Narrow" w:hAnsi="Arial Narrow" w:cs="Calibri"/>
          <w:color w:val="000000"/>
          <w:sz w:val="20"/>
          <w:lang w:eastAsia="en-AU"/>
        </w:rPr>
        <w:t xml:space="preserve">sexual health medicine </w:t>
      </w:r>
      <w:r>
        <w:rPr>
          <w:rFonts w:ascii="Arial Narrow" w:hAnsi="Arial Narrow" w:cs="Calibri"/>
          <w:color w:val="000000"/>
          <w:sz w:val="20"/>
          <w:lang w:eastAsia="en-AU"/>
        </w:rPr>
        <w:t>specialist</w:t>
      </w:r>
      <w:r w:rsidRPr="008F187F">
        <w:rPr>
          <w:rFonts w:ascii="Arial Narrow" w:hAnsi="Arial Narrow"/>
          <w:color w:val="000000"/>
          <w:sz w:val="20"/>
          <w:lang w:eastAsia="en-AU"/>
        </w:rPr>
        <w:t xml:space="preserve">, payable no more than twice in any 12-month period. </w:t>
      </w:r>
    </w:p>
    <w:p w14:paraId="23B4A387" w14:textId="56BC680E" w:rsidR="00F63DE5" w:rsidRPr="00FC21C4" w:rsidRDefault="00F63DE5" w:rsidP="005F47B7">
      <w:pPr>
        <w:widowControl w:val="0"/>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autoSpaceDE w:val="0"/>
        <w:autoSpaceDN w:val="0"/>
        <w:adjustRightInd w:val="0"/>
        <w:spacing w:before="0" w:after="0" w:line="240" w:lineRule="auto"/>
        <w:rPr>
          <w:rFonts w:ascii="Arial Narrow" w:hAnsi="Arial Narrow" w:cs="Verdana"/>
          <w:b/>
          <w:sz w:val="20"/>
          <w:lang w:val="en-US" w:eastAsia="en-AU"/>
        </w:rPr>
      </w:pPr>
      <w:r w:rsidRPr="00E11452">
        <w:rPr>
          <w:rFonts w:ascii="Arial Narrow" w:hAnsi="Arial Narrow" w:cs="Verdana"/>
          <w:b/>
          <w:bCs/>
          <w:sz w:val="20"/>
          <w:lang w:val="en-US" w:eastAsia="en-AU"/>
        </w:rPr>
        <w:t>Fee:</w:t>
      </w:r>
      <w:r w:rsidRPr="00E11452">
        <w:rPr>
          <w:rFonts w:ascii="Arial Narrow" w:hAnsi="Arial Narrow" w:cs="Verdana"/>
          <w:b/>
          <w:sz w:val="20"/>
          <w:lang w:val="en-US" w:eastAsia="en-AU"/>
        </w:rPr>
        <w:t xml:space="preserve"> $132.10</w:t>
      </w:r>
      <w:r w:rsidR="00A119C3">
        <w:rPr>
          <w:rFonts w:ascii="Arial Narrow" w:hAnsi="Arial Narrow" w:cs="Verdana"/>
          <w:b/>
          <w:sz w:val="20"/>
          <w:lang w:val="en-US" w:eastAsia="en-AU"/>
        </w:rPr>
        <w:tab/>
      </w:r>
      <w:r w:rsidRPr="00E11452">
        <w:rPr>
          <w:rFonts w:ascii="Arial Narrow" w:hAnsi="Arial Narrow" w:cs="Verdana"/>
          <w:b/>
          <w:bCs/>
          <w:sz w:val="20"/>
          <w:lang w:val="en-US" w:eastAsia="en-AU"/>
        </w:rPr>
        <w:t>Benefit:</w:t>
      </w:r>
      <w:r w:rsidRPr="00E11452">
        <w:rPr>
          <w:rFonts w:ascii="Arial Narrow" w:hAnsi="Arial Narrow" w:cs="Verdana"/>
          <w:b/>
          <w:sz w:val="20"/>
          <w:lang w:val="en-US" w:eastAsia="en-AU"/>
        </w:rPr>
        <w:t xml:space="preserve"> 75% = $99.10</w:t>
      </w:r>
      <w:r w:rsidR="00A119C3">
        <w:rPr>
          <w:rFonts w:ascii="Arial Narrow" w:hAnsi="Arial Narrow" w:cs="Verdana"/>
          <w:b/>
          <w:sz w:val="20"/>
          <w:lang w:val="en-US" w:eastAsia="en-AU"/>
        </w:rPr>
        <w:tab/>
      </w:r>
      <w:r w:rsidRPr="00E11452">
        <w:rPr>
          <w:rFonts w:ascii="Arial Narrow" w:hAnsi="Arial Narrow" w:cs="Verdana"/>
          <w:b/>
          <w:sz w:val="20"/>
          <w:lang w:val="en-US" w:eastAsia="en-AU"/>
        </w:rPr>
        <w:t>85% = $112.30</w:t>
      </w:r>
    </w:p>
    <w:p w14:paraId="41ECBDB8" w14:textId="77777777" w:rsidR="00F63DE5" w:rsidRDefault="00F63DE5" w:rsidP="009D5FB4">
      <w:pPr>
        <w:pStyle w:val="AspexBodyStandard"/>
      </w:pPr>
    </w:p>
    <w:p w14:paraId="2F074AFA" w14:textId="77777777" w:rsidR="009D5FB4" w:rsidRPr="00377163" w:rsidRDefault="009D5FB4" w:rsidP="009D5FB4">
      <w:pPr>
        <w:pStyle w:val="AspexBodyStandard"/>
      </w:pPr>
      <w:r>
        <w:lastRenderedPageBreak/>
        <w:t>Scenario modelling for c</w:t>
      </w:r>
      <w:r w:rsidRPr="00377163">
        <w:t>omplex treatment and management planning</w:t>
      </w:r>
      <w:r>
        <w:t xml:space="preserve"> items assumed that:</w:t>
      </w:r>
    </w:p>
    <w:p w14:paraId="45D41536" w14:textId="0DF8FAD9" w:rsidR="0011383D" w:rsidRPr="0011383D" w:rsidRDefault="009D5FB4" w:rsidP="0011383D">
      <w:pPr>
        <w:pStyle w:val="AspexBullet1"/>
      </w:pPr>
      <w:r w:rsidRPr="0011383D">
        <w:t xml:space="preserve">Costs for 5% of all observed assessment items would be transferred to </w:t>
      </w:r>
      <w:r w:rsidR="00314A01">
        <w:t xml:space="preserve">a </w:t>
      </w:r>
      <w:r w:rsidRPr="0011383D">
        <w:t>rate of complex assessment and treatment planning at the physic</w:t>
      </w:r>
      <w:r w:rsidR="00314A01">
        <w:t xml:space="preserve">ian equivalent MBS item </w:t>
      </w:r>
      <w:r w:rsidRPr="0011383D">
        <w:t>132</w:t>
      </w:r>
      <w:r w:rsidR="00314A01">
        <w:t xml:space="preserve"> rate</w:t>
      </w:r>
      <w:r w:rsidRPr="0011383D">
        <w:t xml:space="preserve"> (development of a plan)</w:t>
      </w:r>
      <w:r w:rsidR="00BD188C">
        <w:t>;</w:t>
      </w:r>
      <w:r w:rsidRPr="0011383D">
        <w:t xml:space="preserve"> </w:t>
      </w:r>
    </w:p>
    <w:p w14:paraId="743EA1E3" w14:textId="23BC171F" w:rsidR="009D5FB4" w:rsidRDefault="009D5FB4" w:rsidP="009D5FB4">
      <w:pPr>
        <w:pStyle w:val="AspexBullet1"/>
      </w:pPr>
      <w:r>
        <w:t>The number of services corresponding to 10% of assessments was also converted to a physician equivalent rate for follow-up of complex assessment and treatment planning (tier 2) using MBS item 133. (10% of assessments were converted to account for a maximum of two follow-ups for each complex assessment undertaken)</w:t>
      </w:r>
      <w:r w:rsidR="00BD188C">
        <w:t>; and</w:t>
      </w:r>
    </w:p>
    <w:p w14:paraId="21D58989" w14:textId="77777777" w:rsidR="009D5FB4" w:rsidRDefault="009D5FB4" w:rsidP="009D5FB4">
      <w:pPr>
        <w:pStyle w:val="AspexBullet1"/>
      </w:pPr>
      <w:r>
        <w:t xml:space="preserve">These converted rates were added to the existing estimates derived </w:t>
      </w:r>
      <w:r w:rsidR="0011383D">
        <w:t>for physician equivalent</w:t>
      </w:r>
      <w:r>
        <w:t xml:space="preserve"> items.</w:t>
      </w:r>
    </w:p>
    <w:p w14:paraId="180A2137" w14:textId="77777777" w:rsidR="009D5FB4" w:rsidRDefault="009D5FB4" w:rsidP="009D5FB4">
      <w:pPr>
        <w:pStyle w:val="AspexBodyStandard"/>
      </w:pPr>
      <w:r>
        <w:t>Results of the scenario modelling are presented in Chapter 7.</w:t>
      </w:r>
    </w:p>
    <w:p w14:paraId="57A909A7" w14:textId="77777777" w:rsidR="002C14D4" w:rsidRDefault="001B5CAD" w:rsidP="007333CE">
      <w:pPr>
        <w:pStyle w:val="Heading2"/>
      </w:pPr>
      <w:bookmarkStart w:id="158" w:name="_Toc351480540"/>
      <w:r>
        <w:t>MBS items for m</w:t>
      </w:r>
      <w:r w:rsidR="002C14D4">
        <w:t>ultidisciplinary case conferencing</w:t>
      </w:r>
      <w:bookmarkEnd w:id="158"/>
    </w:p>
    <w:p w14:paraId="3197B501" w14:textId="77777777" w:rsidR="008E6665" w:rsidRDefault="009D5FB4" w:rsidP="00CF3A3C">
      <w:pPr>
        <w:pStyle w:val="Caption"/>
      </w:pPr>
      <w:r>
        <w:t xml:space="preserve">The proposed item structure for multidisciplinary case conferencing is presented in </w:t>
      </w:r>
      <w:r>
        <w:fldChar w:fldCharType="begin"/>
      </w:r>
      <w:r>
        <w:instrText xml:space="preserve"> REF _Ref224013753 \h </w:instrText>
      </w:r>
      <w:r>
        <w:fldChar w:fldCharType="separate"/>
      </w:r>
      <w:r w:rsidR="008E6665">
        <w:rPr>
          <w:noProof/>
          <w:lang w:eastAsia="en-AU"/>
        </w:rPr>
        <w:drawing>
          <wp:inline distT="0" distB="0" distL="0" distR="0" wp14:anchorId="3C80935B" wp14:editId="202F011B">
            <wp:extent cx="5118050" cy="2981960"/>
            <wp:effectExtent l="57150" t="0" r="26035" b="0"/>
            <wp:docPr id="11" name="Diagram 11" title="Figure 6 7: Proposed structure for multi-disciplinary case conferencing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AE4413C" w14:textId="5038AEAB" w:rsidR="00707C24" w:rsidRDefault="009D5FB4" w:rsidP="003A5D76">
      <w:pPr>
        <w:pStyle w:val="AspexBodyStandard"/>
      </w:pPr>
      <w:r>
        <w:fldChar w:fldCharType="end"/>
      </w:r>
      <w:r>
        <w:t xml:space="preserve">, to parallel equivalent MBS items available to </w:t>
      </w:r>
      <w:r w:rsidR="00773057">
        <w:t>g</w:t>
      </w:r>
      <w:r>
        <w:t xml:space="preserve">eneral </w:t>
      </w:r>
      <w:r w:rsidR="00773057">
        <w:t>p</w:t>
      </w:r>
      <w:r>
        <w:t xml:space="preserve">ractitioners, </w:t>
      </w:r>
      <w:r w:rsidR="00B578FC">
        <w:t xml:space="preserve">consultant </w:t>
      </w:r>
      <w:r w:rsidR="00773057">
        <w:t>p</w:t>
      </w:r>
      <w:r>
        <w:t xml:space="preserve">hysicians and </w:t>
      </w:r>
      <w:r w:rsidR="00773057">
        <w:t>p</w:t>
      </w:r>
      <w:r>
        <w:t xml:space="preserve">sychiatrists.  To promote efficiency, these items have been constructed to replicate the </w:t>
      </w:r>
      <w:r w:rsidR="003B7CD2">
        <w:t>time-tiered</w:t>
      </w:r>
      <w:r>
        <w:t xml:space="preserve"> items previously discussed.  Differences exist in the percentage of rebate depending upon whether:</w:t>
      </w:r>
    </w:p>
    <w:p w14:paraId="71A74E0C" w14:textId="77777777" w:rsidR="009D5FB4" w:rsidRDefault="009D5FB4" w:rsidP="009D5FB4">
      <w:pPr>
        <w:pStyle w:val="AspexBullet1"/>
      </w:pPr>
      <w:r>
        <w:t>The specialist has previously co-ordinated case conference participation by different professionals and acted as case conference chair. In this case full time tier rates may apply; or</w:t>
      </w:r>
    </w:p>
    <w:p w14:paraId="3A6A057D" w14:textId="77777777" w:rsidR="009D5FB4" w:rsidRDefault="009D5FB4" w:rsidP="009D5FB4">
      <w:pPr>
        <w:pStyle w:val="AspexBullet1"/>
      </w:pPr>
      <w:r>
        <w:t>The specialist has participated in a case conference co-ordinated and chaired by another professional.  In this case an 80% benefit of the full rebate may apply.</w:t>
      </w:r>
    </w:p>
    <w:p w14:paraId="251DC7D6" w14:textId="77777777" w:rsidR="00017202" w:rsidRDefault="00017202" w:rsidP="00017202">
      <w:pPr>
        <w:pStyle w:val="AspexBullet1"/>
        <w:numPr>
          <w:ilvl w:val="0"/>
          <w:numId w:val="0"/>
        </w:numPr>
      </w:pPr>
    </w:p>
    <w:p w14:paraId="3DCE0D5F" w14:textId="77777777" w:rsidR="00017202" w:rsidRPr="001905EE" w:rsidRDefault="00017202" w:rsidP="00017202">
      <w:pPr>
        <w:pStyle w:val="Caption"/>
      </w:pPr>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noBreakHyphen/>
      </w:r>
      <w:r w:rsidR="008E6665">
        <w:fldChar w:fldCharType="begin"/>
      </w:r>
      <w:r w:rsidR="008E6665">
        <w:instrText xml:space="preserve"> SEQ Figure \* ARABIC \s 1 </w:instrText>
      </w:r>
      <w:r w:rsidR="008E6665">
        <w:fldChar w:fldCharType="separate"/>
      </w:r>
      <w:r w:rsidR="008E6665">
        <w:rPr>
          <w:noProof/>
        </w:rPr>
        <w:t>7</w:t>
      </w:r>
      <w:r w:rsidR="008E6665">
        <w:rPr>
          <w:noProof/>
        </w:rPr>
        <w:fldChar w:fldCharType="end"/>
      </w:r>
      <w:r>
        <w:rPr>
          <w:noProof/>
        </w:rPr>
        <w:t>:</w:t>
      </w:r>
      <w:r w:rsidRPr="001905EE">
        <w:tab/>
        <w:t xml:space="preserve">Proposed </w:t>
      </w:r>
      <w:r>
        <w:t>structure</w:t>
      </w:r>
      <w:r w:rsidRPr="001905EE">
        <w:t xml:space="preserve"> for </w:t>
      </w:r>
      <w:r>
        <w:t>multi-disciplinary case conferencing items</w:t>
      </w:r>
    </w:p>
    <w:p w14:paraId="7E1AEFEE" w14:textId="77777777" w:rsidR="00017202" w:rsidRDefault="00D72754" w:rsidP="00CF3A3C">
      <w:pPr>
        <w:pStyle w:val="Caption"/>
      </w:pPr>
      <w:bookmarkStart w:id="159" w:name="_Ref224013753"/>
      <w:bookmarkStart w:id="160" w:name="_Toc351129625"/>
      <w:r>
        <w:rPr>
          <w:noProof/>
          <w:lang w:eastAsia="en-AU"/>
        </w:rPr>
        <w:lastRenderedPageBreak/>
        <w:drawing>
          <wp:inline distT="0" distB="0" distL="0" distR="0" wp14:anchorId="3C80935B" wp14:editId="202F011B">
            <wp:extent cx="5118050" cy="2981960"/>
            <wp:effectExtent l="57150" t="0" r="26035" b="0"/>
            <wp:docPr id="37" name="Diagram 37" title="Figure 6 7: Proposed structure for multi-disciplinary case conferencing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bookmarkEnd w:id="159"/>
    <w:bookmarkEnd w:id="160"/>
    <w:p w14:paraId="0568623C" w14:textId="77777777" w:rsidR="00E007FD" w:rsidRDefault="00E007FD" w:rsidP="00741479">
      <w:pPr>
        <w:pStyle w:val="AspexBodyStandard"/>
      </w:pPr>
    </w:p>
    <w:p w14:paraId="108D43A2" w14:textId="77777777" w:rsidR="0011383D" w:rsidRDefault="0011383D" w:rsidP="00052019">
      <w:pPr>
        <w:pStyle w:val="AspexBodyStandard"/>
      </w:pPr>
      <w:r>
        <w:rPr>
          <w:noProof/>
          <w:lang w:eastAsia="en-AU"/>
        </w:rPr>
        <w:drawing>
          <wp:inline distT="0" distB="0" distL="0" distR="0" wp14:anchorId="40579F5F" wp14:editId="7ABC7716">
            <wp:extent cx="5262880" cy="3071031"/>
            <wp:effectExtent l="57150" t="0" r="13970" b="0"/>
            <wp:docPr id="38" name="Diagram 38" descr="Continued" title="Figure 6 7: Proposed structure for multi-disciplinary case conferencing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16685B4C" w14:textId="35FEB766" w:rsidR="00FD38E8" w:rsidRDefault="009D5FB4" w:rsidP="00052019">
      <w:pPr>
        <w:pStyle w:val="AspexBodyStandard"/>
      </w:pPr>
      <w:r>
        <w:t xml:space="preserve">Proposed item descriptors for multidisciplinary case conferencing are presented in </w:t>
      </w:r>
      <w:r>
        <w:fldChar w:fldCharType="begin"/>
      </w:r>
      <w:r>
        <w:instrText xml:space="preserve"> REF _Ref224014038 \h </w:instrText>
      </w:r>
      <w:r>
        <w:fldChar w:fldCharType="separate"/>
      </w:r>
      <w:r w:rsidR="008E6665" w:rsidRPr="001905EE">
        <w:t xml:space="preserve">Figure </w:t>
      </w:r>
      <w:r w:rsidR="008E6665">
        <w:rPr>
          <w:noProof/>
        </w:rPr>
        <w:t>6</w:t>
      </w:r>
      <w:r w:rsidR="008E6665">
        <w:noBreakHyphen/>
      </w:r>
      <w:r w:rsidR="008E6665">
        <w:rPr>
          <w:noProof/>
        </w:rPr>
        <w:t>8</w:t>
      </w:r>
      <w:r>
        <w:fldChar w:fldCharType="end"/>
      </w:r>
      <w:r w:rsidR="00314A01">
        <w:t>.</w:t>
      </w:r>
    </w:p>
    <w:p w14:paraId="3C8323FD" w14:textId="2D52BED8" w:rsidR="009D5FB4" w:rsidRPr="001905EE" w:rsidRDefault="009D5FB4" w:rsidP="00CF3A3C">
      <w:pPr>
        <w:pStyle w:val="Caption"/>
      </w:pPr>
      <w:bookmarkStart w:id="161" w:name="_Ref224014038"/>
      <w:bookmarkStart w:id="162" w:name="_Toc351129626"/>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8</w:t>
      </w:r>
      <w:r w:rsidR="008E6665">
        <w:rPr>
          <w:noProof/>
        </w:rPr>
        <w:fldChar w:fldCharType="end"/>
      </w:r>
      <w:bookmarkEnd w:id="161"/>
      <w:r w:rsidR="00632F42">
        <w:rPr>
          <w:noProof/>
        </w:rPr>
        <w:t>:</w:t>
      </w:r>
      <w:r w:rsidRPr="001905EE">
        <w:tab/>
        <w:t xml:space="preserve">Proposed </w:t>
      </w:r>
      <w:r w:rsidR="003E6994">
        <w:t>descriptors</w:t>
      </w:r>
      <w:r w:rsidRPr="001905EE">
        <w:t xml:space="preserve"> for </w:t>
      </w:r>
      <w:r w:rsidR="00FC21C4">
        <w:t>multidisciplinary case conferencing</w:t>
      </w:r>
      <w:r>
        <w:t xml:space="preserve"> items</w:t>
      </w:r>
      <w:bookmarkEnd w:id="162"/>
    </w:p>
    <w:p w14:paraId="4B6EA8F7" w14:textId="77777777" w:rsidR="00F63DE5" w:rsidRPr="00F330FD"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ORGANISATION AND CHAIR</w:t>
      </w:r>
      <w:r>
        <w:rPr>
          <w:b/>
          <w:bCs/>
        </w:rPr>
        <w:t xml:space="preserve"> </w:t>
      </w:r>
      <w:r>
        <w:rPr>
          <w:rFonts w:ascii="Arial Narrow" w:hAnsi="Arial Narrow"/>
          <w:b/>
          <w:bCs/>
          <w:color w:val="000000"/>
          <w:sz w:val="20"/>
          <w:lang w:eastAsia="en-AU"/>
        </w:rPr>
        <w:t>–</w:t>
      </w:r>
      <w:r w:rsidRPr="00690EC6">
        <w:rPr>
          <w:rFonts w:ascii="Arial Narrow" w:hAnsi="Arial Narrow"/>
          <w:b/>
          <w:bCs/>
          <w:color w:val="000000"/>
          <w:sz w:val="20"/>
          <w:lang w:eastAsia="en-AU"/>
        </w:rPr>
        <w:t xml:space="preserve"> </w:t>
      </w:r>
      <w:r>
        <w:rPr>
          <w:rFonts w:ascii="Arial Narrow" w:hAnsi="Arial Narrow"/>
          <w:b/>
          <w:bCs/>
          <w:color w:val="000000"/>
          <w:sz w:val="20"/>
          <w:lang w:eastAsia="en-AU"/>
        </w:rPr>
        <w:t>SEXUAL HEALTH MEDICINE SPECIALIST</w:t>
      </w:r>
    </w:p>
    <w:p w14:paraId="6F54EF75"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6064</w:t>
      </w:r>
    </w:p>
    <w:p w14:paraId="287352A4" w14:textId="77777777" w:rsidR="00F63DE5" w:rsidRPr="0094013A"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 xml:space="preserve">Attendance by an </w:t>
      </w:r>
      <w:r w:rsidRPr="000E2752">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w:t>
      </w:r>
      <w:r>
        <w:rPr>
          <w:rFonts w:ascii="Arial Narrow" w:hAnsi="Arial Narrow"/>
          <w:sz w:val="20"/>
          <w:szCs w:val="20"/>
        </w:rPr>
        <w:t>up to</w:t>
      </w:r>
      <w:r w:rsidRPr="0094013A">
        <w:rPr>
          <w:rFonts w:ascii="Arial Narrow" w:hAnsi="Arial Narrow"/>
          <w:sz w:val="20"/>
          <w:szCs w:val="20"/>
        </w:rPr>
        <w:t xml:space="preserve"> 15 minutes, with a multidisciplinary team of at least three other formal care pro</w:t>
      </w:r>
      <w:r>
        <w:rPr>
          <w:rFonts w:ascii="Arial Narrow" w:hAnsi="Arial Narrow"/>
          <w:sz w:val="20"/>
          <w:szCs w:val="20"/>
        </w:rPr>
        <w:t>viders of different disciplines.</w:t>
      </w:r>
    </w:p>
    <w:p w14:paraId="6B363012" w14:textId="77777777" w:rsidR="00F63DE5"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0" w:line="240" w:lineRule="auto"/>
        <w:rPr>
          <w:b/>
          <w:bCs/>
        </w:rPr>
      </w:pPr>
      <w:r w:rsidRPr="00735532">
        <w:rPr>
          <w:rFonts w:ascii="Arial Narrow" w:hAnsi="Arial Narrow"/>
          <w:b/>
          <w:color w:val="000000"/>
          <w:sz w:val="20"/>
          <w:lang w:val="en-US" w:eastAsia="ja-JP"/>
        </w:rPr>
        <w:lastRenderedPageBreak/>
        <w:t>Fee: $</w:t>
      </w:r>
      <w:r>
        <w:rPr>
          <w:rFonts w:ascii="Arial Narrow" w:hAnsi="Arial Narrow"/>
          <w:b/>
          <w:color w:val="000000"/>
          <w:sz w:val="20"/>
          <w:lang w:val="en-US" w:eastAsia="ja-JP"/>
        </w:rPr>
        <w:t>42.71</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32.03</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36.30</w:t>
      </w:r>
    </w:p>
    <w:p w14:paraId="18DF2238"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6065</w:t>
      </w:r>
    </w:p>
    <w:p w14:paraId="4330859A" w14:textId="77777777" w:rsidR="00F63DE5" w:rsidRPr="0094013A"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 xml:space="preserve">Attendance by an </w:t>
      </w:r>
      <w:r w:rsidRPr="000E2752">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at least 15 minutes but less than 30 minutes, with a multidisciplinary team of at least three other formal care pro</w:t>
      </w:r>
      <w:r>
        <w:rPr>
          <w:rFonts w:ascii="Arial Narrow" w:hAnsi="Arial Narrow"/>
          <w:sz w:val="20"/>
          <w:szCs w:val="20"/>
        </w:rPr>
        <w:t>viders of different disciplines.</w:t>
      </w:r>
    </w:p>
    <w:p w14:paraId="378234D2" w14:textId="74D118F0" w:rsidR="00F63DE5" w:rsidRPr="00F330FD"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after="120"/>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$75.50</w:t>
      </w:r>
      <w:r w:rsidR="00A119C3">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$56.65</w:t>
      </w:r>
      <w:r w:rsidR="00A119C3">
        <w:rPr>
          <w:rFonts w:ascii="Arial Narrow" w:hAnsi="Arial Narrow" w:cs="Verdana"/>
          <w:b/>
          <w:sz w:val="20"/>
          <w:lang w:val="en-US" w:eastAsia="en-AU"/>
        </w:rPr>
        <w:tab/>
      </w:r>
      <w:r w:rsidRPr="00715940">
        <w:rPr>
          <w:rFonts w:ascii="Arial Narrow" w:hAnsi="Arial Narrow" w:cs="Verdana"/>
          <w:b/>
          <w:sz w:val="20"/>
          <w:lang w:val="en-US" w:eastAsia="en-AU"/>
        </w:rPr>
        <w:t>85% = $64.20</w:t>
      </w:r>
    </w:p>
    <w:p w14:paraId="193127E5"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6067</w:t>
      </w:r>
    </w:p>
    <w:p w14:paraId="0DD43A3C" w14:textId="77777777" w:rsidR="00F63DE5" w:rsidRPr="0094013A"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 xml:space="preserve">an </w:t>
      </w:r>
      <w:r w:rsidRPr="000E2752">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30 minutes but less than 45 minutes, with a multidisciplinary team of at least three other formal care providers of different disciplines </w:t>
      </w:r>
    </w:p>
    <w:p w14:paraId="21CAD28F" w14:textId="77777777" w:rsidR="00F63DE5"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rPr>
          <w:rFonts w:ascii="Arial Narrow" w:hAnsi="Arial Narrow"/>
          <w:b/>
          <w:color w:val="000000"/>
          <w:sz w:val="20"/>
          <w:lang w:val="en-US" w:eastAsia="ja-JP"/>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113.29</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84.97</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96.30</w:t>
      </w:r>
    </w:p>
    <w:p w14:paraId="7B817C89" w14:textId="77777777" w:rsidR="00F31BD3" w:rsidRDefault="00F31BD3">
      <w:pPr>
        <w:spacing w:before="0" w:after="0" w:line="240" w:lineRule="auto"/>
        <w:rPr>
          <w:rFonts w:ascii="Arial Narrow" w:hAnsi="Arial Narrow" w:cs="Calibri"/>
          <w:color w:val="000000"/>
          <w:sz w:val="20"/>
          <w:u w:val="single"/>
          <w:lang w:eastAsia="en-AU"/>
        </w:rPr>
      </w:pPr>
      <w:r>
        <w:rPr>
          <w:rFonts w:ascii="Arial Narrow" w:hAnsi="Arial Narrow" w:cs="Calibri"/>
          <w:color w:val="000000"/>
          <w:sz w:val="20"/>
          <w:u w:val="single"/>
          <w:lang w:eastAsia="en-AU"/>
        </w:rPr>
        <w:br w:type="page"/>
      </w:r>
    </w:p>
    <w:p w14:paraId="7CFC8BB7" w14:textId="74E11F7A" w:rsidR="00F63DE5" w:rsidRDefault="00F63DE5" w:rsidP="00F63DE5">
      <w:pPr>
        <w:pBdr>
          <w:top w:val="single" w:sz="2" w:space="1" w:color="auto"/>
          <w:left w:val="single" w:sz="2" w:space="4" w:color="auto"/>
          <w:bottom w:val="single" w:sz="2" w:space="1" w:color="auto"/>
          <w:right w:val="single" w:sz="2" w:space="4" w:color="auto"/>
        </w:pBdr>
        <w:shd w:val="clear" w:color="auto" w:fill="C6D9F1" w:themeFill="text2" w:themeFillTint="33"/>
        <w:spacing w:after="120" w:line="240" w:lineRule="auto"/>
        <w:rPr>
          <w:rFonts w:ascii="Arial Narrow" w:hAnsi="Arial Narrow"/>
          <w:sz w:val="20"/>
        </w:rPr>
      </w:pPr>
      <w:r w:rsidRPr="00676763">
        <w:rPr>
          <w:rFonts w:ascii="Arial Narrow" w:hAnsi="Arial Narrow" w:cs="Calibri"/>
          <w:color w:val="000000"/>
          <w:sz w:val="20"/>
          <w:u w:val="single"/>
          <w:lang w:eastAsia="en-AU"/>
        </w:rPr>
        <w:lastRenderedPageBreak/>
        <w:t xml:space="preserve">MBS Item </w:t>
      </w:r>
      <w:r>
        <w:rPr>
          <w:rFonts w:ascii="Arial Narrow" w:hAnsi="Arial Narrow" w:cs="Calibri"/>
          <w:color w:val="000000"/>
          <w:sz w:val="20"/>
          <w:u w:val="single"/>
          <w:lang w:eastAsia="en-AU"/>
        </w:rPr>
        <w:t>6068</w:t>
      </w:r>
    </w:p>
    <w:p w14:paraId="7F88EE87" w14:textId="77777777" w:rsidR="00F63DE5" w:rsidRPr="0094013A"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 xml:space="preserve">an </w:t>
      </w:r>
      <w:r w:rsidRPr="000E2752">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45 minutes, with a multidisciplinary team of at least three other formal care providers of different disciplines </w:t>
      </w:r>
    </w:p>
    <w:p w14:paraId="4333A568" w14:textId="3D94D988" w:rsidR="00F63DE5" w:rsidRPr="0094013A"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after="120"/>
        <w:rPr>
          <w:rFonts w:ascii="Arial Narrow" w:hAnsi="Arial Narrow"/>
          <w:sz w:val="20"/>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A119C3">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w:t>
      </w:r>
      <w:r w:rsidR="00A119C3">
        <w:rPr>
          <w:rFonts w:ascii="Arial Narrow" w:hAnsi="Arial Narrow" w:cs="Verdana"/>
          <w:b/>
          <w:sz w:val="20"/>
          <w:lang w:val="en-US" w:eastAsia="en-AU"/>
        </w:rPr>
        <w:tab/>
      </w:r>
      <w:r w:rsidRPr="00715940">
        <w:rPr>
          <w:rFonts w:ascii="Arial Narrow" w:hAnsi="Arial Narrow" w:cs="Verdana"/>
          <w:b/>
          <w:sz w:val="20"/>
          <w:lang w:val="en-US" w:eastAsia="en-AU"/>
        </w:rPr>
        <w:t>85% = $128.30</w:t>
      </w:r>
    </w:p>
    <w:p w14:paraId="2F5D6411" w14:textId="77777777" w:rsidR="00F63DE5" w:rsidRPr="00F330FD"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PARTICIPATION -</w:t>
      </w:r>
      <w:r>
        <w:rPr>
          <w:rFonts w:ascii="Arial Narrow" w:hAnsi="Arial Narrow"/>
          <w:b/>
          <w:bCs/>
          <w:color w:val="000000"/>
          <w:sz w:val="20"/>
          <w:lang w:eastAsia="en-AU"/>
        </w:rPr>
        <w:t xml:space="preserve"> SEXUAL HEALTH MEDICINE SPECIALIST</w:t>
      </w:r>
    </w:p>
    <w:p w14:paraId="2CD4BF7C"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6071</w:t>
      </w:r>
    </w:p>
    <w:p w14:paraId="78C2D3AE"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sz w:val="20"/>
        </w:rPr>
      </w:pPr>
      <w:r w:rsidRPr="0094013A">
        <w:rPr>
          <w:rFonts w:ascii="Arial Narrow" w:hAnsi="Arial Narrow"/>
          <w:sz w:val="20"/>
        </w:rPr>
        <w:t xml:space="preserve">Attendance by </w:t>
      </w:r>
      <w:r>
        <w:rPr>
          <w:rFonts w:ascii="Arial Narrow" w:hAnsi="Arial Narrow"/>
          <w:sz w:val="20"/>
        </w:rPr>
        <w:t xml:space="preserve">an </w:t>
      </w:r>
      <w:r w:rsidRPr="000E2752">
        <w:rPr>
          <w:rFonts w:ascii="Arial Narrow" w:hAnsi="Arial Narrow"/>
          <w:sz w:val="20"/>
        </w:rPr>
        <w:t xml:space="preserve">sexual health medicine </w:t>
      </w:r>
      <w:r>
        <w:rPr>
          <w:rFonts w:ascii="Arial Narrow" w:hAnsi="Arial Narrow"/>
          <w:sz w:val="20"/>
        </w:rPr>
        <w:t>specialist</w:t>
      </w:r>
      <w:r w:rsidRPr="0094013A">
        <w:rPr>
          <w:rFonts w:ascii="Arial Narrow" w:hAnsi="Arial Narrow"/>
          <w:sz w:val="20"/>
        </w:rPr>
        <w:t xml:space="preserve"> in the practice of his or her specialty, as a member of a case conference team, to </w:t>
      </w:r>
      <w:r w:rsidRPr="0094013A">
        <w:rPr>
          <w:rFonts w:ascii="Arial Narrow" w:hAnsi="Arial Narrow"/>
          <w:b/>
          <w:bCs/>
          <w:sz w:val="20"/>
        </w:rPr>
        <w:t>PARTICIPATE IN A COMMUNITY CASE CONFERENCE</w:t>
      </w:r>
      <w:r w:rsidRPr="0094013A">
        <w:rPr>
          <w:rFonts w:ascii="Arial Narrow" w:hAnsi="Arial Narrow"/>
          <w:sz w:val="20"/>
        </w:rPr>
        <w:t xml:space="preserve"> (other than to organise and to coordinate the conference) of a least 15 minutes but less than 30 minutes, with a multidisciplinary team of at least two other formal care pro</w:t>
      </w:r>
      <w:r>
        <w:rPr>
          <w:rFonts w:ascii="Arial Narrow" w:hAnsi="Arial Narrow"/>
          <w:sz w:val="20"/>
        </w:rPr>
        <w:t>viders of different disciplines.</w:t>
      </w:r>
    </w:p>
    <w:p w14:paraId="653FC008" w14:textId="77777777" w:rsidR="00F63DE5" w:rsidRPr="00F330FD" w:rsidRDefault="00F63DE5" w:rsidP="005F47B7">
      <w:pPr>
        <w:pStyle w:val="AspexBodyStandard"/>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rPr>
          <w:rFonts w:ascii="Arial Narrow" w:hAnsi="Arial Narrow" w:cs="Calibri"/>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34.16</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25.62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29.04</w:t>
      </w:r>
    </w:p>
    <w:p w14:paraId="59B6DC7B"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6072</w:t>
      </w:r>
    </w:p>
    <w:p w14:paraId="573531E6" w14:textId="77777777" w:rsidR="00F63DE5" w:rsidRPr="00676763"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cs="Calibri"/>
          <w:sz w:val="20"/>
          <w:szCs w:val="20"/>
        </w:rPr>
      </w:pPr>
      <w:r w:rsidRPr="0094013A">
        <w:rPr>
          <w:rFonts w:ascii="Arial Narrow" w:hAnsi="Arial Narrow"/>
          <w:sz w:val="20"/>
          <w:szCs w:val="20"/>
        </w:rPr>
        <w:t xml:space="preserve">Attendance by </w:t>
      </w:r>
      <w:r>
        <w:rPr>
          <w:rFonts w:ascii="Arial Narrow" w:hAnsi="Arial Narrow"/>
          <w:sz w:val="20"/>
          <w:szCs w:val="20"/>
        </w:rPr>
        <w:t xml:space="preserve">an </w:t>
      </w:r>
      <w:r w:rsidRPr="000E2752">
        <w:rPr>
          <w:rFonts w:ascii="Arial Narrow" w:hAnsi="Arial Narrow"/>
          <w:sz w:val="20"/>
          <w:szCs w:val="20"/>
        </w:rPr>
        <w:t xml:space="preserve">sexual health medicine </w:t>
      </w:r>
      <w:r>
        <w:rPr>
          <w:rFonts w:ascii="Arial Narrow" w:hAnsi="Arial Narrow"/>
          <w:sz w:val="20"/>
          <w:szCs w:val="20"/>
        </w:rPr>
        <w:t>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PARTICIPATE IN A COMMUNITY CASE CONFERENCE</w:t>
      </w:r>
      <w:r w:rsidRPr="0094013A">
        <w:rPr>
          <w:rFonts w:ascii="Arial Narrow" w:hAnsi="Arial Narrow"/>
          <w:sz w:val="20"/>
          <w:szCs w:val="20"/>
        </w:rPr>
        <w:t xml:space="preserve"> (other than to organise and to coordinate the conference) of a least 15 minutes but less than 30 minutes, with a multidisciplinary team of at least two other formal care pro</w:t>
      </w:r>
      <w:r>
        <w:rPr>
          <w:rFonts w:ascii="Arial Narrow" w:hAnsi="Arial Narrow"/>
          <w:sz w:val="20"/>
          <w:szCs w:val="20"/>
        </w:rPr>
        <w:t>viders of different disciplines.</w:t>
      </w:r>
    </w:p>
    <w:p w14:paraId="2EC82EE1" w14:textId="77777777" w:rsidR="00F63DE5" w:rsidRPr="00676763"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rPr>
          <w:rFonts w:ascii="Arial Narrow" w:hAnsi="Arial Narrow" w:cs="Calibri"/>
          <w:sz w:val="20"/>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60.42</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45.32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51.36</w:t>
      </w:r>
    </w:p>
    <w:p w14:paraId="50BB3DE9" w14:textId="77777777" w:rsidR="00F63DE5" w:rsidRPr="00F02279"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6074</w:t>
      </w:r>
    </w:p>
    <w:p w14:paraId="3A42FB1F" w14:textId="77777777" w:rsidR="00F63DE5" w:rsidRPr="00676763"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A57A0D">
        <w:rPr>
          <w:rFonts w:ascii="Arial Narrow" w:hAnsi="Arial Narrow"/>
          <w:color w:val="000000"/>
          <w:sz w:val="20"/>
          <w:lang w:eastAsia="en-AU"/>
        </w:rPr>
        <w:t xml:space="preserve">Attendance by a consultant physician in the practice of his or her specialty, as a member of a case conference team, to </w:t>
      </w:r>
      <w:r w:rsidRPr="00A57A0D">
        <w:rPr>
          <w:rFonts w:ascii="Arial Narrow" w:hAnsi="Arial Narrow"/>
          <w:b/>
          <w:bCs/>
          <w:color w:val="000000"/>
          <w:sz w:val="20"/>
          <w:lang w:eastAsia="en-AU"/>
        </w:rPr>
        <w:t xml:space="preserve">PARTICIPATE IN A COMMUNITY CASE CONFERENCE </w:t>
      </w:r>
      <w:r w:rsidRPr="00A57A0D">
        <w:rPr>
          <w:rFonts w:ascii="Arial Narrow" w:hAnsi="Arial Narrow"/>
          <w:color w:val="000000"/>
          <w:sz w:val="20"/>
          <w:lang w:eastAsia="en-AU"/>
        </w:rPr>
        <w:t>(other than to organise and to coordinate the conference) of at least 30 minutes but less than 45 minutes, with a multidisciplinary team of at least two other formal care providers of different disciplines</w:t>
      </w:r>
      <w:r>
        <w:rPr>
          <w:rFonts w:ascii="Arial Narrow" w:hAnsi="Arial Narrow"/>
          <w:color w:val="000000"/>
          <w:sz w:val="20"/>
          <w:lang w:eastAsia="en-AU"/>
        </w:rPr>
        <w:t>.</w:t>
      </w:r>
    </w:p>
    <w:p w14:paraId="36A8A82F" w14:textId="77777777" w:rsidR="00F63DE5" w:rsidRPr="00676763"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rPr>
          <w:rFonts w:ascii="Arial Narrow" w:hAnsi="Arial Narrow" w:cs="Calibri"/>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90.63</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67.98</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77.04</w:t>
      </w:r>
    </w:p>
    <w:p w14:paraId="7F48D755" w14:textId="77777777" w:rsidR="00F63DE5" w:rsidRDefault="00F63DE5"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6075</w:t>
      </w:r>
    </w:p>
    <w:p w14:paraId="2879C3ED" w14:textId="77777777" w:rsidR="00F63DE5" w:rsidRPr="00A57A0D" w:rsidRDefault="00F63DE5"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A57A0D">
        <w:rPr>
          <w:rFonts w:ascii="Arial Narrow" w:hAnsi="Arial Narrow"/>
          <w:sz w:val="20"/>
          <w:szCs w:val="20"/>
        </w:rPr>
        <w:t xml:space="preserve">Attendance by a consultant physician in the practice of his or her specialty, as a member of a case conference team, to </w:t>
      </w:r>
      <w:r w:rsidRPr="00A57A0D">
        <w:rPr>
          <w:rFonts w:ascii="Arial Narrow" w:hAnsi="Arial Narrow"/>
          <w:b/>
          <w:bCs/>
          <w:sz w:val="20"/>
          <w:szCs w:val="20"/>
        </w:rPr>
        <w:t>PARTICIPATE IN A COMMUNITY CASE CONFERENCE</w:t>
      </w:r>
      <w:r w:rsidRPr="00A57A0D">
        <w:rPr>
          <w:rFonts w:ascii="Arial Narrow" w:hAnsi="Arial Narrow"/>
          <w:sz w:val="20"/>
          <w:szCs w:val="20"/>
        </w:rPr>
        <w:t xml:space="preserve"> (other than to organise and to coordinate the conference) of at least 45 minutes, with a multidisciplinary team of at least two other formal care providers of different disciplines</w:t>
      </w:r>
      <w:r>
        <w:rPr>
          <w:rFonts w:ascii="Arial Narrow" w:hAnsi="Arial Narrow"/>
          <w:sz w:val="20"/>
          <w:szCs w:val="20"/>
        </w:rPr>
        <w:t>.</w:t>
      </w:r>
    </w:p>
    <w:p w14:paraId="625E3216" w14:textId="77777777" w:rsidR="00F63DE5" w:rsidRPr="00A57A0D" w:rsidRDefault="00F63DE5"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rPr>
          <w:rFonts w:ascii="Arial Narrow" w:hAnsi="Arial Narrow"/>
          <w:sz w:val="20"/>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120.75</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90.56</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102.64</w:t>
      </w:r>
    </w:p>
    <w:p w14:paraId="496105FB" w14:textId="77777777" w:rsidR="00867BFB" w:rsidRPr="00377163" w:rsidRDefault="00867BFB" w:rsidP="00867BFB">
      <w:pPr>
        <w:pStyle w:val="AspexBodyStandard"/>
      </w:pPr>
      <w:r>
        <w:t>Scenario modelling for c</w:t>
      </w:r>
      <w:r w:rsidRPr="00377163">
        <w:t xml:space="preserve">omplex </w:t>
      </w:r>
      <w:r>
        <w:t>case conferencing items assumed that:</w:t>
      </w:r>
    </w:p>
    <w:p w14:paraId="2A2F40D5" w14:textId="77777777" w:rsidR="00867BFB" w:rsidRDefault="00867BFB" w:rsidP="00867BFB">
      <w:pPr>
        <w:pStyle w:val="AspexBullet1"/>
      </w:pPr>
      <w:r>
        <w:t xml:space="preserve">Costs for an additional 5% of all treatment items (uniformly distributed across tiers 1-4) were incorporated at the newly established </w:t>
      </w:r>
      <w:r w:rsidR="003B7CD2">
        <w:t>time-tiered</w:t>
      </w:r>
      <w:r>
        <w:t xml:space="preserve"> rates to accommodate two new items relating to:</w:t>
      </w:r>
    </w:p>
    <w:p w14:paraId="71D6EC44" w14:textId="77777777" w:rsidR="00867BFB" w:rsidRDefault="00867BFB" w:rsidP="00867BFB">
      <w:pPr>
        <w:pStyle w:val="AspexBullet2"/>
      </w:pPr>
      <w:r>
        <w:t xml:space="preserve">Case conference participation having co-ordinated other professional involvement prior to the meeting (as an unbilled activity) and acting as case conference chair during the meeting, to be billed at the full rates of the new </w:t>
      </w:r>
      <w:r w:rsidR="003B7CD2">
        <w:t>time-tiered</w:t>
      </w:r>
      <w:r>
        <w:t xml:space="preserve"> schedule; and</w:t>
      </w:r>
    </w:p>
    <w:p w14:paraId="5D32D214" w14:textId="77777777" w:rsidR="00867BFB" w:rsidRDefault="00867BFB" w:rsidP="00867BFB">
      <w:pPr>
        <w:pStyle w:val="AspexBullet2"/>
      </w:pPr>
      <w:r>
        <w:t xml:space="preserve">Case conference participation (without prior co-ordination and without responsibilities of the chair), to be billed at 80% of the full rates of the new </w:t>
      </w:r>
      <w:r w:rsidR="003B7CD2">
        <w:t>time-tiered</w:t>
      </w:r>
      <w:r>
        <w:t xml:space="preserve"> schedule.</w:t>
      </w:r>
    </w:p>
    <w:p w14:paraId="01B24055" w14:textId="77777777" w:rsidR="00867BFB" w:rsidRDefault="00867BFB" w:rsidP="00867BFB">
      <w:pPr>
        <w:pStyle w:val="AspexBullet1"/>
      </w:pPr>
      <w:r>
        <w:t xml:space="preserve">These costs would be added to the existing estimates derived for </w:t>
      </w:r>
      <w:r w:rsidR="003B7CD2">
        <w:t>time-tiered</w:t>
      </w:r>
      <w:r>
        <w:t xml:space="preserve"> items with complex treatment and management planning.</w:t>
      </w:r>
    </w:p>
    <w:p w14:paraId="2E5AA20B" w14:textId="77777777" w:rsidR="00867BFB" w:rsidRDefault="00867BFB" w:rsidP="00052019">
      <w:pPr>
        <w:pStyle w:val="AspexBodyStandard"/>
      </w:pPr>
      <w:r>
        <w:t>Results of modelling for this scenario are also presented in Chapter 7.</w:t>
      </w:r>
    </w:p>
    <w:p w14:paraId="66075D6F" w14:textId="77777777" w:rsidR="00C705C0" w:rsidRDefault="00867BFB" w:rsidP="007333CE">
      <w:pPr>
        <w:pStyle w:val="Heading2"/>
      </w:pPr>
      <w:bookmarkStart w:id="163" w:name="_Toc351480541"/>
      <w:r>
        <w:lastRenderedPageBreak/>
        <w:t xml:space="preserve">Additional items proposed for </w:t>
      </w:r>
      <w:r w:rsidR="000E2752" w:rsidRPr="000E2752">
        <w:t>sexual health medicine</w:t>
      </w:r>
      <w:bookmarkEnd w:id="163"/>
    </w:p>
    <w:p w14:paraId="43984936" w14:textId="77777777" w:rsidR="00741479" w:rsidRDefault="00867BFB" w:rsidP="00741479">
      <w:pPr>
        <w:pStyle w:val="AspexBodyStandard"/>
      </w:pPr>
      <w:r>
        <w:t xml:space="preserve">A number of additional items have also been proposed for </w:t>
      </w:r>
      <w:r w:rsidR="000E2752" w:rsidRPr="000E2752">
        <w:t xml:space="preserve">sexual health medicine </w:t>
      </w:r>
      <w:r>
        <w:t>listing on the MBS.  These items fall into two groups relating to:</w:t>
      </w:r>
    </w:p>
    <w:p w14:paraId="443D66F2" w14:textId="77777777" w:rsidR="00AF7AFD" w:rsidRDefault="00AF7AFD" w:rsidP="00867BFB">
      <w:pPr>
        <w:pStyle w:val="AspexBullet1"/>
      </w:pPr>
      <w:r>
        <w:t>Residential Care or Home visits; and</w:t>
      </w:r>
    </w:p>
    <w:p w14:paraId="02A332F3" w14:textId="77777777" w:rsidR="00867BFB" w:rsidRDefault="00867BFB" w:rsidP="00AF7AFD">
      <w:pPr>
        <w:pStyle w:val="AspexBullet1"/>
      </w:pPr>
      <w:r>
        <w:t>Telehealth consultations, available to all other medical practitioners</w:t>
      </w:r>
      <w:r w:rsidR="00AF7AFD">
        <w:t>.</w:t>
      </w:r>
    </w:p>
    <w:p w14:paraId="49E6505F" w14:textId="4946E24F" w:rsidR="002B531B" w:rsidRDefault="002B531B" w:rsidP="002B531B">
      <w:pPr>
        <w:pStyle w:val="AspexBodyStandard"/>
      </w:pPr>
      <w:r w:rsidRPr="003E6994">
        <w:t xml:space="preserve">The proposed item descriptors for </w:t>
      </w:r>
      <w:r w:rsidR="00AF7AFD">
        <w:t>Residential Care and Home Visit</w:t>
      </w:r>
      <w:r w:rsidRPr="003E6994">
        <w:t xml:space="preserve"> consultations are presented in </w:t>
      </w:r>
      <w:r w:rsidR="00AF7AFD">
        <w:fldChar w:fldCharType="begin"/>
      </w:r>
      <w:r w:rsidR="00AF7AFD">
        <w:instrText xml:space="preserve"> REF _Ref224286756 \h </w:instrText>
      </w:r>
      <w:r w:rsidR="00AF7AFD">
        <w:fldChar w:fldCharType="separate"/>
      </w:r>
      <w:r w:rsidR="008E6665" w:rsidRPr="001905EE">
        <w:t xml:space="preserve">Figure </w:t>
      </w:r>
      <w:r w:rsidR="008E6665">
        <w:rPr>
          <w:noProof/>
        </w:rPr>
        <w:t>6</w:t>
      </w:r>
      <w:r w:rsidR="008E6665">
        <w:noBreakHyphen/>
      </w:r>
      <w:r w:rsidR="008E6665">
        <w:rPr>
          <w:noProof/>
        </w:rPr>
        <w:t>9</w:t>
      </w:r>
      <w:r w:rsidR="00AF7AFD">
        <w:fldChar w:fldCharType="end"/>
      </w:r>
      <w:r w:rsidR="00AF7AFD">
        <w:t xml:space="preserve"> </w:t>
      </w:r>
      <w:r w:rsidRPr="003E6994">
        <w:t xml:space="preserve">as equivalent current MBS items </w:t>
      </w:r>
      <w:r w:rsidR="00AF7AFD">
        <w:t>122</w:t>
      </w:r>
      <w:r>
        <w:t xml:space="preserve"> </w:t>
      </w:r>
      <w:r w:rsidR="00AF7AFD">
        <w:t xml:space="preserve">(initial attendance) and 128 (subsequent attendance) </w:t>
      </w:r>
      <w:r>
        <w:t xml:space="preserve">for </w:t>
      </w:r>
      <w:r w:rsidR="00490E3F">
        <w:t>p</w:t>
      </w:r>
      <w:r w:rsidR="00AF7AFD">
        <w:t>hysicians</w:t>
      </w:r>
      <w:r>
        <w:t>.  Given the small volume of current MBS activity in this area, separate modelling of the impact of this item has not been undertaken.</w:t>
      </w:r>
    </w:p>
    <w:p w14:paraId="23A619EB" w14:textId="4A25FF7E" w:rsidR="002B531B" w:rsidRPr="001905EE" w:rsidRDefault="002B531B" w:rsidP="00CF3A3C">
      <w:pPr>
        <w:pStyle w:val="Caption"/>
      </w:pPr>
      <w:bookmarkStart w:id="164" w:name="_Ref224286756"/>
      <w:bookmarkStart w:id="165" w:name="_Toc351129627"/>
      <w:r w:rsidRPr="001905EE">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9</w:t>
      </w:r>
      <w:r w:rsidR="008E6665">
        <w:rPr>
          <w:noProof/>
        </w:rPr>
        <w:fldChar w:fldCharType="end"/>
      </w:r>
      <w:bookmarkEnd w:id="164"/>
      <w:r w:rsidR="00632F42">
        <w:rPr>
          <w:noProof/>
        </w:rPr>
        <w:t>:</w:t>
      </w:r>
      <w:r w:rsidRPr="001905EE">
        <w:tab/>
        <w:t xml:space="preserve">Proposed </w:t>
      </w:r>
      <w:r>
        <w:t>descriptors</w:t>
      </w:r>
      <w:r w:rsidRPr="001905EE">
        <w:t xml:space="preserve"> for </w:t>
      </w:r>
      <w:r w:rsidR="00AF7AFD">
        <w:t>residential care/home visits</w:t>
      </w:r>
      <w:r>
        <w:t xml:space="preserve"> items</w:t>
      </w:r>
      <w:bookmarkEnd w:id="165"/>
    </w:p>
    <w:p w14:paraId="2CEAD600" w14:textId="77777777" w:rsidR="00701F9C" w:rsidRPr="00735532"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AF7AFD">
        <w:rPr>
          <w:rFonts w:ascii="Arial Narrow" w:hAnsi="Arial Narrow"/>
          <w:b/>
          <w:color w:val="000000"/>
          <w:sz w:val="20"/>
          <w:lang w:eastAsia="en-AU"/>
        </w:rPr>
        <w:t>SEXUAL HEALTH MEDICINE SPECIALIST - REFERRED CONSULTATION - HOME VISITS</w:t>
      </w:r>
    </w:p>
    <w:p w14:paraId="482081E3" w14:textId="77777777" w:rsidR="00701F9C" w:rsidRPr="00AF7AFD"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735532">
        <w:rPr>
          <w:rFonts w:ascii="Arial Narrow" w:hAnsi="Arial Narrow" w:cs="Calibri"/>
          <w:color w:val="000000"/>
          <w:sz w:val="20"/>
          <w:u w:val="single"/>
          <w:lang w:eastAsia="en-AU"/>
        </w:rPr>
        <w:t xml:space="preserve">MBS </w:t>
      </w:r>
      <w:r>
        <w:rPr>
          <w:rFonts w:ascii="Arial Narrow" w:hAnsi="Arial Narrow" w:cs="Calibri"/>
          <w:color w:val="000000"/>
          <w:sz w:val="20"/>
          <w:u w:val="single"/>
          <w:lang w:eastAsia="en-AU"/>
        </w:rPr>
        <w:t>Item 6057</w:t>
      </w:r>
    </w:p>
    <w:p w14:paraId="2223AAAC" w14:textId="77777777" w:rsidR="00701F9C" w:rsidRPr="00AF7AFD"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sidRPr="00AF7AFD">
        <w:rPr>
          <w:rFonts w:ascii="Arial Narrow" w:hAnsi="Arial Narrow"/>
          <w:color w:val="000000"/>
          <w:sz w:val="20"/>
          <w:lang w:eastAsia="en-AU"/>
        </w:rPr>
        <w:t xml:space="preserve">Professional attendance at a place other than consulting rooms or hospital by a consultant physician in the practice of his or her specialty (other than in psychiatry) where the patient is referred to him or </w:t>
      </w:r>
      <w:r>
        <w:rPr>
          <w:rFonts w:ascii="Arial Narrow" w:hAnsi="Arial Narrow"/>
          <w:color w:val="000000"/>
          <w:sz w:val="20"/>
          <w:lang w:eastAsia="en-AU"/>
        </w:rPr>
        <w:t>her by a referring practitioner</w:t>
      </w:r>
    </w:p>
    <w:p w14:paraId="4D574DB8" w14:textId="77777777" w:rsidR="00701F9C" w:rsidRPr="00AF7AFD"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sidRPr="00AF7AFD">
        <w:rPr>
          <w:rFonts w:ascii="Arial Narrow" w:hAnsi="Arial Narrow"/>
          <w:color w:val="000000"/>
          <w:sz w:val="20"/>
          <w:lang w:eastAsia="en-AU"/>
        </w:rPr>
        <w:t>- INITIAL attendance in a single course of treatment</w:t>
      </w:r>
    </w:p>
    <w:p w14:paraId="294D5F64" w14:textId="46AE1360" w:rsidR="00701F9C" w:rsidRPr="00AF7AFD" w:rsidRDefault="00701F9C"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before="100" w:beforeAutospacing="1" w:after="120" w:line="240" w:lineRule="auto"/>
        <w:rPr>
          <w:rFonts w:ascii="Arial Narrow" w:hAnsi="Arial Narrow"/>
          <w:b/>
          <w:color w:val="000000"/>
          <w:sz w:val="20"/>
          <w:lang w:eastAsia="en-AU"/>
        </w:rPr>
      </w:pPr>
      <w:r w:rsidRPr="00AF7AFD">
        <w:rPr>
          <w:rFonts w:ascii="Arial Narrow" w:hAnsi="Arial Narrow"/>
          <w:b/>
          <w:color w:val="000000"/>
          <w:sz w:val="20"/>
          <w:lang w:eastAsia="en-AU"/>
        </w:rPr>
        <w:t>Fee: $183.10</w:t>
      </w:r>
      <w:r w:rsidR="00A119C3">
        <w:rPr>
          <w:rFonts w:ascii="Arial Narrow" w:hAnsi="Arial Narrow"/>
          <w:b/>
          <w:color w:val="000000"/>
          <w:sz w:val="20"/>
          <w:lang w:eastAsia="en-AU"/>
        </w:rPr>
        <w:tab/>
      </w:r>
      <w:r w:rsidRPr="00AF7AFD">
        <w:rPr>
          <w:rFonts w:ascii="Arial Narrow" w:hAnsi="Arial Narrow"/>
          <w:b/>
          <w:color w:val="000000"/>
          <w:sz w:val="20"/>
          <w:lang w:eastAsia="en-AU"/>
        </w:rPr>
        <w:t>Benefit: 75% = $137.35</w:t>
      </w:r>
      <w:r w:rsidR="00A119C3">
        <w:rPr>
          <w:rFonts w:ascii="Arial Narrow" w:hAnsi="Arial Narrow"/>
          <w:b/>
          <w:color w:val="000000"/>
          <w:sz w:val="20"/>
          <w:lang w:eastAsia="en-AU"/>
        </w:rPr>
        <w:tab/>
      </w:r>
      <w:r w:rsidRPr="00AF7AFD">
        <w:rPr>
          <w:rFonts w:ascii="Arial Narrow" w:hAnsi="Arial Narrow"/>
          <w:b/>
          <w:color w:val="000000"/>
          <w:sz w:val="20"/>
          <w:lang w:eastAsia="en-AU"/>
        </w:rPr>
        <w:t>85% = $155.65</w:t>
      </w:r>
    </w:p>
    <w:p w14:paraId="1851471D" w14:textId="77777777" w:rsidR="00701F9C" w:rsidRPr="00735532"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AF7AFD">
        <w:rPr>
          <w:rFonts w:ascii="Arial Narrow" w:hAnsi="Arial Narrow"/>
          <w:b/>
          <w:color w:val="000000"/>
          <w:sz w:val="20"/>
          <w:lang w:eastAsia="en-AU"/>
        </w:rPr>
        <w:t>SEXUAL HEALTH MEDICINE SPECIALIST - REFERRED CONSULTATION - HOME VISITS</w:t>
      </w:r>
    </w:p>
    <w:p w14:paraId="0121D777" w14:textId="77777777" w:rsidR="00701F9C" w:rsidRPr="00AF7AFD"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735532">
        <w:rPr>
          <w:rFonts w:ascii="Arial Narrow" w:hAnsi="Arial Narrow" w:cs="Calibri"/>
          <w:color w:val="000000"/>
          <w:sz w:val="20"/>
          <w:u w:val="single"/>
          <w:lang w:eastAsia="en-AU"/>
        </w:rPr>
        <w:t xml:space="preserve">MBS </w:t>
      </w:r>
      <w:r>
        <w:rPr>
          <w:rFonts w:ascii="Arial Narrow" w:hAnsi="Arial Narrow" w:cs="Calibri"/>
          <w:color w:val="000000"/>
          <w:sz w:val="20"/>
          <w:u w:val="single"/>
          <w:lang w:eastAsia="en-AU"/>
        </w:rPr>
        <w:t>Item 6058</w:t>
      </w:r>
    </w:p>
    <w:p w14:paraId="0A539EFD" w14:textId="77777777" w:rsidR="00701F9C" w:rsidRPr="00AF7AFD"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Pr>
          <w:rFonts w:ascii="Arial Narrow" w:hAnsi="Arial Narrow"/>
          <w:color w:val="000000"/>
          <w:sz w:val="20"/>
          <w:lang w:eastAsia="en-AU"/>
        </w:rPr>
        <w:t xml:space="preserve">- Each attendance </w:t>
      </w:r>
      <w:r w:rsidRPr="00AF7AFD">
        <w:rPr>
          <w:rFonts w:ascii="Arial Narrow" w:hAnsi="Arial Narrow"/>
          <w:color w:val="000000"/>
          <w:sz w:val="20"/>
          <w:lang w:eastAsia="en-AU"/>
        </w:rPr>
        <w:t>SUBSEQUENT to the first in a single course of treatment</w:t>
      </w:r>
    </w:p>
    <w:p w14:paraId="45071093" w14:textId="77777777" w:rsidR="00701F9C" w:rsidRPr="00AF7AFD" w:rsidRDefault="00701F9C"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before="100" w:beforeAutospacing="1" w:after="120" w:line="240" w:lineRule="auto"/>
        <w:rPr>
          <w:rFonts w:ascii="Arial Narrow" w:hAnsi="Arial Narrow"/>
          <w:b/>
          <w:color w:val="000000"/>
          <w:sz w:val="20"/>
          <w:lang w:eastAsia="en-AU"/>
        </w:rPr>
      </w:pPr>
      <w:r w:rsidRPr="00AF7AFD">
        <w:rPr>
          <w:rFonts w:ascii="Arial Narrow" w:hAnsi="Arial Narrow"/>
          <w:b/>
          <w:color w:val="000000"/>
          <w:sz w:val="20"/>
          <w:lang w:eastAsia="en-AU"/>
        </w:rPr>
        <w:t>Fee: $110.75 Benefit: 75% = $83.10 85% = $94.15</w:t>
      </w:r>
    </w:p>
    <w:p w14:paraId="606545B3" w14:textId="2026ED5E" w:rsidR="00B02845" w:rsidRDefault="003E6994" w:rsidP="003E6994">
      <w:pPr>
        <w:pStyle w:val="AspexBodyStandard"/>
      </w:pPr>
      <w:r w:rsidRPr="003E6994">
        <w:t xml:space="preserve">The proposed item descriptors for </w:t>
      </w:r>
      <w:r w:rsidR="00BF04FD">
        <w:t>t</w:t>
      </w:r>
      <w:r w:rsidRPr="003E6994">
        <w:t xml:space="preserve">elehealth consultations are presented in </w:t>
      </w:r>
      <w:r w:rsidR="00030F03">
        <w:fldChar w:fldCharType="begin"/>
      </w:r>
      <w:r w:rsidR="00030F03">
        <w:instrText xml:space="preserve"> REF _Ref224015912 \h </w:instrText>
      </w:r>
      <w:r w:rsidR="00030F03">
        <w:fldChar w:fldCharType="separate"/>
      </w:r>
      <w:r w:rsidR="008E6665" w:rsidRPr="001905EE">
        <w:t xml:space="preserve">Figure </w:t>
      </w:r>
      <w:r w:rsidR="008E6665">
        <w:rPr>
          <w:noProof/>
        </w:rPr>
        <w:t>6</w:t>
      </w:r>
      <w:r w:rsidR="008E6665">
        <w:noBreakHyphen/>
      </w:r>
      <w:r w:rsidR="008E6665">
        <w:rPr>
          <w:noProof/>
        </w:rPr>
        <w:t>10</w:t>
      </w:r>
      <w:r w:rsidR="00030F03">
        <w:fldChar w:fldCharType="end"/>
      </w:r>
      <w:r w:rsidR="00030F03" w:rsidRPr="003E6994">
        <w:t xml:space="preserve"> as</w:t>
      </w:r>
      <w:r w:rsidRPr="003E6994">
        <w:t xml:space="preserve"> equivalent </w:t>
      </w:r>
      <w:r w:rsidR="00B02845">
        <w:t xml:space="preserve">to </w:t>
      </w:r>
      <w:r w:rsidRPr="003E6994">
        <w:t>current MBS items 114 (</w:t>
      </w:r>
      <w:r w:rsidR="00B02845">
        <w:t xml:space="preserve">for </w:t>
      </w:r>
      <w:r w:rsidRPr="003E6994">
        <w:t>short consultation</w:t>
      </w:r>
      <w:r w:rsidR="00852EA3">
        <w:t xml:space="preserve"> by a physician</w:t>
      </w:r>
      <w:r w:rsidRPr="003E6994">
        <w:t>) and 112 (</w:t>
      </w:r>
      <w:r w:rsidR="00B02845">
        <w:t xml:space="preserve">for </w:t>
      </w:r>
      <w:r w:rsidRPr="003E6994">
        <w:t>longer consultation</w:t>
      </w:r>
      <w:r w:rsidR="00852EA3">
        <w:t xml:space="preserve"> by a physician</w:t>
      </w:r>
      <w:r w:rsidRPr="003E6994">
        <w:t>)</w:t>
      </w:r>
      <w:r w:rsidR="00BF04FD">
        <w:t xml:space="preserve"> for Option 1</w:t>
      </w:r>
      <w:r w:rsidRPr="003E6994">
        <w:t>.</w:t>
      </w:r>
      <w:r w:rsidR="00BF04FD">
        <w:t xml:space="preserve">  For Option 2</w:t>
      </w:r>
      <w:r w:rsidR="00E86EE4">
        <w:t xml:space="preserve"> (time-tiered items)</w:t>
      </w:r>
      <w:r w:rsidR="00BF04FD">
        <w:t xml:space="preserve">, </w:t>
      </w:r>
      <w:r w:rsidR="00B02845">
        <w:t xml:space="preserve">the descriptor for telehealth consultations is similar to MBS psychiatry telehealth item 288, </w:t>
      </w:r>
      <w:r w:rsidR="00B02845" w:rsidRPr="00B02845">
        <w:t>but with Extended Medicare Safety Net capping calculated in the same way as physician-equivalent (Group A4) items</w:t>
      </w:r>
      <w:r w:rsidR="00F31BD3">
        <w:t xml:space="preserve"> (see </w:t>
      </w:r>
      <w:r w:rsidR="00F31BD3">
        <w:fldChar w:fldCharType="begin"/>
      </w:r>
      <w:r w:rsidR="00F31BD3">
        <w:instrText xml:space="preserve"> REF _Ref351644370 \h </w:instrText>
      </w:r>
      <w:r w:rsidR="00F31BD3">
        <w:fldChar w:fldCharType="separate"/>
      </w:r>
      <w:r w:rsidR="008E6665" w:rsidRPr="001905EE">
        <w:t xml:space="preserve">Figure </w:t>
      </w:r>
      <w:r w:rsidR="008E6665">
        <w:rPr>
          <w:noProof/>
        </w:rPr>
        <w:t>6</w:t>
      </w:r>
      <w:r w:rsidR="008E6665">
        <w:noBreakHyphen/>
      </w:r>
      <w:r w:rsidR="008E6665">
        <w:rPr>
          <w:noProof/>
        </w:rPr>
        <w:t>11</w:t>
      </w:r>
      <w:r w:rsidR="00F31BD3">
        <w:fldChar w:fldCharType="end"/>
      </w:r>
      <w:r w:rsidR="00F31BD3">
        <w:t>)</w:t>
      </w:r>
      <w:r w:rsidR="00B02845" w:rsidRPr="00B02845">
        <w:t>.</w:t>
      </w:r>
      <w:r w:rsidR="00E86EE4">
        <w:t xml:space="preserve">  The psychiatry telehealth item is used for Option 2 because these items are also time-tiered.</w:t>
      </w:r>
    </w:p>
    <w:p w14:paraId="3BFB2359" w14:textId="2C87CFDF" w:rsidR="00632F42" w:rsidRDefault="00632F42">
      <w:pPr>
        <w:spacing w:before="0" w:after="0" w:line="240" w:lineRule="auto"/>
      </w:pPr>
      <w:r>
        <w:br w:type="page"/>
      </w:r>
    </w:p>
    <w:p w14:paraId="57848815" w14:textId="7A73575F" w:rsidR="003E6994" w:rsidRPr="001905EE" w:rsidRDefault="003E6994" w:rsidP="00CF3A3C">
      <w:pPr>
        <w:pStyle w:val="Caption"/>
      </w:pPr>
      <w:bookmarkStart w:id="166" w:name="_Ref224015912"/>
      <w:bookmarkStart w:id="167" w:name="_Toc351129628"/>
      <w:r w:rsidRPr="001905EE">
        <w:lastRenderedPageBreak/>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10</w:t>
      </w:r>
      <w:r w:rsidR="008E6665">
        <w:rPr>
          <w:noProof/>
        </w:rPr>
        <w:fldChar w:fldCharType="end"/>
      </w:r>
      <w:bookmarkEnd w:id="166"/>
      <w:r w:rsidR="00632F42">
        <w:rPr>
          <w:noProof/>
        </w:rPr>
        <w:t>:</w:t>
      </w:r>
      <w:r w:rsidRPr="001905EE">
        <w:tab/>
        <w:t xml:space="preserve">Proposed </w:t>
      </w:r>
      <w:r>
        <w:t>descriptors</w:t>
      </w:r>
      <w:r w:rsidRPr="001905EE">
        <w:t xml:space="preserve"> for </w:t>
      </w:r>
      <w:r>
        <w:t>short and long teleconference items</w:t>
      </w:r>
      <w:r w:rsidR="00337D61">
        <w:t xml:space="preserve"> – physician</w:t>
      </w:r>
      <w:r w:rsidR="00B02845">
        <w:t>-</w:t>
      </w:r>
      <w:r w:rsidR="00337D61">
        <w:t>equivalent items</w:t>
      </w:r>
      <w:bookmarkEnd w:id="167"/>
    </w:p>
    <w:p w14:paraId="2A692222" w14:textId="77777777" w:rsidR="00701F9C" w:rsidRPr="00F330FD"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90EC6">
        <w:rPr>
          <w:rFonts w:ascii="Arial Narrow" w:hAnsi="Arial Narrow" w:cs="Calibri"/>
          <w:b/>
          <w:color w:val="000000"/>
          <w:sz w:val="20"/>
          <w:lang w:eastAsia="en-AU"/>
        </w:rPr>
        <w:t xml:space="preserve">PROFESSIONAL ATTENDANCE </w:t>
      </w:r>
      <w:r>
        <w:rPr>
          <w:rFonts w:ascii="Arial Narrow" w:hAnsi="Arial Narrow" w:cs="Calibri"/>
          <w:b/>
          <w:color w:val="000000"/>
          <w:sz w:val="20"/>
          <w:lang w:eastAsia="en-AU"/>
        </w:rPr>
        <w:t>–</w:t>
      </w:r>
      <w:r w:rsidRPr="00690EC6">
        <w:rPr>
          <w:rFonts w:ascii="Arial Narrow" w:hAnsi="Arial Narrow" w:cs="Calibri"/>
          <w:b/>
          <w:color w:val="000000"/>
          <w:sz w:val="20"/>
          <w:lang w:eastAsia="en-AU"/>
        </w:rPr>
        <w:t>TELEHEALTH</w:t>
      </w:r>
      <w:r>
        <w:rPr>
          <w:rFonts w:ascii="Arial Narrow" w:hAnsi="Arial Narrow" w:cs="Calibri"/>
          <w:b/>
          <w:color w:val="000000"/>
          <w:sz w:val="20"/>
          <w:lang w:eastAsia="en-AU"/>
        </w:rPr>
        <w:t xml:space="preserve"> (SHORT)</w:t>
      </w:r>
    </w:p>
    <w:p w14:paraId="1E4F4E71"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Pr>
          <w:rFonts w:ascii="Arial Narrow" w:hAnsi="Arial Narrow" w:cs="Calibri"/>
          <w:b/>
          <w:color w:val="000000"/>
          <w:sz w:val="20"/>
          <w:lang w:eastAsia="en-AU"/>
        </w:rPr>
        <w:t>MBS Item 6062</w:t>
      </w:r>
    </w:p>
    <w:p w14:paraId="63810197"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p>
    <w:p w14:paraId="6726F510"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Initial professional attendance of 10 minutes or less in duration on a patient by an </w:t>
      </w:r>
      <w:r w:rsidRPr="000E2752">
        <w:rPr>
          <w:rFonts w:ascii="Arial Narrow" w:hAnsi="Arial Narrow" w:cs="Calibri"/>
          <w:color w:val="000000"/>
          <w:sz w:val="20"/>
          <w:lang w:eastAsia="en-AU"/>
        </w:rPr>
        <w:t xml:space="preserve">sexual health medicine </w:t>
      </w:r>
      <w:r w:rsidRPr="00867BFB">
        <w:rPr>
          <w:rFonts w:ascii="Arial Narrow" w:hAnsi="Arial Narrow" w:cs="Calibri"/>
          <w:color w:val="000000"/>
          <w:sz w:val="20"/>
          <w:lang w:eastAsia="en-AU"/>
        </w:rPr>
        <w:t xml:space="preserve">specialist practising in his or her specialty if: </w:t>
      </w:r>
    </w:p>
    <w:p w14:paraId="5C9466A4"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(a) the attendance is by video conference; and </w:t>
      </w:r>
    </w:p>
    <w:p w14:paraId="443276C6"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(b) the patient is not an admitted patient; and </w:t>
      </w:r>
    </w:p>
    <w:p w14:paraId="5F03518F"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(c) the patient: </w:t>
      </w:r>
    </w:p>
    <w:p w14:paraId="1D5CCDAB" w14:textId="767F0179"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 is located both: </w:t>
      </w:r>
    </w:p>
    <w:p w14:paraId="0C4AD01F" w14:textId="01686C6E"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(A) within a telehealth eligible area; and </w:t>
      </w:r>
    </w:p>
    <w:p w14:paraId="17B096DE" w14:textId="2D6423C5"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(B) at the time of the attendance-at least 15 kms by road from the </w:t>
      </w:r>
      <w:r w:rsidRPr="000E2752">
        <w:rPr>
          <w:rFonts w:ascii="Arial Narrow" w:hAnsi="Arial Narrow" w:cs="Calibri"/>
          <w:color w:val="000000"/>
          <w:sz w:val="20"/>
          <w:lang w:eastAsia="en-AU"/>
        </w:rPr>
        <w:t>sexual health medicine</w:t>
      </w:r>
      <w:r w:rsidR="00A119C3">
        <w:rPr>
          <w:rFonts w:ascii="Arial Narrow" w:hAnsi="Arial Narrow" w:cs="Calibri"/>
          <w:color w:val="000000"/>
          <w:sz w:val="20"/>
          <w:lang w:eastAsia="en-AU"/>
        </w:rPr>
        <w:t xml:space="preserve"> </w:t>
      </w:r>
      <w:r w:rsidRPr="00867BFB">
        <w:rPr>
          <w:rFonts w:ascii="Arial Narrow" w:hAnsi="Arial Narrow" w:cs="Calibri"/>
          <w:color w:val="000000"/>
          <w:sz w:val="20"/>
          <w:lang w:eastAsia="en-AU"/>
        </w:rPr>
        <w:t xml:space="preserve">specialist; or </w:t>
      </w:r>
    </w:p>
    <w:p w14:paraId="6C987C1E" w14:textId="12982046"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(ii) is a care recipient in a residential care service; or </w:t>
      </w:r>
    </w:p>
    <w:p w14:paraId="30DE70F4" w14:textId="711AE219"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(iii) is a patient of: </w:t>
      </w:r>
    </w:p>
    <w:p w14:paraId="60A00340" w14:textId="2F60D846"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(A) an Aboriginal Medical Service; or </w:t>
      </w:r>
    </w:p>
    <w:p w14:paraId="75A99A72" w14:textId="3155C8FA"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(B) an Aboriginal Community Controlled Health Service; </w:t>
      </w:r>
    </w:p>
    <w:p w14:paraId="0696EC59" w14:textId="75BCF4E9"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 xml:space="preserve"> </w:t>
      </w:r>
      <w:r w:rsidRPr="00867BFB">
        <w:rPr>
          <w:rFonts w:ascii="Arial Narrow" w:hAnsi="Arial Narrow" w:cs="Calibri"/>
          <w:color w:val="000000"/>
          <w:sz w:val="20"/>
          <w:lang w:eastAsia="en-AU"/>
        </w:rPr>
        <w:t xml:space="preserve">for which a direction made under subsection 19 (2) of the Act applies; and </w:t>
      </w:r>
    </w:p>
    <w:p w14:paraId="66F5B938" w14:textId="77777777" w:rsidR="00701F9C" w:rsidRPr="00867BFB"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(d) no other initial consultation has taken place for a single course of treatment.</w:t>
      </w:r>
    </w:p>
    <w:p w14:paraId="7BCF7D98" w14:textId="77777777" w:rsidR="00701F9C" w:rsidRPr="00F330FD" w:rsidRDefault="00701F9C"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rPr>
          <w:rFonts w:ascii="Arial Narrow" w:hAnsi="Arial Narrow" w:cs="Calibri"/>
          <w:b/>
          <w:color w:val="000000"/>
          <w:sz w:val="20"/>
          <w:lang w:eastAsia="en-AU"/>
        </w:rPr>
      </w:pPr>
      <w:r w:rsidRPr="00867BFB">
        <w:rPr>
          <w:rFonts w:ascii="Arial Narrow" w:hAnsi="Arial Narrow" w:cs="Calibri"/>
          <w:b/>
          <w:color w:val="000000"/>
          <w:sz w:val="20"/>
          <w:lang w:eastAsia="en-AU"/>
        </w:rPr>
        <w:t>Fee: $</w:t>
      </w:r>
      <w:r>
        <w:rPr>
          <w:rFonts w:ascii="Arial Narrow" w:hAnsi="Arial Narrow" w:cs="Calibri"/>
          <w:b/>
          <w:color w:val="000000"/>
          <w:sz w:val="20"/>
          <w:lang w:eastAsia="en-AU"/>
        </w:rPr>
        <w:t>113.20</w:t>
      </w:r>
      <w:r w:rsidRPr="00867BFB">
        <w:rPr>
          <w:rFonts w:ascii="Arial Narrow" w:hAnsi="Arial Narrow" w:cs="Calibri"/>
          <w:b/>
          <w:color w:val="000000"/>
          <w:sz w:val="20"/>
          <w:lang w:eastAsia="en-AU"/>
        </w:rPr>
        <w:tab/>
        <w:t>Benefit:</w:t>
      </w:r>
      <w:r w:rsidRPr="00867BFB">
        <w:rPr>
          <w:rFonts w:ascii="Arial Narrow" w:hAnsi="Arial Narrow" w:cs="Calibri"/>
          <w:b/>
          <w:color w:val="000000"/>
          <w:sz w:val="20"/>
          <w:lang w:eastAsia="en-AU"/>
        </w:rPr>
        <w:tab/>
        <w:t>85% = $</w:t>
      </w:r>
      <w:r>
        <w:rPr>
          <w:rFonts w:ascii="Arial Narrow" w:hAnsi="Arial Narrow" w:cs="Calibri"/>
          <w:b/>
          <w:color w:val="000000"/>
          <w:sz w:val="20"/>
          <w:lang w:eastAsia="en-AU"/>
        </w:rPr>
        <w:t>96.25</w:t>
      </w:r>
    </w:p>
    <w:p w14:paraId="621231C5" w14:textId="77777777" w:rsidR="00701F9C" w:rsidRPr="00C32F8C"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90EC6">
        <w:rPr>
          <w:rFonts w:ascii="Arial Narrow" w:hAnsi="Arial Narrow" w:cs="Calibri"/>
          <w:b/>
          <w:color w:val="000000"/>
          <w:sz w:val="20"/>
          <w:lang w:eastAsia="en-AU"/>
        </w:rPr>
        <w:t xml:space="preserve">PROFESSIONAL ATTENDANCE </w:t>
      </w:r>
      <w:r>
        <w:rPr>
          <w:rFonts w:ascii="Arial Narrow" w:hAnsi="Arial Narrow" w:cs="Calibri"/>
          <w:b/>
          <w:color w:val="000000"/>
          <w:sz w:val="20"/>
          <w:lang w:eastAsia="en-AU"/>
        </w:rPr>
        <w:t>–</w:t>
      </w:r>
      <w:r w:rsidRPr="00690EC6">
        <w:rPr>
          <w:rFonts w:ascii="Arial Narrow" w:hAnsi="Arial Narrow" w:cs="Calibri"/>
          <w:b/>
          <w:color w:val="000000"/>
          <w:sz w:val="20"/>
          <w:lang w:eastAsia="en-AU"/>
        </w:rPr>
        <w:t>TELEHEALTH</w:t>
      </w:r>
      <w:r>
        <w:rPr>
          <w:rFonts w:ascii="Arial Narrow" w:hAnsi="Arial Narrow" w:cs="Calibri"/>
          <w:b/>
          <w:color w:val="000000"/>
          <w:sz w:val="20"/>
          <w:lang w:eastAsia="en-AU"/>
        </w:rPr>
        <w:t xml:space="preserve"> (LONG)</w:t>
      </w:r>
    </w:p>
    <w:p w14:paraId="6F0C2EA7" w14:textId="77777777" w:rsidR="00701F9C" w:rsidRPr="00676763"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6063</w:t>
      </w:r>
    </w:p>
    <w:p w14:paraId="41669F93" w14:textId="77777777" w:rsidR="00701F9C"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p>
    <w:p w14:paraId="19049B41"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Professional attendance on a patient by a </w:t>
      </w:r>
      <w:r w:rsidRPr="000E2752">
        <w:rPr>
          <w:rFonts w:ascii="Arial Narrow" w:hAnsi="Arial Narrow"/>
          <w:sz w:val="20"/>
          <w:szCs w:val="20"/>
        </w:rPr>
        <w:t xml:space="preserve">sexual health medicine </w:t>
      </w:r>
      <w:r>
        <w:rPr>
          <w:rFonts w:ascii="Arial Narrow" w:hAnsi="Arial Narrow"/>
          <w:sz w:val="20"/>
          <w:szCs w:val="20"/>
        </w:rPr>
        <w:t>specialist</w:t>
      </w:r>
      <w:r w:rsidRPr="008F187F">
        <w:rPr>
          <w:rFonts w:ascii="Arial Narrow" w:hAnsi="Arial Narrow"/>
          <w:sz w:val="20"/>
          <w:szCs w:val="20"/>
        </w:rPr>
        <w:t xml:space="preserve"> practising in his or her specialty if: </w:t>
      </w:r>
    </w:p>
    <w:p w14:paraId="60C4BFB6"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the attendance is by video conference; and </w:t>
      </w:r>
    </w:p>
    <w:p w14:paraId="76FBA4AC"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the attendance is for a service: </w:t>
      </w:r>
    </w:p>
    <w:p w14:paraId="2EE9487B" w14:textId="3A9A7C3C" w:rsidR="00701F9C" w:rsidRPr="00332D47"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 provided with item </w:t>
      </w:r>
      <w:r>
        <w:rPr>
          <w:rFonts w:ascii="Arial Narrow" w:hAnsi="Arial Narrow"/>
          <w:sz w:val="20"/>
          <w:szCs w:val="20"/>
        </w:rPr>
        <w:t>6051</w:t>
      </w:r>
      <w:r w:rsidRPr="00332D47">
        <w:rPr>
          <w:rFonts w:ascii="Arial Narrow" w:hAnsi="Arial Narrow"/>
          <w:sz w:val="20"/>
          <w:szCs w:val="20"/>
        </w:rPr>
        <w:t xml:space="preserve"> lasting more than 10 minutes; or </w:t>
      </w:r>
    </w:p>
    <w:p w14:paraId="468E6309" w14:textId="539CDEEA"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332D47">
        <w:rPr>
          <w:rFonts w:ascii="Arial Narrow" w:hAnsi="Arial Narrow"/>
          <w:sz w:val="20"/>
          <w:szCs w:val="20"/>
        </w:rPr>
        <w:t xml:space="preserve">(ii) provided with item </w:t>
      </w:r>
      <w:r>
        <w:rPr>
          <w:rFonts w:ascii="Arial Narrow" w:hAnsi="Arial Narrow"/>
          <w:sz w:val="20"/>
          <w:szCs w:val="20"/>
        </w:rPr>
        <w:t>6052,6059</w:t>
      </w:r>
      <w:r w:rsidRPr="00332D47">
        <w:rPr>
          <w:rFonts w:ascii="Arial Narrow" w:hAnsi="Arial Narrow"/>
          <w:sz w:val="20"/>
          <w:szCs w:val="20"/>
        </w:rPr>
        <w:t xml:space="preserve"> or </w:t>
      </w:r>
      <w:r>
        <w:rPr>
          <w:rFonts w:ascii="Arial Narrow" w:hAnsi="Arial Narrow"/>
          <w:sz w:val="20"/>
          <w:szCs w:val="20"/>
        </w:rPr>
        <w:t>6060</w:t>
      </w:r>
      <w:r w:rsidRPr="00332D47">
        <w:rPr>
          <w:rFonts w:ascii="Arial Narrow" w:hAnsi="Arial Narrow"/>
          <w:sz w:val="20"/>
          <w:szCs w:val="20"/>
        </w:rPr>
        <w:t>; and</w:t>
      </w:r>
      <w:r w:rsidRPr="008F187F">
        <w:rPr>
          <w:rFonts w:ascii="Arial Narrow" w:hAnsi="Arial Narrow"/>
          <w:sz w:val="20"/>
          <w:szCs w:val="20"/>
        </w:rPr>
        <w:t xml:space="preserve"> </w:t>
      </w:r>
    </w:p>
    <w:p w14:paraId="5F7A2DA1"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the patient is not an admitted patient; and </w:t>
      </w:r>
    </w:p>
    <w:p w14:paraId="6D355FC3"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the patient: </w:t>
      </w:r>
    </w:p>
    <w:p w14:paraId="33A7B9B8" w14:textId="44209E09"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 is located both: </w:t>
      </w:r>
    </w:p>
    <w:p w14:paraId="448CA7AD" w14:textId="325B8FBE"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within a telehealth eligible area; and </w:t>
      </w:r>
    </w:p>
    <w:p w14:paraId="63097DE6" w14:textId="7DA64902"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at the time of the attendance-at least 15 kms by road from the </w:t>
      </w:r>
      <w:r w:rsidRPr="000E2752">
        <w:rPr>
          <w:rFonts w:ascii="Arial Narrow" w:hAnsi="Arial Narrow"/>
          <w:sz w:val="20"/>
          <w:szCs w:val="20"/>
        </w:rPr>
        <w:t xml:space="preserve">sexual health medicine </w:t>
      </w:r>
      <w:r>
        <w:rPr>
          <w:rFonts w:ascii="Arial Narrow" w:hAnsi="Arial Narrow"/>
          <w:sz w:val="20"/>
          <w:szCs w:val="20"/>
        </w:rPr>
        <w:t>specialist</w:t>
      </w:r>
      <w:r w:rsidRPr="008F187F">
        <w:rPr>
          <w:rFonts w:ascii="Arial Narrow" w:hAnsi="Arial Narrow"/>
          <w:sz w:val="20"/>
          <w:szCs w:val="20"/>
        </w:rPr>
        <w:t xml:space="preserve">; or </w:t>
      </w:r>
    </w:p>
    <w:p w14:paraId="7E2FC987" w14:textId="6F4BBB86"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is a care recipient in a residential care service; or </w:t>
      </w:r>
    </w:p>
    <w:p w14:paraId="0A532C3E" w14:textId="4765EFCD"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(iii) is a patient of: </w:t>
      </w:r>
    </w:p>
    <w:p w14:paraId="33D50517" w14:textId="2CAD6982"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an Aboriginal Medical Service; or </w:t>
      </w:r>
    </w:p>
    <w:p w14:paraId="0E311089" w14:textId="130822D5"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an Aboriginal Community Controlled Health Service; </w:t>
      </w:r>
    </w:p>
    <w:p w14:paraId="0B540EB2"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ind w:firstLine="720"/>
        <w:rPr>
          <w:rFonts w:ascii="Arial Narrow" w:hAnsi="Arial Narrow"/>
          <w:sz w:val="20"/>
          <w:szCs w:val="20"/>
        </w:rPr>
      </w:pPr>
      <w:r w:rsidRPr="008F187F">
        <w:rPr>
          <w:rFonts w:ascii="Arial Narrow" w:hAnsi="Arial Narrow"/>
          <w:sz w:val="20"/>
          <w:szCs w:val="20"/>
        </w:rPr>
        <w:t xml:space="preserve">for which a direction made under subsection 19 (2) of the Act applies </w:t>
      </w:r>
    </w:p>
    <w:p w14:paraId="32C47B9C" w14:textId="77777777" w:rsidR="00701F9C" w:rsidRPr="00676763" w:rsidRDefault="00701F9C"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rPr>
          <w:rFonts w:ascii="Arial Narrow" w:hAnsi="Arial Narrow" w:cs="Calibri"/>
          <w:color w:val="000000"/>
          <w:sz w:val="20"/>
          <w:lang w:eastAsia="en-AU"/>
        </w:rPr>
      </w:pPr>
      <w:r w:rsidRPr="00E11452">
        <w:rPr>
          <w:rFonts w:ascii="Arial Narrow" w:hAnsi="Arial Narrow" w:cs="Verdana"/>
          <w:b/>
          <w:sz w:val="20"/>
          <w:lang w:val="en-US" w:eastAsia="en-AU"/>
        </w:rPr>
        <w:t>50% of the fee for the associated item. Benefit: 85% of derived fee</w:t>
      </w:r>
    </w:p>
    <w:p w14:paraId="6AFADD31" w14:textId="77777777" w:rsidR="00337D61" w:rsidRDefault="00337D61" w:rsidP="003E6994">
      <w:pPr>
        <w:pStyle w:val="AspexBodyStandard"/>
      </w:pPr>
    </w:p>
    <w:p w14:paraId="35049098" w14:textId="3F266EE9" w:rsidR="00AA2069" w:rsidRDefault="00AA2069">
      <w:pPr>
        <w:spacing w:before="0" w:after="0" w:line="240" w:lineRule="auto"/>
      </w:pPr>
      <w:r>
        <w:br w:type="page"/>
      </w:r>
    </w:p>
    <w:p w14:paraId="1392D9C7" w14:textId="0DD33EA8" w:rsidR="00337D61" w:rsidRPr="001905EE" w:rsidRDefault="00337D61" w:rsidP="00337D61">
      <w:pPr>
        <w:pStyle w:val="Caption"/>
      </w:pPr>
      <w:bookmarkStart w:id="168" w:name="_Ref351644370"/>
      <w:bookmarkStart w:id="169" w:name="_Toc351129629"/>
      <w:r w:rsidRPr="001905EE">
        <w:lastRenderedPageBreak/>
        <w:t xml:space="preserve">Figure </w:t>
      </w:r>
      <w:r w:rsidR="008E6665">
        <w:fldChar w:fldCharType="begin"/>
      </w:r>
      <w:r w:rsidR="008E6665">
        <w:instrText xml:space="preserve"> STYLEREF 1 \s </w:instrText>
      </w:r>
      <w:r w:rsidR="008E6665">
        <w:fldChar w:fldCharType="separate"/>
      </w:r>
      <w:r w:rsidR="008E6665">
        <w:rPr>
          <w:noProof/>
        </w:rPr>
        <w:t>6</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11</w:t>
      </w:r>
      <w:r w:rsidR="008E6665">
        <w:rPr>
          <w:noProof/>
        </w:rPr>
        <w:fldChar w:fldCharType="end"/>
      </w:r>
      <w:bookmarkEnd w:id="168"/>
      <w:r>
        <w:rPr>
          <w:noProof/>
        </w:rPr>
        <w:t>:</w:t>
      </w:r>
      <w:r w:rsidRPr="001905EE">
        <w:tab/>
        <w:t xml:space="preserve">Proposed </w:t>
      </w:r>
      <w:r>
        <w:t>descriptor</w:t>
      </w:r>
      <w:r w:rsidRPr="001905EE">
        <w:t xml:space="preserve"> for </w:t>
      </w:r>
      <w:r>
        <w:t>tele</w:t>
      </w:r>
      <w:r w:rsidR="00B02845">
        <w:t>health</w:t>
      </w:r>
      <w:r>
        <w:t xml:space="preserve"> item – time</w:t>
      </w:r>
      <w:r w:rsidR="00B02845">
        <w:t>-</w:t>
      </w:r>
      <w:r>
        <w:t>tiered items</w:t>
      </w:r>
      <w:bookmarkEnd w:id="169"/>
    </w:p>
    <w:p w14:paraId="7CA44ED7" w14:textId="77777777" w:rsidR="00701F9C" w:rsidRPr="00C32F8C"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90EC6">
        <w:rPr>
          <w:rFonts w:ascii="Arial Narrow" w:hAnsi="Arial Narrow" w:cs="Calibri"/>
          <w:b/>
          <w:color w:val="000000"/>
          <w:sz w:val="20"/>
          <w:lang w:eastAsia="en-AU"/>
        </w:rPr>
        <w:t>PROFESSIONAL ATTENDANCE</w:t>
      </w:r>
      <w:r>
        <w:rPr>
          <w:rFonts w:ascii="Arial Narrow" w:hAnsi="Arial Narrow" w:cs="Calibri"/>
          <w:b/>
          <w:color w:val="000000"/>
          <w:sz w:val="20"/>
          <w:lang w:eastAsia="en-AU"/>
        </w:rPr>
        <w:t xml:space="preserve"> – </w:t>
      </w:r>
      <w:r w:rsidRPr="00690EC6">
        <w:rPr>
          <w:rFonts w:ascii="Arial Narrow" w:hAnsi="Arial Narrow" w:cs="Calibri"/>
          <w:b/>
          <w:color w:val="000000"/>
          <w:sz w:val="20"/>
          <w:lang w:eastAsia="en-AU"/>
        </w:rPr>
        <w:t>TELEHEALTH</w:t>
      </w:r>
    </w:p>
    <w:p w14:paraId="46718371" w14:textId="77777777" w:rsidR="00701F9C" w:rsidRPr="00676763" w:rsidRDefault="00701F9C" w:rsidP="005F47B7">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6063</w:t>
      </w:r>
    </w:p>
    <w:p w14:paraId="0BCC7120" w14:textId="77777777" w:rsidR="00701F9C"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p>
    <w:p w14:paraId="3D1CA1C1"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Professional attendance on a patient by a </w:t>
      </w:r>
      <w:r w:rsidRPr="000E2752">
        <w:rPr>
          <w:rFonts w:ascii="Arial Narrow" w:hAnsi="Arial Narrow"/>
          <w:sz w:val="20"/>
          <w:szCs w:val="20"/>
        </w:rPr>
        <w:t xml:space="preserve">sexual health medicine </w:t>
      </w:r>
      <w:r>
        <w:rPr>
          <w:rFonts w:ascii="Arial Narrow" w:hAnsi="Arial Narrow"/>
          <w:sz w:val="20"/>
          <w:szCs w:val="20"/>
        </w:rPr>
        <w:t>specialist</w:t>
      </w:r>
      <w:r w:rsidRPr="008F187F">
        <w:rPr>
          <w:rFonts w:ascii="Arial Narrow" w:hAnsi="Arial Narrow"/>
          <w:sz w:val="20"/>
          <w:szCs w:val="20"/>
        </w:rPr>
        <w:t xml:space="preserve"> practising in his or her specialty if: </w:t>
      </w:r>
    </w:p>
    <w:p w14:paraId="0E764DBF"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the attendance is by video conference; and </w:t>
      </w:r>
    </w:p>
    <w:p w14:paraId="6B9149B0"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(b) the attendance is for a service</w:t>
      </w:r>
      <w:r>
        <w:rPr>
          <w:rFonts w:ascii="Arial Narrow" w:hAnsi="Arial Narrow"/>
          <w:sz w:val="20"/>
          <w:szCs w:val="20"/>
        </w:rPr>
        <w:t xml:space="preserve"> </w:t>
      </w:r>
      <w:r w:rsidRPr="008F187F">
        <w:rPr>
          <w:rFonts w:ascii="Arial Narrow" w:hAnsi="Arial Narrow"/>
          <w:sz w:val="20"/>
          <w:szCs w:val="20"/>
        </w:rPr>
        <w:t xml:space="preserve">provided with item </w:t>
      </w:r>
      <w:r>
        <w:rPr>
          <w:rFonts w:ascii="Arial Narrow" w:hAnsi="Arial Narrow"/>
          <w:sz w:val="20"/>
          <w:szCs w:val="20"/>
        </w:rPr>
        <w:t>6051, 6052, 6054, 6055, 6059</w:t>
      </w:r>
      <w:r w:rsidRPr="00332D47">
        <w:rPr>
          <w:rFonts w:ascii="Arial Narrow" w:hAnsi="Arial Narrow"/>
          <w:sz w:val="20"/>
          <w:szCs w:val="20"/>
        </w:rPr>
        <w:t xml:space="preserve"> or </w:t>
      </w:r>
      <w:r>
        <w:rPr>
          <w:rFonts w:ascii="Arial Narrow" w:hAnsi="Arial Narrow"/>
          <w:sz w:val="20"/>
          <w:szCs w:val="20"/>
        </w:rPr>
        <w:t>6060</w:t>
      </w:r>
      <w:r w:rsidRPr="00332D47">
        <w:rPr>
          <w:rFonts w:ascii="Arial Narrow" w:hAnsi="Arial Narrow"/>
          <w:sz w:val="20"/>
          <w:szCs w:val="20"/>
        </w:rPr>
        <w:t>; and</w:t>
      </w:r>
      <w:r w:rsidRPr="008F187F">
        <w:rPr>
          <w:rFonts w:ascii="Arial Narrow" w:hAnsi="Arial Narrow"/>
          <w:sz w:val="20"/>
          <w:szCs w:val="20"/>
        </w:rPr>
        <w:t xml:space="preserve"> </w:t>
      </w:r>
    </w:p>
    <w:p w14:paraId="3FC4D2B5"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the patient is not an admitted patient; and </w:t>
      </w:r>
    </w:p>
    <w:p w14:paraId="7CD447A3" w14:textId="77777777" w:rsidR="00701F9C" w:rsidRPr="008F187F" w:rsidRDefault="00701F9C"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the patient: </w:t>
      </w:r>
    </w:p>
    <w:p w14:paraId="76CD28E7" w14:textId="026E69AD"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(i) is located both: </w:t>
      </w:r>
    </w:p>
    <w:p w14:paraId="37A72D50" w14:textId="60D8BCDB"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(A) within a telehealth eligible area; and </w:t>
      </w:r>
    </w:p>
    <w:p w14:paraId="23823898" w14:textId="75D20170"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(B) at the time of the attendance-at least 15 kms by road from the </w:t>
      </w:r>
      <w:r w:rsidR="00701F9C" w:rsidRPr="000E2752">
        <w:rPr>
          <w:rFonts w:ascii="Arial Narrow" w:hAnsi="Arial Narrow"/>
          <w:sz w:val="20"/>
          <w:szCs w:val="20"/>
        </w:rPr>
        <w:t xml:space="preserve">sexual health medicine </w:t>
      </w:r>
      <w:r w:rsidR="00701F9C">
        <w:rPr>
          <w:rFonts w:ascii="Arial Narrow" w:hAnsi="Arial Narrow"/>
          <w:sz w:val="20"/>
          <w:szCs w:val="20"/>
        </w:rPr>
        <w:t>specialist</w:t>
      </w:r>
      <w:r w:rsidR="00701F9C" w:rsidRPr="008F187F">
        <w:rPr>
          <w:rFonts w:ascii="Arial Narrow" w:hAnsi="Arial Narrow"/>
          <w:sz w:val="20"/>
          <w:szCs w:val="20"/>
        </w:rPr>
        <w:t xml:space="preserve">; or </w:t>
      </w:r>
    </w:p>
    <w:p w14:paraId="55C1F396" w14:textId="148E1B67"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(ii) is a care recipient in a residential care service; or </w:t>
      </w:r>
    </w:p>
    <w:p w14:paraId="0CAAAF91" w14:textId="2ABDFFAF"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(iii) is a patient of: </w:t>
      </w:r>
    </w:p>
    <w:p w14:paraId="0B1DFAA3" w14:textId="56069811"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(A) an Aboriginal Medical Service; or </w:t>
      </w:r>
    </w:p>
    <w:p w14:paraId="680F60F7" w14:textId="77777777" w:rsidR="00511616"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(B) an Aboriginal Community Controlled Health Service; </w:t>
      </w:r>
    </w:p>
    <w:p w14:paraId="5C684301" w14:textId="153EEAD4" w:rsidR="00701F9C" w:rsidRPr="008F187F" w:rsidRDefault="00511616" w:rsidP="005F47B7">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701F9C" w:rsidRPr="008F187F">
        <w:rPr>
          <w:rFonts w:ascii="Arial Narrow" w:hAnsi="Arial Narrow"/>
          <w:sz w:val="20"/>
          <w:szCs w:val="20"/>
        </w:rPr>
        <w:t xml:space="preserve">for which a direction made under subsection 19 (2) of the Act applies </w:t>
      </w:r>
    </w:p>
    <w:p w14:paraId="26DF77B9" w14:textId="77082574" w:rsidR="00701F9C" w:rsidRPr="00676763" w:rsidRDefault="00701F9C" w:rsidP="005F47B7">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3402"/>
        </w:tabs>
        <w:rPr>
          <w:rFonts w:ascii="Arial Narrow" w:hAnsi="Arial Narrow" w:cs="Calibri"/>
          <w:color w:val="000000"/>
          <w:sz w:val="20"/>
          <w:lang w:eastAsia="en-AU"/>
        </w:rPr>
      </w:pPr>
      <w:r w:rsidRPr="00E11452">
        <w:rPr>
          <w:rFonts w:ascii="Arial Narrow" w:hAnsi="Arial Narrow" w:cs="Verdana"/>
          <w:b/>
          <w:sz w:val="20"/>
          <w:lang w:val="en-US" w:eastAsia="en-AU"/>
        </w:rPr>
        <w:t>50% of the fee for the associated item.</w:t>
      </w:r>
      <w:r w:rsidR="00A119C3">
        <w:rPr>
          <w:rFonts w:ascii="Arial Narrow" w:hAnsi="Arial Narrow" w:cs="Verdana"/>
          <w:b/>
          <w:sz w:val="20"/>
          <w:lang w:val="en-US" w:eastAsia="en-AU"/>
        </w:rPr>
        <w:tab/>
      </w:r>
      <w:r w:rsidRPr="00E11452">
        <w:rPr>
          <w:rFonts w:ascii="Arial Narrow" w:hAnsi="Arial Narrow" w:cs="Verdana"/>
          <w:b/>
          <w:sz w:val="20"/>
          <w:lang w:val="en-US" w:eastAsia="en-AU"/>
        </w:rPr>
        <w:t>Benefit: 85% of derived fee</w:t>
      </w:r>
    </w:p>
    <w:p w14:paraId="4A4E93E4" w14:textId="77777777" w:rsidR="00867BFB" w:rsidRDefault="003E6994" w:rsidP="003E6994">
      <w:pPr>
        <w:pStyle w:val="AspexBodyStandard"/>
      </w:pPr>
      <w:r>
        <w:t xml:space="preserve">The Department has already factored in the impact of teleconferencing items to estimates. As such, there was no formal modelling of the impact of these items upon future MBS billing for </w:t>
      </w:r>
      <w:r w:rsidR="000E2752" w:rsidRPr="000E2752">
        <w:t xml:space="preserve">sexual health medicine </w:t>
      </w:r>
      <w:r>
        <w:t>specialists.</w:t>
      </w:r>
    </w:p>
    <w:p w14:paraId="438C8059" w14:textId="77777777" w:rsidR="00C202A9" w:rsidRDefault="0087419D" w:rsidP="007333CE">
      <w:pPr>
        <w:pStyle w:val="Heading1"/>
      </w:pPr>
      <w:bookmarkStart w:id="170" w:name="_Ref225135951"/>
      <w:bookmarkStart w:id="171" w:name="_Toc351480542"/>
      <w:r>
        <w:lastRenderedPageBreak/>
        <w:t xml:space="preserve">Impact of Changes to </w:t>
      </w:r>
      <w:r w:rsidR="009D25E6">
        <w:t>Remuneration</w:t>
      </w:r>
      <w:r>
        <w:t xml:space="preserve"> Arrangements</w:t>
      </w:r>
      <w:bookmarkEnd w:id="170"/>
      <w:bookmarkEnd w:id="171"/>
    </w:p>
    <w:p w14:paraId="0024AD1A" w14:textId="77777777" w:rsidR="00566A30" w:rsidRDefault="00566A30" w:rsidP="007333CE">
      <w:pPr>
        <w:pStyle w:val="Heading2"/>
      </w:pPr>
      <w:bookmarkStart w:id="172" w:name="_Toc351480543"/>
      <w:r>
        <w:t>Modelling Objectives</w:t>
      </w:r>
      <w:bookmarkEnd w:id="172"/>
    </w:p>
    <w:p w14:paraId="1A117EF6" w14:textId="57FDB9D1" w:rsidR="00566A30" w:rsidRDefault="00566A30" w:rsidP="00566A30">
      <w:pPr>
        <w:pStyle w:val="AspexBodyStandard"/>
      </w:pPr>
      <w:r>
        <w:t>The purpose of the financial mo</w:t>
      </w:r>
      <w:r w:rsidR="002010BF">
        <w:t>delling undertaken wa</w:t>
      </w:r>
      <w:r>
        <w:t xml:space="preserve">s to quantify the implications for the </w:t>
      </w:r>
      <w:r w:rsidR="002B2681">
        <w:t>private sector</w:t>
      </w:r>
      <w:r>
        <w:t xml:space="preserve"> of the proposed new MBS item structures for </w:t>
      </w:r>
      <w:r w:rsidR="000E2752" w:rsidRPr="000E2752">
        <w:t>sexual health medicine</w:t>
      </w:r>
      <w:r>
        <w:t>.</w:t>
      </w:r>
      <w:r w:rsidR="00AF1E95">
        <w:t xml:space="preserve"> </w:t>
      </w:r>
    </w:p>
    <w:p w14:paraId="2C4065E8" w14:textId="77777777" w:rsidR="00566A30" w:rsidRDefault="00566A30" w:rsidP="007333CE">
      <w:pPr>
        <w:pStyle w:val="Heading2"/>
      </w:pPr>
      <w:bookmarkStart w:id="173" w:name="_Toc351480544"/>
      <w:r>
        <w:t>Private Sector</w:t>
      </w:r>
      <w:bookmarkEnd w:id="173"/>
    </w:p>
    <w:p w14:paraId="3D924284" w14:textId="77777777" w:rsidR="00566A30" w:rsidRDefault="00566A30" w:rsidP="00F44503">
      <w:pPr>
        <w:pStyle w:val="Heading3"/>
      </w:pPr>
      <w:r>
        <w:t>Scenario Modelling</w:t>
      </w:r>
    </w:p>
    <w:p w14:paraId="2F0E87B6" w14:textId="77777777" w:rsidR="00566A30" w:rsidRDefault="00566A30" w:rsidP="00566A30">
      <w:pPr>
        <w:pStyle w:val="AspexBodyStandard"/>
      </w:pPr>
      <w:r>
        <w:t>A number of scenarios have been modelled to assess the impact of</w:t>
      </w:r>
      <w:r w:rsidR="00B81D6E">
        <w:t xml:space="preserve"> revised MBS item structures. </w:t>
      </w:r>
      <w:r>
        <w:t xml:space="preserve">A detailed explanation of each scenario is provided at </w:t>
      </w:r>
      <w:r w:rsidR="00A5073D">
        <w:t>Chapter 6</w:t>
      </w:r>
      <w:r>
        <w:t>. The following sections provide a summary of the main outcomes for each scenario.</w:t>
      </w:r>
    </w:p>
    <w:p w14:paraId="5B792F13" w14:textId="77777777" w:rsidR="00566A30" w:rsidRDefault="00566A30" w:rsidP="00F44503">
      <w:pPr>
        <w:pStyle w:val="Heading3"/>
      </w:pPr>
      <w:r>
        <w:t>Physician Rates</w:t>
      </w:r>
    </w:p>
    <w:p w14:paraId="530FE390" w14:textId="77777777" w:rsidR="008023A9" w:rsidRPr="008023A9" w:rsidRDefault="00517B9F" w:rsidP="00517B9F">
      <w:pPr>
        <w:pStyle w:val="AspexBodyStandard"/>
        <w:rPr>
          <w:b/>
        </w:rPr>
      </w:pPr>
      <w:r w:rsidRPr="000D523C">
        <w:rPr>
          <w:b/>
        </w:rPr>
        <w:t xml:space="preserve">Physician Rates </w:t>
      </w:r>
    </w:p>
    <w:p w14:paraId="2399E83A" w14:textId="66EFB5FC" w:rsidR="00517B9F" w:rsidRPr="000F5D3D" w:rsidRDefault="00517B9F" w:rsidP="00517B9F">
      <w:pPr>
        <w:spacing w:line="240" w:lineRule="auto"/>
        <w:jc w:val="both"/>
      </w:pPr>
      <w:r w:rsidRPr="006B0A2E">
        <w:t>In this scenario</w:t>
      </w:r>
      <w:r>
        <w:t xml:space="preserve"> the original forecasts for assessment and treatment services are maintained. A</w:t>
      </w:r>
      <w:r w:rsidRPr="006B0A2E">
        <w:t xml:space="preserve">ll assessment and treatment consultations attract </w:t>
      </w:r>
      <w:r>
        <w:t xml:space="preserve">the </w:t>
      </w:r>
      <w:r w:rsidR="00BD188C">
        <w:t xml:space="preserve">current consultant physician weighted average benefits of $135.35 and $60.50 respectively. </w:t>
      </w:r>
      <w:r>
        <w:fldChar w:fldCharType="begin"/>
      </w:r>
      <w:r>
        <w:instrText xml:space="preserve"> REF _Ref349746613 \h </w:instrText>
      </w:r>
      <w:r>
        <w:fldChar w:fldCharType="separate"/>
      </w:r>
      <w:r w:rsidR="008E6665">
        <w:t xml:space="preserve">Figure </w:t>
      </w:r>
      <w:r w:rsidR="008E6665">
        <w:rPr>
          <w:noProof/>
        </w:rPr>
        <w:t>7</w:t>
      </w:r>
      <w:r w:rsidR="008E6665">
        <w:noBreakHyphen/>
      </w:r>
      <w:r w:rsidR="008E6665">
        <w:rPr>
          <w:noProof/>
        </w:rPr>
        <w:t>1</w:t>
      </w:r>
      <w:r>
        <w:fldChar w:fldCharType="end"/>
      </w:r>
      <w:r>
        <w:t xml:space="preserve"> and </w:t>
      </w:r>
      <w:r>
        <w:fldChar w:fldCharType="begin"/>
      </w:r>
      <w:r>
        <w:instrText xml:space="preserve"> REF _Ref224044086 \h </w:instrText>
      </w:r>
      <w:r>
        <w:fldChar w:fldCharType="separate"/>
      </w:r>
      <w:r w:rsidR="008E6665">
        <w:t xml:space="preserve">Figure </w:t>
      </w:r>
      <w:r w:rsidR="008E6665">
        <w:rPr>
          <w:noProof/>
        </w:rPr>
        <w:t>7</w:t>
      </w:r>
      <w:r w:rsidR="008E6665">
        <w:noBreakHyphen/>
      </w:r>
      <w:r w:rsidR="008E6665">
        <w:rPr>
          <w:noProof/>
        </w:rPr>
        <w:t>2</w:t>
      </w:r>
      <w:r>
        <w:fldChar w:fldCharType="end"/>
      </w:r>
      <w:r>
        <w:t xml:space="preserve"> </w:t>
      </w:r>
      <w:r w:rsidRPr="006B0A2E">
        <w:t xml:space="preserve">shows a comparison of this scenario with the current </w:t>
      </w:r>
      <w:r>
        <w:t xml:space="preserve">weighted average </w:t>
      </w:r>
      <w:r w:rsidRPr="006B0A2E">
        <w:t xml:space="preserve">charges, benefits and </w:t>
      </w:r>
      <w:r>
        <w:t>out-of-pocket</w:t>
      </w:r>
      <w:r w:rsidRPr="006B0A2E">
        <w:t xml:space="preserve"> amounts.</w:t>
      </w:r>
    </w:p>
    <w:p w14:paraId="626EB589" w14:textId="56B9A117" w:rsidR="00517B9F" w:rsidRDefault="00517B9F" w:rsidP="00517B9F">
      <w:pPr>
        <w:pStyle w:val="Caption"/>
      </w:pPr>
      <w:bookmarkStart w:id="174" w:name="_Ref349746613"/>
      <w:bookmarkStart w:id="175" w:name="_Toc224044423"/>
      <w:bookmarkStart w:id="176" w:name="_Toc351129630"/>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w:t>
      </w:r>
      <w:r w:rsidR="008E6665">
        <w:rPr>
          <w:noProof/>
        </w:rPr>
        <w:fldChar w:fldCharType="end"/>
      </w:r>
      <w:bookmarkEnd w:id="174"/>
      <w:r>
        <w:rPr>
          <w:noProof/>
        </w:rPr>
        <w:t>:</w:t>
      </w:r>
      <w:r>
        <w:tab/>
        <w:t>Physician Rates– Average $/service for Assessment</w:t>
      </w:r>
      <w:bookmarkEnd w:id="175"/>
      <w:bookmarkEnd w:id="176"/>
    </w:p>
    <w:p w14:paraId="4C373903" w14:textId="7DA81ECA" w:rsidR="00517B9F" w:rsidRDefault="00A96446" w:rsidP="00517B9F">
      <w:pPr>
        <w:spacing w:line="240" w:lineRule="auto"/>
        <w:jc w:val="both"/>
      </w:pPr>
      <w:r w:rsidRPr="00A96446">
        <w:rPr>
          <w:noProof/>
          <w:lang w:eastAsia="en-AU"/>
        </w:rPr>
        <w:drawing>
          <wp:inline distT="0" distB="0" distL="0" distR="0" wp14:anchorId="4A6D4ECA" wp14:editId="23257D0E">
            <wp:extent cx="5723890" cy="2901316"/>
            <wp:effectExtent l="0" t="0" r="0" b="0"/>
            <wp:docPr id="63" name="Picture 20" title="Figure 7 1: Physician Rates– Average $/servic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7D9305AC" w14:textId="77777777" w:rsidR="00517B9F" w:rsidRDefault="00517B9F" w:rsidP="00517B9F">
      <w:pPr>
        <w:pStyle w:val="AspexBodyStandard"/>
      </w:pPr>
    </w:p>
    <w:p w14:paraId="703B49DD" w14:textId="77777777" w:rsidR="00335E90" w:rsidRDefault="00335E90" w:rsidP="00517B9F">
      <w:pPr>
        <w:pStyle w:val="AspexBodyStandard"/>
      </w:pPr>
    </w:p>
    <w:p w14:paraId="0C4D92AC" w14:textId="2128CF34" w:rsidR="00517B9F" w:rsidRDefault="00517B9F" w:rsidP="00517B9F">
      <w:pPr>
        <w:pStyle w:val="Caption"/>
      </w:pPr>
      <w:bookmarkStart w:id="177" w:name="_Ref224044086"/>
      <w:bookmarkStart w:id="178" w:name="_Toc224044424"/>
      <w:bookmarkStart w:id="179" w:name="_Toc351129631"/>
      <w:r>
        <w:lastRenderedPageBreak/>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2</w:t>
      </w:r>
      <w:r w:rsidR="008E6665">
        <w:rPr>
          <w:noProof/>
        </w:rPr>
        <w:fldChar w:fldCharType="end"/>
      </w:r>
      <w:bookmarkEnd w:id="177"/>
      <w:r>
        <w:rPr>
          <w:noProof/>
        </w:rPr>
        <w:t>:</w:t>
      </w:r>
      <w:r>
        <w:tab/>
        <w:t>Physician Rates– Average $/service for Treatment</w:t>
      </w:r>
      <w:bookmarkEnd w:id="178"/>
      <w:bookmarkEnd w:id="179"/>
    </w:p>
    <w:p w14:paraId="17007547" w14:textId="29C7EC21" w:rsidR="00517B9F" w:rsidRDefault="00A96446" w:rsidP="00517B9F">
      <w:pPr>
        <w:spacing w:line="240" w:lineRule="auto"/>
        <w:jc w:val="both"/>
      </w:pPr>
      <w:r w:rsidRPr="00A96446">
        <w:rPr>
          <w:noProof/>
          <w:lang w:eastAsia="en-AU"/>
        </w:rPr>
        <w:drawing>
          <wp:inline distT="0" distB="0" distL="0" distR="0" wp14:anchorId="651CA176" wp14:editId="2DD70362">
            <wp:extent cx="5723890" cy="2901316"/>
            <wp:effectExtent l="0" t="0" r="0" b="0"/>
            <wp:docPr id="64" name="Picture 21" title="Figure 7 2: Physician Rates– Average $/service fo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079FDF64" w14:textId="77777777" w:rsidR="00517B9F" w:rsidRPr="00BE6864" w:rsidRDefault="00517B9F" w:rsidP="00517B9F">
      <w:pPr>
        <w:spacing w:line="240" w:lineRule="auto"/>
        <w:jc w:val="both"/>
      </w:pPr>
      <w:r w:rsidRPr="00BE6864">
        <w:t>There is no change in the volume of services delivered under this scenario.</w:t>
      </w:r>
    </w:p>
    <w:p w14:paraId="1B49B474" w14:textId="77777777" w:rsidR="00517B9F" w:rsidRPr="00BE6864" w:rsidRDefault="00517B9F" w:rsidP="00517B9F">
      <w:pPr>
        <w:spacing w:line="240" w:lineRule="auto"/>
        <w:jc w:val="both"/>
      </w:pPr>
      <w:r w:rsidRPr="00BE6864">
        <w:t xml:space="preserve">In this scenario, assessment benefits increase by 34% </w:t>
      </w:r>
      <w:r>
        <w:t xml:space="preserve">and </w:t>
      </w:r>
      <w:r w:rsidRPr="00BE6864">
        <w:t xml:space="preserve">treatment </w:t>
      </w:r>
      <w:r>
        <w:t xml:space="preserve">benefits </w:t>
      </w:r>
      <w:r w:rsidRPr="00BE6864">
        <w:t xml:space="preserve">rise by </w:t>
      </w:r>
      <w:r>
        <w:t>6</w:t>
      </w:r>
      <w:r w:rsidRPr="00BE6864">
        <w:t>%. The total benefits paid under this scenario in 2013 are $</w:t>
      </w:r>
      <w:r>
        <w:t>0.824m</w:t>
      </w:r>
      <w:r w:rsidRPr="00BE6864">
        <w:t xml:space="preserve"> higher than the current scenario.</w:t>
      </w:r>
    </w:p>
    <w:p w14:paraId="759C97A9" w14:textId="77777777" w:rsidR="00517B9F" w:rsidRDefault="00517B9F" w:rsidP="00517B9F">
      <w:pPr>
        <w:pStyle w:val="Heading3"/>
        <w:tabs>
          <w:tab w:val="num" w:pos="964"/>
        </w:tabs>
        <w:ind w:left="964" w:hanging="964"/>
      </w:pPr>
      <w:bookmarkStart w:id="180" w:name="_Toc224279632"/>
      <w:r>
        <w:t>Time-Tier Rates</w:t>
      </w:r>
      <w:bookmarkEnd w:id="180"/>
    </w:p>
    <w:p w14:paraId="13732037" w14:textId="632890FD" w:rsidR="00517B9F" w:rsidRDefault="00517B9F" w:rsidP="00517B9F">
      <w:pPr>
        <w:pStyle w:val="AspexBodyStandard"/>
      </w:pPr>
      <w:r>
        <w:t xml:space="preserve">Benefits for assessment services in this scenario are costed at $135.35 per service (the weighted average physician benefit) compared with the current weighted average benefit of $100.92, an increase of 34%. Treatment services have a time-tiered structure, which results in an average benefit of $61.38 per service compared with the current average of $57.10, an increase of 7.5%, which is slightly higher than the weighted average physician rates. Charges, benefits and out-of-pocket fees per service are shown in </w:t>
      </w:r>
      <w:r>
        <w:fldChar w:fldCharType="begin"/>
      </w:r>
      <w:r>
        <w:instrText xml:space="preserve"> REF _Ref349747233 \h </w:instrText>
      </w:r>
      <w:r>
        <w:fldChar w:fldCharType="separate"/>
      </w:r>
      <w:r w:rsidR="008E6665">
        <w:t xml:space="preserve">Figure </w:t>
      </w:r>
      <w:r w:rsidR="008E6665">
        <w:rPr>
          <w:noProof/>
        </w:rPr>
        <w:t>7</w:t>
      </w:r>
      <w:r w:rsidR="008E6665">
        <w:noBreakHyphen/>
      </w:r>
      <w:r w:rsidR="008E6665">
        <w:rPr>
          <w:noProof/>
        </w:rPr>
        <w:t>3</w:t>
      </w:r>
      <w:r>
        <w:fldChar w:fldCharType="end"/>
      </w:r>
      <w:r>
        <w:t xml:space="preserve"> and </w:t>
      </w:r>
      <w:r>
        <w:fldChar w:fldCharType="begin"/>
      </w:r>
      <w:r>
        <w:instrText xml:space="preserve"> REF _Ref224044112 \h </w:instrText>
      </w:r>
      <w:r>
        <w:fldChar w:fldCharType="separate"/>
      </w:r>
      <w:r w:rsidR="008E6665">
        <w:t xml:space="preserve">Figure </w:t>
      </w:r>
      <w:r w:rsidR="008E6665">
        <w:rPr>
          <w:noProof/>
        </w:rPr>
        <w:t>7</w:t>
      </w:r>
      <w:r w:rsidR="008E6665">
        <w:noBreakHyphen/>
      </w:r>
      <w:r w:rsidR="008E6665">
        <w:rPr>
          <w:noProof/>
        </w:rPr>
        <w:t>4</w:t>
      </w:r>
      <w:r>
        <w:fldChar w:fldCharType="end"/>
      </w:r>
      <w:r>
        <w:t>.</w:t>
      </w:r>
    </w:p>
    <w:p w14:paraId="78FDB065" w14:textId="376519DD" w:rsidR="00632F42" w:rsidRDefault="00632F42">
      <w:pPr>
        <w:spacing w:before="0" w:after="0" w:line="240" w:lineRule="auto"/>
      </w:pPr>
      <w:r>
        <w:br w:type="page"/>
      </w:r>
    </w:p>
    <w:p w14:paraId="18607E64" w14:textId="7E18C65F" w:rsidR="00517B9F" w:rsidRDefault="00517B9F" w:rsidP="00517B9F">
      <w:pPr>
        <w:pStyle w:val="Caption"/>
      </w:pPr>
      <w:bookmarkStart w:id="181" w:name="_Ref349747233"/>
      <w:bookmarkStart w:id="182" w:name="_Toc224044425"/>
      <w:bookmarkStart w:id="183" w:name="_Toc351129632"/>
      <w:r>
        <w:lastRenderedPageBreak/>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3</w:t>
      </w:r>
      <w:r w:rsidR="008E6665">
        <w:rPr>
          <w:noProof/>
        </w:rPr>
        <w:fldChar w:fldCharType="end"/>
      </w:r>
      <w:bookmarkEnd w:id="181"/>
      <w:r>
        <w:rPr>
          <w:noProof/>
        </w:rPr>
        <w:t>:</w:t>
      </w:r>
      <w:r>
        <w:tab/>
        <w:t>Time-Tier Rates</w:t>
      </w:r>
      <w:r w:rsidRPr="009F6D70">
        <w:t xml:space="preserve"> </w:t>
      </w:r>
      <w:r>
        <w:t>– Average $/service for Assessment</w:t>
      </w:r>
      <w:bookmarkEnd w:id="182"/>
      <w:bookmarkEnd w:id="183"/>
    </w:p>
    <w:p w14:paraId="48DD77E7" w14:textId="0E1BB812" w:rsidR="00517B9F" w:rsidRDefault="00A96446" w:rsidP="00517B9F">
      <w:pPr>
        <w:pStyle w:val="AspexBodyStandard"/>
      </w:pPr>
      <w:r w:rsidRPr="00A96446">
        <w:rPr>
          <w:noProof/>
          <w:lang w:eastAsia="en-AU"/>
        </w:rPr>
        <w:drawing>
          <wp:inline distT="0" distB="0" distL="0" distR="0" wp14:anchorId="739176C5" wp14:editId="7FC26025">
            <wp:extent cx="5723890" cy="2899801"/>
            <wp:effectExtent l="0" t="0" r="0" b="0"/>
            <wp:docPr id="65" name="Picture 22" title="Figure 7 3: Time-Tier Rates – Average $/servic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3890" cy="2899801"/>
                    </a:xfrm>
                    <a:prstGeom prst="rect">
                      <a:avLst/>
                    </a:prstGeom>
                    <a:noFill/>
                    <a:ln>
                      <a:noFill/>
                    </a:ln>
                  </pic:spPr>
                </pic:pic>
              </a:graphicData>
            </a:graphic>
          </wp:inline>
        </w:drawing>
      </w:r>
    </w:p>
    <w:p w14:paraId="734DADE2" w14:textId="348DAB0D" w:rsidR="00517B9F" w:rsidRDefault="00517B9F" w:rsidP="00517B9F">
      <w:pPr>
        <w:pStyle w:val="Caption"/>
      </w:pPr>
      <w:bookmarkStart w:id="184" w:name="_Ref224044112"/>
      <w:bookmarkStart w:id="185" w:name="_Toc224044426"/>
      <w:bookmarkStart w:id="186" w:name="_Toc351129633"/>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4</w:t>
      </w:r>
      <w:r w:rsidR="008E6665">
        <w:rPr>
          <w:noProof/>
        </w:rPr>
        <w:fldChar w:fldCharType="end"/>
      </w:r>
      <w:bookmarkEnd w:id="184"/>
      <w:r>
        <w:rPr>
          <w:noProof/>
        </w:rPr>
        <w:t>:</w:t>
      </w:r>
      <w:r>
        <w:tab/>
        <w:t>Time-Tier Rates</w:t>
      </w:r>
      <w:r w:rsidRPr="009F6D70">
        <w:t xml:space="preserve"> </w:t>
      </w:r>
      <w:r>
        <w:t>– Average $/service for Treatment</w:t>
      </w:r>
      <w:bookmarkEnd w:id="185"/>
      <w:bookmarkEnd w:id="186"/>
    </w:p>
    <w:p w14:paraId="0614B68F" w14:textId="435DC998" w:rsidR="00517B9F" w:rsidRDefault="00A96446" w:rsidP="00517B9F">
      <w:pPr>
        <w:pStyle w:val="AspexBodyStandard"/>
      </w:pPr>
      <w:r w:rsidRPr="00A96446">
        <w:rPr>
          <w:noProof/>
          <w:lang w:eastAsia="en-AU"/>
        </w:rPr>
        <w:drawing>
          <wp:inline distT="0" distB="0" distL="0" distR="0" wp14:anchorId="0F38F050" wp14:editId="22888489">
            <wp:extent cx="5723890" cy="2901316"/>
            <wp:effectExtent l="0" t="0" r="0" b="0"/>
            <wp:docPr id="66" name="Picture 23" title="Figure 7 4: Time-Tier Rates – Average $/service fo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63AC3E60" w14:textId="77777777" w:rsidR="00517B9F" w:rsidRDefault="00517B9F" w:rsidP="00517B9F">
      <w:pPr>
        <w:spacing w:line="240" w:lineRule="auto"/>
        <w:jc w:val="both"/>
      </w:pPr>
      <w:r w:rsidRPr="00572BE0">
        <w:t xml:space="preserve">Once again, there is no change in the expected volume of services under the </w:t>
      </w:r>
      <w:r>
        <w:t>time-tiered</w:t>
      </w:r>
      <w:r w:rsidRPr="00572BE0">
        <w:t xml:space="preserve"> scenario. Total benefits payable in 2013 are $</w:t>
      </w:r>
      <w:r>
        <w:t>0.879m</w:t>
      </w:r>
      <w:r w:rsidRPr="00572BE0">
        <w:t xml:space="preserve"> higher than the current scenario</w:t>
      </w:r>
      <w:r>
        <w:t>, and $0.054m higher than the modified physician rate scenario</w:t>
      </w:r>
      <w:r w:rsidRPr="00572BE0">
        <w:t>.</w:t>
      </w:r>
    </w:p>
    <w:p w14:paraId="164D9798" w14:textId="39BD5818" w:rsidR="00632F42" w:rsidRDefault="00632F42">
      <w:pPr>
        <w:spacing w:before="0" w:after="0" w:line="240" w:lineRule="auto"/>
      </w:pPr>
      <w:r>
        <w:br w:type="page"/>
      </w:r>
    </w:p>
    <w:p w14:paraId="61E1CC14" w14:textId="77777777" w:rsidR="00517B9F" w:rsidRPr="00947DFB" w:rsidRDefault="00517B9F" w:rsidP="00517B9F">
      <w:pPr>
        <w:pStyle w:val="Heading3"/>
        <w:tabs>
          <w:tab w:val="num" w:pos="964"/>
        </w:tabs>
        <w:ind w:left="964" w:hanging="964"/>
      </w:pPr>
      <w:bookmarkStart w:id="187" w:name="_Toc224279633"/>
      <w:r>
        <w:lastRenderedPageBreak/>
        <w:t>Complex Treatment and Management Plans</w:t>
      </w:r>
      <w:bookmarkEnd w:id="187"/>
    </w:p>
    <w:p w14:paraId="2E5F07FD" w14:textId="35A1CD51" w:rsidR="00517B9F" w:rsidRDefault="00517B9F" w:rsidP="00517B9F">
      <w:pPr>
        <w:pStyle w:val="AspexBodyStandard"/>
      </w:pPr>
      <w:r>
        <w:t>This scenario provides for complex trea</w:t>
      </w:r>
      <w:r w:rsidR="0038257A">
        <w:t>tment and management plans for sexual health m</w:t>
      </w:r>
      <w:r>
        <w:t xml:space="preserve">edicine specialists that sit parallel with the consultation items.  In this scenario, there is an estimated increase in the number of services provided as a result of additional complex </w:t>
      </w:r>
      <w:r w:rsidRPr="00D87963">
        <w:t xml:space="preserve">treatment and management plan services by </w:t>
      </w:r>
      <w:r w:rsidR="005A58C3" w:rsidRPr="00D87963">
        <w:t>6.7</w:t>
      </w:r>
      <w:r w:rsidRPr="00D87963">
        <w:t>% of the total consultations.  The basis for</w:t>
      </w:r>
      <w:r>
        <w:t xml:space="preserve"> the estimated increase is tied to the estimated total assessment consultations relative to total consultations. In 2013, services rise by 5,341 compared to the earlier scenarios.</w:t>
      </w:r>
    </w:p>
    <w:p w14:paraId="0EC23DE5" w14:textId="3D1D52E9" w:rsidR="00517B9F" w:rsidRDefault="00517B9F" w:rsidP="00517B9F">
      <w:pPr>
        <w:pStyle w:val="AspexBodyStandard"/>
      </w:pPr>
      <w:r>
        <w:t xml:space="preserve">The weighted average benefit for assessments in this scenario rises to $143.44, an increase of 42% on current rates. The </w:t>
      </w:r>
      <w:r w:rsidR="00266DC0">
        <w:t xml:space="preserve">weighted </w:t>
      </w:r>
      <w:r>
        <w:t xml:space="preserve">average benefit for treatments increases by 11% to $63.32. Unit prices for charges, benefits and out-of-pockets are shown in </w:t>
      </w:r>
      <w:r>
        <w:fldChar w:fldCharType="begin"/>
      </w:r>
      <w:r>
        <w:instrText xml:space="preserve"> REF _Ref349747822 \h </w:instrText>
      </w:r>
      <w:r>
        <w:fldChar w:fldCharType="separate"/>
      </w:r>
      <w:r w:rsidR="008E6665">
        <w:t xml:space="preserve">Figure </w:t>
      </w:r>
      <w:r w:rsidR="008E6665">
        <w:rPr>
          <w:noProof/>
        </w:rPr>
        <w:t>7</w:t>
      </w:r>
      <w:r w:rsidR="008E6665">
        <w:noBreakHyphen/>
      </w:r>
      <w:r w:rsidR="008E6665">
        <w:rPr>
          <w:noProof/>
        </w:rPr>
        <w:t>5</w:t>
      </w:r>
      <w:r>
        <w:fldChar w:fldCharType="end"/>
      </w:r>
      <w:r>
        <w:t xml:space="preserve"> and </w:t>
      </w:r>
      <w:r>
        <w:fldChar w:fldCharType="begin"/>
      </w:r>
      <w:r>
        <w:instrText xml:space="preserve"> REF _Ref224044151 \h </w:instrText>
      </w:r>
      <w:r>
        <w:fldChar w:fldCharType="separate"/>
      </w:r>
      <w:r w:rsidR="008E6665">
        <w:t xml:space="preserve">Figure </w:t>
      </w:r>
      <w:r w:rsidR="008E6665">
        <w:rPr>
          <w:noProof/>
        </w:rPr>
        <w:t>7</w:t>
      </w:r>
      <w:r w:rsidR="008E6665">
        <w:noBreakHyphen/>
      </w:r>
      <w:r w:rsidR="008E6665">
        <w:rPr>
          <w:noProof/>
        </w:rPr>
        <w:t>6</w:t>
      </w:r>
      <w:r>
        <w:fldChar w:fldCharType="end"/>
      </w:r>
      <w:r>
        <w:t>.</w:t>
      </w:r>
    </w:p>
    <w:p w14:paraId="4CCD2A85" w14:textId="707AEE40" w:rsidR="00517B9F" w:rsidRDefault="00517B9F" w:rsidP="00517B9F">
      <w:pPr>
        <w:pStyle w:val="Caption"/>
      </w:pPr>
      <w:bookmarkStart w:id="188" w:name="_Ref349747822"/>
      <w:bookmarkStart w:id="189" w:name="_Toc224044427"/>
      <w:bookmarkStart w:id="190" w:name="_Toc351129634"/>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5</w:t>
      </w:r>
      <w:r w:rsidR="008E6665">
        <w:rPr>
          <w:noProof/>
        </w:rPr>
        <w:fldChar w:fldCharType="end"/>
      </w:r>
      <w:bookmarkEnd w:id="188"/>
      <w:r>
        <w:rPr>
          <w:noProof/>
        </w:rPr>
        <w:t>:</w:t>
      </w:r>
      <w:r>
        <w:tab/>
        <w:t>Complex Treatment– Average $/service for Assessment</w:t>
      </w:r>
      <w:bookmarkEnd w:id="189"/>
      <w:bookmarkEnd w:id="190"/>
    </w:p>
    <w:p w14:paraId="75E51039" w14:textId="578A27DA" w:rsidR="00517B9F" w:rsidRDefault="00A96446" w:rsidP="00FE683C">
      <w:pPr>
        <w:spacing w:line="240" w:lineRule="auto"/>
      </w:pPr>
      <w:r w:rsidRPr="00A96446">
        <w:rPr>
          <w:noProof/>
          <w:lang w:eastAsia="en-AU"/>
        </w:rPr>
        <w:drawing>
          <wp:inline distT="0" distB="0" distL="0" distR="0" wp14:anchorId="0A6A9F65" wp14:editId="7C136996">
            <wp:extent cx="5095982" cy="2583043"/>
            <wp:effectExtent l="0" t="0" r="0" b="8255"/>
            <wp:docPr id="67" name="Picture 24" title="Figure 7 5: Complex Treatment– Average $/servic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16982" cy="2593687"/>
                    </a:xfrm>
                    <a:prstGeom prst="rect">
                      <a:avLst/>
                    </a:prstGeom>
                    <a:noFill/>
                    <a:ln>
                      <a:noFill/>
                    </a:ln>
                  </pic:spPr>
                </pic:pic>
              </a:graphicData>
            </a:graphic>
          </wp:inline>
        </w:drawing>
      </w:r>
    </w:p>
    <w:p w14:paraId="6FAC47BA" w14:textId="6661D403" w:rsidR="00517B9F" w:rsidRDefault="00517B9F" w:rsidP="00517B9F">
      <w:pPr>
        <w:pStyle w:val="Caption"/>
      </w:pPr>
      <w:bookmarkStart w:id="191" w:name="_Ref224044151"/>
      <w:bookmarkStart w:id="192" w:name="_Toc224044428"/>
      <w:bookmarkStart w:id="193" w:name="_Toc351129635"/>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6</w:t>
      </w:r>
      <w:r w:rsidR="008E6665">
        <w:rPr>
          <w:noProof/>
        </w:rPr>
        <w:fldChar w:fldCharType="end"/>
      </w:r>
      <w:bookmarkEnd w:id="191"/>
      <w:r>
        <w:rPr>
          <w:noProof/>
        </w:rPr>
        <w:t>:</w:t>
      </w:r>
      <w:r>
        <w:tab/>
        <w:t>Complex Treatment– Average $/service for Treatment</w:t>
      </w:r>
      <w:bookmarkEnd w:id="192"/>
      <w:bookmarkEnd w:id="193"/>
    </w:p>
    <w:p w14:paraId="3F488F80" w14:textId="43F70ED8" w:rsidR="00517B9F" w:rsidRPr="00767E40" w:rsidRDefault="00A96446" w:rsidP="00FE683C">
      <w:pPr>
        <w:pStyle w:val="AspexBodyStandard"/>
        <w:jc w:val="left"/>
      </w:pPr>
      <w:r w:rsidRPr="00A96446">
        <w:rPr>
          <w:noProof/>
          <w:lang w:eastAsia="en-AU"/>
        </w:rPr>
        <w:drawing>
          <wp:inline distT="0" distB="0" distL="0" distR="0" wp14:anchorId="2FD0151F" wp14:editId="4F6B1E1F">
            <wp:extent cx="5150913" cy="2610886"/>
            <wp:effectExtent l="0" t="0" r="0" b="0"/>
            <wp:docPr id="68" name="Picture 25" title="Figure 7 6: Complex Treatment– Average $/service fo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58031" cy="2614494"/>
                    </a:xfrm>
                    <a:prstGeom prst="rect">
                      <a:avLst/>
                    </a:prstGeom>
                    <a:noFill/>
                    <a:ln>
                      <a:noFill/>
                    </a:ln>
                  </pic:spPr>
                </pic:pic>
              </a:graphicData>
            </a:graphic>
          </wp:inline>
        </w:drawing>
      </w:r>
    </w:p>
    <w:p w14:paraId="5DB5EEC0" w14:textId="77777777" w:rsidR="00517B9F" w:rsidRPr="000B3EBA" w:rsidRDefault="00517B9F" w:rsidP="00517B9F">
      <w:pPr>
        <w:spacing w:line="240" w:lineRule="auto"/>
        <w:jc w:val="both"/>
      </w:pPr>
      <w:r w:rsidRPr="000B3EBA">
        <w:lastRenderedPageBreak/>
        <w:t xml:space="preserve">The impact of additional volume and higher </w:t>
      </w:r>
      <w:r>
        <w:t xml:space="preserve">weighted </w:t>
      </w:r>
      <w:r w:rsidRPr="000B3EBA">
        <w:t>average rates under this scenario increase total benefits by ~$</w:t>
      </w:r>
      <w:r>
        <w:t>0.745</w:t>
      </w:r>
      <w:r w:rsidRPr="000B3EBA">
        <w:t xml:space="preserve">m per annum compared with the </w:t>
      </w:r>
      <w:r>
        <w:t>time-tiered</w:t>
      </w:r>
      <w:r w:rsidRPr="000B3EBA">
        <w:t xml:space="preserve"> scenario and by $</w:t>
      </w:r>
      <w:r>
        <w:t>1.624</w:t>
      </w:r>
      <w:r w:rsidRPr="000B3EBA">
        <w:t>m compared to the current scenario.</w:t>
      </w:r>
    </w:p>
    <w:p w14:paraId="27952002" w14:textId="77777777" w:rsidR="00517B9F" w:rsidRDefault="00517B9F" w:rsidP="00517B9F">
      <w:pPr>
        <w:pStyle w:val="Heading3"/>
        <w:tabs>
          <w:tab w:val="num" w:pos="964"/>
        </w:tabs>
        <w:ind w:left="964" w:hanging="964"/>
      </w:pPr>
      <w:bookmarkStart w:id="194" w:name="_Toc224279634"/>
      <w:r>
        <w:t>Case Conferencing</w:t>
      </w:r>
      <w:bookmarkEnd w:id="194"/>
    </w:p>
    <w:p w14:paraId="1EF9A18E" w14:textId="5730A7C4" w:rsidR="00517B9F" w:rsidRDefault="00517B9F" w:rsidP="00517B9F">
      <w:pPr>
        <w:pStyle w:val="AspexBodyStandard"/>
      </w:pPr>
      <w:r>
        <w:t>In this scenario, items for case conferencing are added (</w:t>
      </w:r>
      <w:r>
        <w:fldChar w:fldCharType="begin"/>
      </w:r>
      <w:r>
        <w:instrText xml:space="preserve"> REF _Ref224044188 \h </w:instrText>
      </w:r>
      <w:r>
        <w:fldChar w:fldCharType="separate"/>
      </w:r>
      <w:r w:rsidR="008E6665">
        <w:t xml:space="preserve">Figure </w:t>
      </w:r>
      <w:r w:rsidR="008E6665">
        <w:rPr>
          <w:noProof/>
        </w:rPr>
        <w:t>7</w:t>
      </w:r>
      <w:r w:rsidR="008E6665">
        <w:noBreakHyphen/>
      </w:r>
      <w:r w:rsidR="008E6665">
        <w:rPr>
          <w:noProof/>
        </w:rPr>
        <w:t>7</w:t>
      </w:r>
      <w:r>
        <w:fldChar w:fldCharType="end"/>
      </w:r>
      <w:r>
        <w:t xml:space="preserve">, </w:t>
      </w:r>
      <w:r>
        <w:fldChar w:fldCharType="begin"/>
      </w:r>
      <w:r>
        <w:instrText xml:space="preserve"> REF _Ref224044200 \h </w:instrText>
      </w:r>
      <w:r>
        <w:fldChar w:fldCharType="separate"/>
      </w:r>
      <w:r w:rsidR="008E6665">
        <w:t xml:space="preserve">Figure </w:t>
      </w:r>
      <w:r w:rsidR="008E6665">
        <w:rPr>
          <w:noProof/>
        </w:rPr>
        <w:t>7</w:t>
      </w:r>
      <w:r w:rsidR="008E6665">
        <w:noBreakHyphen/>
      </w:r>
      <w:r w:rsidR="008E6665">
        <w:rPr>
          <w:noProof/>
        </w:rPr>
        <w:t>8</w:t>
      </w:r>
      <w:r>
        <w:fldChar w:fldCharType="end"/>
      </w:r>
      <w:r>
        <w:t>).  It is estimated that the volumes increase by a further 6,558 services in 2013 due to additional services for case conference co-ordination and participation. The total volume increase over the current scenario is now 11,898 services or 14.9%.</w:t>
      </w:r>
    </w:p>
    <w:p w14:paraId="62EA92E6" w14:textId="2788BACC" w:rsidR="001204BC" w:rsidRDefault="001204BC">
      <w:pPr>
        <w:spacing w:before="0" w:after="0" w:line="240" w:lineRule="auto"/>
      </w:pPr>
    </w:p>
    <w:p w14:paraId="69B77A3B" w14:textId="637CACCD" w:rsidR="00517B9F" w:rsidRDefault="00517B9F" w:rsidP="00517B9F">
      <w:pPr>
        <w:pStyle w:val="Caption"/>
      </w:pPr>
      <w:bookmarkStart w:id="195" w:name="_Ref224044188"/>
      <w:bookmarkStart w:id="196" w:name="_Toc224044429"/>
      <w:bookmarkStart w:id="197" w:name="_Toc351129636"/>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7</w:t>
      </w:r>
      <w:r w:rsidR="008E6665">
        <w:rPr>
          <w:noProof/>
        </w:rPr>
        <w:fldChar w:fldCharType="end"/>
      </w:r>
      <w:bookmarkEnd w:id="195"/>
      <w:r>
        <w:rPr>
          <w:noProof/>
        </w:rPr>
        <w:t>:</w:t>
      </w:r>
      <w:r>
        <w:tab/>
        <w:t>Case Conferencing</w:t>
      </w:r>
      <w:r w:rsidRPr="009F6D70">
        <w:t xml:space="preserve"> </w:t>
      </w:r>
      <w:r>
        <w:t>– Average $/service for Assessment</w:t>
      </w:r>
      <w:bookmarkEnd w:id="196"/>
      <w:bookmarkEnd w:id="197"/>
    </w:p>
    <w:p w14:paraId="3ED92BBC" w14:textId="2BF5C280" w:rsidR="00517B9F" w:rsidRDefault="00A96446" w:rsidP="00517B9F">
      <w:pPr>
        <w:spacing w:line="240" w:lineRule="auto"/>
        <w:jc w:val="both"/>
      </w:pPr>
      <w:r w:rsidRPr="00A96446">
        <w:rPr>
          <w:noProof/>
          <w:lang w:eastAsia="en-AU"/>
        </w:rPr>
        <w:drawing>
          <wp:inline distT="0" distB="0" distL="0" distR="0" wp14:anchorId="3A3A400D" wp14:editId="5BA046F4">
            <wp:extent cx="5723890" cy="2901316"/>
            <wp:effectExtent l="0" t="0" r="0" b="0"/>
            <wp:docPr id="69" name="Picture 26" title="Figure 7 7: Case Conferencing – Average $/servic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6AA134C9" w14:textId="502E3B54" w:rsidR="00517B9F" w:rsidRDefault="00517B9F" w:rsidP="00517B9F">
      <w:pPr>
        <w:pStyle w:val="Caption"/>
      </w:pPr>
      <w:bookmarkStart w:id="198" w:name="_Ref224044200"/>
      <w:bookmarkStart w:id="199" w:name="_Toc224044430"/>
      <w:bookmarkStart w:id="200" w:name="_Toc351129637"/>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8</w:t>
      </w:r>
      <w:r w:rsidR="008E6665">
        <w:rPr>
          <w:noProof/>
        </w:rPr>
        <w:fldChar w:fldCharType="end"/>
      </w:r>
      <w:bookmarkEnd w:id="198"/>
      <w:r>
        <w:rPr>
          <w:noProof/>
        </w:rPr>
        <w:t>:</w:t>
      </w:r>
      <w:r>
        <w:tab/>
        <w:t>Case Conferencing</w:t>
      </w:r>
      <w:r w:rsidRPr="009F6D70">
        <w:t xml:space="preserve"> </w:t>
      </w:r>
      <w:r>
        <w:t>– Average $/service for Treatment</w:t>
      </w:r>
      <w:bookmarkEnd w:id="199"/>
      <w:bookmarkEnd w:id="200"/>
    </w:p>
    <w:p w14:paraId="4572ED45" w14:textId="3EDB5801" w:rsidR="00517B9F" w:rsidRDefault="00A96446" w:rsidP="00517B9F">
      <w:pPr>
        <w:spacing w:line="240" w:lineRule="auto"/>
        <w:jc w:val="both"/>
      </w:pPr>
      <w:r w:rsidRPr="00A96446">
        <w:rPr>
          <w:noProof/>
          <w:lang w:eastAsia="en-AU"/>
        </w:rPr>
        <w:drawing>
          <wp:inline distT="0" distB="0" distL="0" distR="0" wp14:anchorId="03D858C6" wp14:editId="507356EF">
            <wp:extent cx="5723890" cy="2901316"/>
            <wp:effectExtent l="0" t="0" r="0" b="0"/>
            <wp:docPr id="70" name="Picture 27" title="Figure 7 8: Case Conferencing – Average $/service fo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65053945" w14:textId="77777777" w:rsidR="00517B9F" w:rsidRDefault="00517B9F" w:rsidP="00517B9F">
      <w:pPr>
        <w:spacing w:line="240" w:lineRule="auto"/>
        <w:jc w:val="both"/>
      </w:pPr>
      <w:r w:rsidRPr="00571D00">
        <w:lastRenderedPageBreak/>
        <w:t xml:space="preserve">There is no change in the </w:t>
      </w:r>
      <w:r>
        <w:t xml:space="preserve">weighted </w:t>
      </w:r>
      <w:r w:rsidRPr="00571D00">
        <w:t xml:space="preserve">average </w:t>
      </w:r>
      <w:r>
        <w:t>benefits</w:t>
      </w:r>
      <w:r w:rsidRPr="00571D00">
        <w:t xml:space="preserve"> for assessments and only a </w:t>
      </w:r>
      <w:r>
        <w:t xml:space="preserve">very </w:t>
      </w:r>
      <w:r w:rsidRPr="00571D00">
        <w:t xml:space="preserve">minor decrease in the </w:t>
      </w:r>
      <w:r>
        <w:t xml:space="preserve">weighted </w:t>
      </w:r>
      <w:r w:rsidRPr="00571D00">
        <w:t xml:space="preserve">average </w:t>
      </w:r>
      <w:r>
        <w:t>benefit</w:t>
      </w:r>
      <w:r w:rsidRPr="00571D00">
        <w:t xml:space="preserve">s for treatments compared to the previous scenario. Total benefits under this scenario </w:t>
      </w:r>
      <w:r>
        <w:t xml:space="preserve">in 2013 </w:t>
      </w:r>
      <w:r w:rsidRPr="00571D00">
        <w:t>are $</w:t>
      </w:r>
      <w:r>
        <w:t>2.028m</w:t>
      </w:r>
      <w:r w:rsidRPr="00571D00">
        <w:t xml:space="preserve"> higher than the current scenario.</w:t>
      </w:r>
    </w:p>
    <w:p w14:paraId="1472F7AB" w14:textId="2D4F763B" w:rsidR="00517B9F" w:rsidRPr="005332F4" w:rsidRDefault="00517B9F" w:rsidP="00517B9F">
      <w:pPr>
        <w:pStyle w:val="Heading3"/>
        <w:tabs>
          <w:tab w:val="num" w:pos="964"/>
        </w:tabs>
        <w:ind w:left="964" w:hanging="964"/>
      </w:pPr>
      <w:bookmarkStart w:id="201" w:name="_Toc224279635"/>
      <w:r>
        <w:t>Workforce Changes</w:t>
      </w:r>
      <w:bookmarkEnd w:id="201"/>
    </w:p>
    <w:p w14:paraId="1994084E" w14:textId="77777777" w:rsidR="00517B9F" w:rsidRDefault="00517B9F" w:rsidP="00517B9F">
      <w:pPr>
        <w:pStyle w:val="AspexBodyStandard"/>
      </w:pPr>
      <w:r>
        <w:t>The financial model has also been used to test the implications of two other factors on MBS activity and financial outcomes:</w:t>
      </w:r>
    </w:p>
    <w:p w14:paraId="5F0F601E" w14:textId="77777777" w:rsidR="00517B9F" w:rsidRDefault="00517B9F" w:rsidP="00517B9F">
      <w:pPr>
        <w:pStyle w:val="AspexBullet1"/>
      </w:pPr>
      <w:r>
        <w:t>The impact of workforce changes (ie new trainees commencing less retirees); and</w:t>
      </w:r>
    </w:p>
    <w:p w14:paraId="6BE7392F" w14:textId="77777777" w:rsidR="00517B9F" w:rsidRDefault="00517B9F" w:rsidP="00517B9F">
      <w:pPr>
        <w:pStyle w:val="AspexBullet1"/>
      </w:pPr>
      <w:r>
        <w:t xml:space="preserve">The impact of increased private MBS billing due to the new item structure. </w:t>
      </w:r>
    </w:p>
    <w:p w14:paraId="2089BB8F" w14:textId="4318E67B" w:rsidR="00517B9F" w:rsidRDefault="00517B9F" w:rsidP="00517B9F">
      <w:pPr>
        <w:pStyle w:val="AspexBodyStandard"/>
      </w:pPr>
      <w:r>
        <w:fldChar w:fldCharType="begin"/>
      </w:r>
      <w:r>
        <w:instrText xml:space="preserve"> REF _Ref349653174 \h  \* MERGEFORMAT </w:instrText>
      </w:r>
      <w:r>
        <w:fldChar w:fldCharType="separate"/>
      </w:r>
      <w:r w:rsidR="008E6665" w:rsidRPr="00C8389B">
        <w:t>Table</w:t>
      </w:r>
      <w:r w:rsidR="008E6665">
        <w:t xml:space="preserve"> 7</w:t>
      </w:r>
      <w:r w:rsidR="008E6665">
        <w:noBreakHyphen/>
        <w:t>1</w:t>
      </w:r>
      <w:r>
        <w:fldChar w:fldCharType="end"/>
      </w:r>
      <w:r>
        <w:t xml:space="preserve"> summarises the assumptions that have been applied to estimate the impact of these changes.</w:t>
      </w:r>
    </w:p>
    <w:p w14:paraId="11374E14" w14:textId="29757EE6" w:rsidR="00517B9F" w:rsidRDefault="00517B9F" w:rsidP="00517B9F">
      <w:pPr>
        <w:pStyle w:val="Caption"/>
      </w:pPr>
      <w:bookmarkStart w:id="202" w:name="_Ref349653174"/>
      <w:bookmarkStart w:id="203" w:name="_Toc224044449"/>
      <w:bookmarkStart w:id="204" w:name="_Toc351129888"/>
      <w:r w:rsidRPr="00C8389B">
        <w:t>Table</w:t>
      </w:r>
      <w:r>
        <w:t xml:space="preserv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noBreakHyphen/>
      </w:r>
      <w:r w:rsidR="008E6665">
        <w:fldChar w:fldCharType="begin"/>
      </w:r>
      <w:r w:rsidR="008E6665">
        <w:instrText xml:space="preserve"> SEQ Table \* </w:instrText>
      </w:r>
      <w:r w:rsidR="008E6665">
        <w:instrText xml:space="preserve">ARABIC \s 1 </w:instrText>
      </w:r>
      <w:r w:rsidR="008E6665">
        <w:fldChar w:fldCharType="separate"/>
      </w:r>
      <w:r w:rsidR="008E6665">
        <w:rPr>
          <w:noProof/>
        </w:rPr>
        <w:t>1</w:t>
      </w:r>
      <w:r w:rsidR="008E6665">
        <w:rPr>
          <w:noProof/>
        </w:rPr>
        <w:fldChar w:fldCharType="end"/>
      </w:r>
      <w:bookmarkEnd w:id="202"/>
      <w:r>
        <w:rPr>
          <w:noProof/>
        </w:rPr>
        <w:t>:</w:t>
      </w:r>
      <w:r>
        <w:tab/>
      </w:r>
      <w:r w:rsidRPr="009F6D70">
        <w:t xml:space="preserve">Estimated </w:t>
      </w:r>
      <w:r>
        <w:t>workforce and billing changes</w:t>
      </w:r>
      <w:bookmarkEnd w:id="203"/>
      <w:bookmarkEnd w:id="204"/>
    </w:p>
    <w:bookmarkStart w:id="205" w:name="_MON_1425382610"/>
    <w:bookmarkEnd w:id="205"/>
    <w:p w14:paraId="3373A546" w14:textId="2ECE6C67" w:rsidR="00517B9F" w:rsidRDefault="00335E90" w:rsidP="000D224A">
      <w:pPr>
        <w:pStyle w:val="AspexBodyStandard"/>
      </w:pPr>
      <w:r>
        <w:object w:dxaOrig="9235" w:dyaOrig="3712" w14:anchorId="5AB57462">
          <v:shape id="_x0000_i1037" type="#_x0000_t75" alt="Table 7 1: Estimated workforce and billing changes" style="width:461.25pt;height:184.5pt" o:ole="">
            <v:imagedata r:id="rId103" o:title=""/>
          </v:shape>
          <o:OLEObject Type="Embed" ProgID="Word.Document.12" ShapeID="_x0000_i1037" DrawAspect="Content" ObjectID="_1457429612" r:id="rId104">
            <o:FieldCodes>\s</o:FieldCodes>
          </o:OLEObject>
        </w:object>
      </w:r>
      <w:r w:rsidR="00517B9F">
        <w:t xml:space="preserve">The workforce is estimated to </w:t>
      </w:r>
      <w:r w:rsidR="00517B9F" w:rsidRPr="00D025D6">
        <w:rPr>
          <w:b/>
          <w:i/>
        </w:rPr>
        <w:t>decline</w:t>
      </w:r>
      <w:r w:rsidR="00517B9F">
        <w:t xml:space="preserve"> from its current number of 107 specialists in 2013 to around 95 by 2015; a reduction of 11.2%. The estimates for retirees have been based</w:t>
      </w:r>
      <w:r w:rsidR="0038257A">
        <w:t xml:space="preserve"> on the current age profile of sexual health m</w:t>
      </w:r>
      <w:r w:rsidR="00517B9F">
        <w:t xml:space="preserve">edicine specialists and an assumption that retirement will occur at age 65. The estimates for new members have been derived from trainee data </w:t>
      </w:r>
      <w:r w:rsidR="00517B9F" w:rsidRPr="00D5666A">
        <w:t xml:space="preserve">provided by the Chapter for </w:t>
      </w:r>
      <w:r w:rsidR="00517B9F">
        <w:t>Sexual Health Medicine</w:t>
      </w:r>
      <w:r w:rsidR="00517B9F" w:rsidRPr="00D5666A">
        <w:t xml:space="preserve"> (as previously outlined in Chapter 4).</w:t>
      </w:r>
    </w:p>
    <w:p w14:paraId="769830F7" w14:textId="77777777" w:rsidR="00517B9F" w:rsidRDefault="00517B9F" w:rsidP="00517B9F">
      <w:pPr>
        <w:pStyle w:val="AspexBodyStandard"/>
      </w:pPr>
      <w:r>
        <w:t>In relation to the second issue, the estimated increase in MBS billing activity due to the proposed increase in benefits and the use of new item numbers is 6.3% in 2014 (5,198) and by 11.3% in 2015 (9,667) based on the following assumptions:</w:t>
      </w:r>
    </w:p>
    <w:p w14:paraId="479B58F5" w14:textId="77777777" w:rsidR="00517B9F" w:rsidRDefault="00517B9F" w:rsidP="00517B9F">
      <w:pPr>
        <w:pStyle w:val="AspexBullet1"/>
      </w:pPr>
      <w:r>
        <w:t>That there are currently 2 full-time specialists in private practice (based on MBS sample data received);</w:t>
      </w:r>
    </w:p>
    <w:p w14:paraId="2DB09821" w14:textId="2BCBB40A" w:rsidR="00517B9F" w:rsidRDefault="00517B9F" w:rsidP="00517B9F">
      <w:pPr>
        <w:pStyle w:val="AspexBullet1"/>
      </w:pPr>
      <w:r>
        <w:t>That 33% of the remaining part-time specialists will increase their MBS b</w:t>
      </w:r>
      <w:r w:rsidR="0038257A">
        <w:t>illing by one</w:t>
      </w:r>
      <w:r>
        <w:t xml:space="preserve"> s</w:t>
      </w:r>
      <w:r w:rsidR="0038257A">
        <w:t>ession per week in 201</w:t>
      </w:r>
      <w:r w:rsidR="00D1030B">
        <w:t>4</w:t>
      </w:r>
      <w:r w:rsidR="0038257A">
        <w:t xml:space="preserve"> and by two</w:t>
      </w:r>
      <w:r>
        <w:t xml:space="preserve"> sessions</w:t>
      </w:r>
      <w:r w:rsidR="00266DC0">
        <w:t xml:space="preserve"> (i.e</w:t>
      </w:r>
      <w:r w:rsidR="009E3373">
        <w:t>.</w:t>
      </w:r>
      <w:r w:rsidR="00266DC0">
        <w:t xml:space="preserve"> one further session)</w:t>
      </w:r>
      <w:r>
        <w:t xml:space="preserve"> per week in 2015; and </w:t>
      </w:r>
    </w:p>
    <w:p w14:paraId="6AC8FDC1" w14:textId="77777777" w:rsidR="00517B9F" w:rsidRDefault="00517B9F" w:rsidP="00517B9F">
      <w:pPr>
        <w:pStyle w:val="AspexBullet1"/>
      </w:pPr>
      <w:r>
        <w:t>An average of 3.5 patients per session over 45 working weeks per annum.</w:t>
      </w:r>
    </w:p>
    <w:p w14:paraId="3BBBD82A" w14:textId="40C6B06F" w:rsidR="00517B9F" w:rsidRDefault="00517B9F" w:rsidP="00517B9F">
      <w:pPr>
        <w:pStyle w:val="AspexBodyStandard"/>
      </w:pPr>
      <w:r>
        <w:t>Under this scenario there is no change to the weighted average benefits per service</w:t>
      </w:r>
      <w:r w:rsidR="0038257A">
        <w:t>.  H</w:t>
      </w:r>
      <w:r>
        <w:t>owever</w:t>
      </w:r>
      <w:r w:rsidR="009E3373">
        <w:t>,</w:t>
      </w:r>
      <w:r>
        <w:t xml:space="preserve"> there is a change in the volume of services delivered.</w:t>
      </w:r>
    </w:p>
    <w:p w14:paraId="56107624" w14:textId="77777777" w:rsidR="008E6665" w:rsidRDefault="00517B9F" w:rsidP="00517B9F">
      <w:pPr>
        <w:pStyle w:val="Caption"/>
      </w:pPr>
      <w:r>
        <w:lastRenderedPageBreak/>
        <w:fldChar w:fldCharType="begin"/>
      </w:r>
      <w:r>
        <w:instrText xml:space="preserve"> REF _Ref349748463 \h </w:instrText>
      </w:r>
      <w:r>
        <w:fldChar w:fldCharType="separate"/>
      </w:r>
    </w:p>
    <w:p w14:paraId="30609142" w14:textId="31C46C53" w:rsidR="00517B9F" w:rsidRDefault="008E6665" w:rsidP="00517B9F">
      <w:pPr>
        <w:spacing w:line="240" w:lineRule="auto"/>
        <w:jc w:val="both"/>
      </w:pPr>
      <w:r>
        <w:t xml:space="preserve">Figure </w:t>
      </w:r>
      <w:r>
        <w:rPr>
          <w:noProof/>
        </w:rPr>
        <w:t>7</w:t>
      </w:r>
      <w:r>
        <w:noBreakHyphen/>
      </w:r>
      <w:r>
        <w:rPr>
          <w:noProof/>
        </w:rPr>
        <w:t>9</w:t>
      </w:r>
      <w:r w:rsidR="00517B9F">
        <w:fldChar w:fldCharType="end"/>
      </w:r>
      <w:r w:rsidR="00517B9F">
        <w:t xml:space="preserve"> </w:t>
      </w:r>
      <w:r w:rsidR="00517B9F" w:rsidRPr="00EA3772">
        <w:t xml:space="preserve">shows the number of </w:t>
      </w:r>
      <w:r w:rsidR="00517B9F">
        <w:t xml:space="preserve">current </w:t>
      </w:r>
      <w:r w:rsidR="00517B9F" w:rsidRPr="00EA3772">
        <w:t>services per provider from the MBS data sample provided by Medicare</w:t>
      </w:r>
      <w:r w:rsidR="00517B9F">
        <w:t xml:space="preserve"> Australia</w:t>
      </w:r>
      <w:r w:rsidR="00517B9F" w:rsidRPr="00EA3772">
        <w:t>. There are very few specialists working full-time</w:t>
      </w:r>
      <w:r w:rsidR="0038257A">
        <w:t>,</w:t>
      </w:r>
      <w:r w:rsidR="00517B9F" w:rsidRPr="00EA3772">
        <w:t xml:space="preserve"> with only </w:t>
      </w:r>
      <w:r w:rsidR="003F0101">
        <w:t xml:space="preserve">two </w:t>
      </w:r>
      <w:r w:rsidR="00517B9F" w:rsidRPr="00EA3772">
        <w:t>providers</w:t>
      </w:r>
      <w:r w:rsidR="00517B9F">
        <w:t xml:space="preserve"> from the sample of 4</w:t>
      </w:r>
      <w:r w:rsidR="00D569C9">
        <w:t>9</w:t>
      </w:r>
      <w:r w:rsidR="00517B9F">
        <w:t xml:space="preserve"> providers</w:t>
      </w:r>
      <w:r w:rsidR="00517B9F" w:rsidRPr="00EA3772">
        <w:t xml:space="preserve"> with more than 5,000 services per annum.</w:t>
      </w:r>
    </w:p>
    <w:p w14:paraId="519E1742" w14:textId="77777777" w:rsidR="00335E90" w:rsidRDefault="00335E90" w:rsidP="00517B9F">
      <w:pPr>
        <w:pStyle w:val="Caption"/>
      </w:pPr>
      <w:bookmarkStart w:id="206" w:name="_Ref349748463"/>
      <w:bookmarkStart w:id="207" w:name="_Toc224044431"/>
      <w:bookmarkStart w:id="208" w:name="_Toc351129638"/>
      <w:bookmarkStart w:id="209" w:name="_Ref349726067"/>
    </w:p>
    <w:p w14:paraId="03B16E31" w14:textId="29E727EB" w:rsidR="00517B9F" w:rsidRDefault="00517B9F" w:rsidP="00517B9F">
      <w:pPr>
        <w:pStyle w:val="Caption"/>
      </w:pPr>
      <w:r>
        <w:t xml:space="preserve">Figure </w:t>
      </w:r>
      <w:r w:rsidR="008E6665">
        <w:fldChar w:fldCharType="begin"/>
      </w:r>
      <w:r w:rsidR="008E6665">
        <w:instrText xml:space="preserve"> ST</w:instrText>
      </w:r>
      <w:r w:rsidR="008E6665">
        <w:instrText xml:space="preserve">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9</w:t>
      </w:r>
      <w:r w:rsidR="008E6665">
        <w:rPr>
          <w:noProof/>
        </w:rPr>
        <w:fldChar w:fldCharType="end"/>
      </w:r>
      <w:bookmarkEnd w:id="206"/>
      <w:r>
        <w:rPr>
          <w:noProof/>
        </w:rPr>
        <w:t>:</w:t>
      </w:r>
      <w:r>
        <w:tab/>
        <w:t>Number of services by provider in 2012</w:t>
      </w:r>
      <w:bookmarkEnd w:id="207"/>
      <w:bookmarkEnd w:id="208"/>
    </w:p>
    <w:p w14:paraId="48DCFFC7" w14:textId="2288B138" w:rsidR="00517B9F" w:rsidRDefault="00A96446" w:rsidP="00517B9F">
      <w:pPr>
        <w:pStyle w:val="AspexBodyStandard"/>
      </w:pPr>
      <w:r w:rsidRPr="00A96446">
        <w:rPr>
          <w:noProof/>
          <w:lang w:eastAsia="en-AU"/>
        </w:rPr>
        <w:drawing>
          <wp:inline distT="0" distB="0" distL="0" distR="0" wp14:anchorId="53EF461E" wp14:editId="6BAC71FE">
            <wp:extent cx="5723890" cy="2919854"/>
            <wp:effectExtent l="0" t="0" r="0" b="0"/>
            <wp:docPr id="73" name="Picture 28" title="Figure 7 9: Number of services by provider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3890" cy="2919854"/>
                    </a:xfrm>
                    <a:prstGeom prst="rect">
                      <a:avLst/>
                    </a:prstGeom>
                    <a:noFill/>
                    <a:ln>
                      <a:noFill/>
                    </a:ln>
                  </pic:spPr>
                </pic:pic>
              </a:graphicData>
            </a:graphic>
          </wp:inline>
        </w:drawing>
      </w:r>
    </w:p>
    <w:p w14:paraId="614D550D" w14:textId="0BA3A725" w:rsidR="00517B9F" w:rsidRDefault="00517B9F" w:rsidP="00517B9F">
      <w:pPr>
        <w:spacing w:line="240" w:lineRule="auto"/>
        <w:jc w:val="both"/>
      </w:pPr>
      <w:r>
        <w:fldChar w:fldCharType="begin"/>
      </w:r>
      <w:r>
        <w:instrText xml:space="preserve"> REF _Ref349748626 \h </w:instrText>
      </w:r>
      <w:r>
        <w:fldChar w:fldCharType="separate"/>
      </w:r>
      <w:r w:rsidR="008E6665">
        <w:t xml:space="preserve">Figure </w:t>
      </w:r>
      <w:r w:rsidR="008E6665">
        <w:rPr>
          <w:noProof/>
        </w:rPr>
        <w:t>7</w:t>
      </w:r>
      <w:r w:rsidR="008E6665">
        <w:noBreakHyphen/>
      </w:r>
      <w:r w:rsidR="008E6665">
        <w:rPr>
          <w:noProof/>
        </w:rPr>
        <w:t>10</w:t>
      </w:r>
      <w:r>
        <w:fldChar w:fldCharType="end"/>
      </w:r>
      <w:r>
        <w:t xml:space="preserve"> </w:t>
      </w:r>
      <w:r w:rsidRPr="003806C2">
        <w:t>shows the net impact on volume of services from the previous scenario after taking into account the declining workforce and the expected increase in sessions from the part-time workforce and the shift from the public to private sector.</w:t>
      </w:r>
    </w:p>
    <w:p w14:paraId="6EC4B2CE" w14:textId="3584DF36" w:rsidR="00517B9F" w:rsidRDefault="00517B9F" w:rsidP="00517B9F">
      <w:pPr>
        <w:pStyle w:val="Caption"/>
      </w:pPr>
      <w:bookmarkStart w:id="210" w:name="_Ref349748626"/>
      <w:bookmarkStart w:id="211" w:name="_Toc224044432"/>
      <w:bookmarkStart w:id="212" w:name="_Toc351129639"/>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10</w:t>
      </w:r>
      <w:r w:rsidR="008E6665">
        <w:rPr>
          <w:noProof/>
        </w:rPr>
        <w:fldChar w:fldCharType="end"/>
      </w:r>
      <w:bookmarkEnd w:id="209"/>
      <w:bookmarkEnd w:id="210"/>
      <w:r>
        <w:rPr>
          <w:noProof/>
        </w:rPr>
        <w:t>:</w:t>
      </w:r>
      <w:r>
        <w:tab/>
        <w:t>Occasions of Service</w:t>
      </w:r>
      <w:r w:rsidRPr="009F6D70">
        <w:t xml:space="preserve"> </w:t>
      </w:r>
      <w:r>
        <w:t>– Workforce &amp; billing changes included</w:t>
      </w:r>
      <w:bookmarkEnd w:id="211"/>
      <w:bookmarkEnd w:id="212"/>
    </w:p>
    <w:p w14:paraId="0B0C75EF" w14:textId="13BAF97D" w:rsidR="00517B9F" w:rsidRDefault="00A96446" w:rsidP="00517B9F">
      <w:pPr>
        <w:pStyle w:val="AspexBullet1"/>
        <w:numPr>
          <w:ilvl w:val="0"/>
          <w:numId w:val="0"/>
        </w:numPr>
        <w:ind w:left="284" w:hanging="284"/>
      </w:pPr>
      <w:r w:rsidRPr="00A96446">
        <w:rPr>
          <w:noProof/>
          <w:lang w:eastAsia="en-AU"/>
        </w:rPr>
        <w:drawing>
          <wp:inline distT="0" distB="0" distL="0" distR="0" wp14:anchorId="5BA2E6CA" wp14:editId="45EE6EBD">
            <wp:extent cx="5723890" cy="2901316"/>
            <wp:effectExtent l="0" t="0" r="0" b="0"/>
            <wp:docPr id="74" name="Picture 29" title="Figure 7 10: Occasions of Service – Workforce &amp; billing change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78151748" w14:textId="77777777" w:rsidR="00517B9F" w:rsidRDefault="00517B9F" w:rsidP="00517B9F">
      <w:pPr>
        <w:pStyle w:val="AspexBodyStandard"/>
      </w:pPr>
      <w:r>
        <w:lastRenderedPageBreak/>
        <w:t>There is a net increase of 1,248 services in 2014 (1.3%) and a net decrease of 1,185 services by 2015 (-1.2%).</w:t>
      </w:r>
    </w:p>
    <w:p w14:paraId="7AB5D53D" w14:textId="77777777" w:rsidR="00517B9F" w:rsidRDefault="00517B9F" w:rsidP="00517B9F">
      <w:pPr>
        <w:pStyle w:val="Heading3"/>
        <w:tabs>
          <w:tab w:val="num" w:pos="964"/>
        </w:tabs>
        <w:ind w:left="964" w:hanging="964"/>
      </w:pPr>
      <w:bookmarkStart w:id="213" w:name="_Toc224279636"/>
      <w:r>
        <w:t>Financial Projections</w:t>
      </w:r>
      <w:bookmarkEnd w:id="213"/>
    </w:p>
    <w:p w14:paraId="2CC26E83" w14:textId="77777777" w:rsidR="00517B9F" w:rsidRDefault="00517B9F" w:rsidP="00517B9F">
      <w:pPr>
        <w:pStyle w:val="AspexBodyStandard"/>
      </w:pPr>
      <w:r>
        <w:t>All financial projections shown below have now been indexed at the following rates, which are based on the linear trend increases for a group of relevant MBS items:</w:t>
      </w:r>
    </w:p>
    <w:p w14:paraId="3A165A0D" w14:textId="77777777" w:rsidR="00517B9F" w:rsidRDefault="00517B9F" w:rsidP="00517B9F">
      <w:pPr>
        <w:pStyle w:val="AspexBullet1"/>
      </w:pPr>
      <w:r>
        <w:t>2013 by 1.98%</w:t>
      </w:r>
    </w:p>
    <w:p w14:paraId="068982FC" w14:textId="77777777" w:rsidR="00517B9F" w:rsidRDefault="00517B9F" w:rsidP="00517B9F">
      <w:pPr>
        <w:pStyle w:val="AspexBullet1"/>
      </w:pPr>
      <w:r>
        <w:t>2014 by a further 1.88%</w:t>
      </w:r>
    </w:p>
    <w:p w14:paraId="6472C45A" w14:textId="77777777" w:rsidR="00517B9F" w:rsidRDefault="00517B9F" w:rsidP="00517B9F">
      <w:pPr>
        <w:pStyle w:val="AspexBullet1"/>
      </w:pPr>
      <w:r>
        <w:t>2015 by a further 1.85%</w:t>
      </w:r>
    </w:p>
    <w:p w14:paraId="21E3A37D" w14:textId="216B7322" w:rsidR="00517B9F" w:rsidRDefault="00517B9F" w:rsidP="00517B9F">
      <w:pPr>
        <w:pStyle w:val="AspexBodyStandard"/>
      </w:pPr>
      <w:r>
        <w:fldChar w:fldCharType="begin"/>
      </w:r>
      <w:r>
        <w:instrText xml:space="preserve"> REF _Ref349726570 \h  \* MERGEFORMAT </w:instrText>
      </w:r>
      <w:r>
        <w:fldChar w:fldCharType="separate"/>
      </w:r>
      <w:r w:rsidR="008E6665">
        <w:t>Figure 7</w:t>
      </w:r>
      <w:r w:rsidR="008E6665">
        <w:noBreakHyphen/>
        <w:t>11</w:t>
      </w:r>
      <w:r>
        <w:fldChar w:fldCharType="end"/>
      </w:r>
      <w:r>
        <w:t xml:space="preserve"> shows the estimated total amounts for specialist </w:t>
      </w:r>
      <w:r w:rsidRPr="00CB19C1">
        <w:rPr>
          <w:b/>
          <w:i/>
        </w:rPr>
        <w:t>charges</w:t>
      </w:r>
      <w:r>
        <w:t xml:space="preserve"> under the various scenarios. Under the </w:t>
      </w:r>
      <w:r w:rsidRPr="00BF7D1C">
        <w:rPr>
          <w:b/>
          <w:i/>
        </w:rPr>
        <w:t>current</w:t>
      </w:r>
      <w:r>
        <w:t xml:space="preserve"> scenario, total charges are expected to increase from $6.39m in 2012 to </w:t>
      </w:r>
      <w:r w:rsidR="0038257A">
        <w:t>$</w:t>
      </w:r>
      <w:r>
        <w:t xml:space="preserve">7.52m in 2015 due to the estimated increase in </w:t>
      </w:r>
      <w:r w:rsidR="0038257A">
        <w:t>sexual health m</w:t>
      </w:r>
      <w:r>
        <w:t xml:space="preserve">edicine services over this period. </w:t>
      </w:r>
    </w:p>
    <w:p w14:paraId="3503B060" w14:textId="76F1F3AE" w:rsidR="00517B9F" w:rsidRDefault="00517B9F" w:rsidP="00517B9F">
      <w:pPr>
        <w:pStyle w:val="AspexBodyStandard"/>
      </w:pPr>
      <w:r>
        <w:t xml:space="preserve">The cumulative impact of </w:t>
      </w:r>
      <w:r w:rsidR="00F55B72">
        <w:t>physician rates</w:t>
      </w:r>
      <w:r>
        <w:t xml:space="preserve">, complex treatment and management plans, case conferencing and workforce/billing changes results in total charges of $10.26m in 2015. This is an increase of $2.74m over the current scenario </w:t>
      </w:r>
      <w:r w:rsidR="0038257A">
        <w:t>by 2015. The comparator group (i</w:t>
      </w:r>
      <w:r>
        <w:t>nfectious</w:t>
      </w:r>
      <w:r w:rsidR="0038257A">
        <w:t xml:space="preserve"> disease s</w:t>
      </w:r>
      <w:r>
        <w:t xml:space="preserve">pecialists) charges are also shown in </w:t>
      </w:r>
      <w:r>
        <w:fldChar w:fldCharType="begin"/>
      </w:r>
      <w:r>
        <w:instrText xml:space="preserve"> REF _Ref349726570 \h </w:instrText>
      </w:r>
      <w:r>
        <w:fldChar w:fldCharType="separate"/>
      </w:r>
      <w:r w:rsidR="008E6665">
        <w:t xml:space="preserve">Figure </w:t>
      </w:r>
      <w:r w:rsidR="008E6665">
        <w:rPr>
          <w:noProof/>
        </w:rPr>
        <w:t>7</w:t>
      </w:r>
      <w:r w:rsidR="008E6665">
        <w:noBreakHyphen/>
      </w:r>
      <w:r w:rsidR="008E6665">
        <w:rPr>
          <w:noProof/>
        </w:rPr>
        <w:t>11</w:t>
      </w:r>
      <w:r>
        <w:fldChar w:fldCharType="end"/>
      </w:r>
      <w:r>
        <w:t>.</w:t>
      </w:r>
    </w:p>
    <w:p w14:paraId="69923507" w14:textId="46A3C1F4" w:rsidR="00517B9F" w:rsidRDefault="00517B9F" w:rsidP="00517B9F">
      <w:pPr>
        <w:pStyle w:val="Caption"/>
      </w:pPr>
      <w:bookmarkStart w:id="214" w:name="_Ref349726570"/>
      <w:bookmarkStart w:id="215" w:name="_Toc224044433"/>
      <w:bookmarkStart w:id="216" w:name="_Toc351129640"/>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11</w:t>
      </w:r>
      <w:r w:rsidR="008E6665">
        <w:rPr>
          <w:noProof/>
        </w:rPr>
        <w:fldChar w:fldCharType="end"/>
      </w:r>
      <w:bookmarkEnd w:id="214"/>
      <w:r>
        <w:rPr>
          <w:noProof/>
        </w:rPr>
        <w:t>:</w:t>
      </w:r>
      <w:r>
        <w:tab/>
        <w:t>Summary of options</w:t>
      </w:r>
      <w:r w:rsidRPr="009F6D70">
        <w:t xml:space="preserve"> – </w:t>
      </w:r>
      <w:r>
        <w:t>Charges</w:t>
      </w:r>
      <w:bookmarkEnd w:id="215"/>
      <w:bookmarkEnd w:id="216"/>
    </w:p>
    <w:p w14:paraId="29094BCD" w14:textId="41F32BDA" w:rsidR="00517B9F" w:rsidRDefault="00A96446" w:rsidP="00517B9F">
      <w:pPr>
        <w:spacing w:line="240" w:lineRule="auto"/>
        <w:jc w:val="both"/>
      </w:pPr>
      <w:r w:rsidRPr="00A96446">
        <w:rPr>
          <w:noProof/>
          <w:lang w:eastAsia="en-AU"/>
        </w:rPr>
        <w:drawing>
          <wp:inline distT="0" distB="0" distL="0" distR="0" wp14:anchorId="750EF0DC" wp14:editId="1660A1AD">
            <wp:extent cx="5723890" cy="2901316"/>
            <wp:effectExtent l="0" t="0" r="0" b="0"/>
            <wp:docPr id="75" name="Picture 30" title="Figure 7 11: Summary of options –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64ADAD6B" w14:textId="77777777" w:rsidR="00517B9F" w:rsidRDefault="00517B9F" w:rsidP="00517B9F">
      <w:pPr>
        <w:spacing w:line="240" w:lineRule="auto"/>
        <w:jc w:val="both"/>
      </w:pPr>
      <w:r w:rsidRPr="00502243">
        <w:t xml:space="preserve">The </w:t>
      </w:r>
      <w:r>
        <w:t xml:space="preserve">weighted </w:t>
      </w:r>
      <w:r w:rsidRPr="00502243">
        <w:t>average charge in 2015 including workforce/billing changes is estimated at $</w:t>
      </w:r>
      <w:r>
        <w:t>105.52</w:t>
      </w:r>
      <w:r w:rsidRPr="00502243">
        <w:t xml:space="preserve"> compared with the current scenario at $</w:t>
      </w:r>
      <w:r>
        <w:t>87.72, an increase of 20%</w:t>
      </w:r>
      <w:r w:rsidRPr="00502243">
        <w:t>.</w:t>
      </w:r>
    </w:p>
    <w:p w14:paraId="75E2D9AE" w14:textId="461A15AF" w:rsidR="00517B9F" w:rsidRDefault="00517B9F" w:rsidP="00517B9F">
      <w:pPr>
        <w:pStyle w:val="AspexBodyStandard"/>
      </w:pPr>
      <w:r>
        <w:t xml:space="preserve">The weighted average </w:t>
      </w:r>
      <w:r w:rsidRPr="00264D51">
        <w:rPr>
          <w:b/>
          <w:i/>
        </w:rPr>
        <w:t>benefits paid</w:t>
      </w:r>
      <w:r>
        <w:t xml:space="preserve"> under the various scenarios are displayed in </w:t>
      </w:r>
      <w:r>
        <w:fldChar w:fldCharType="begin"/>
      </w:r>
      <w:r>
        <w:instrText xml:space="preserve"> REF _Ref349728537 \h </w:instrText>
      </w:r>
      <w:r>
        <w:fldChar w:fldCharType="separate"/>
      </w:r>
      <w:r w:rsidR="008E6665">
        <w:t xml:space="preserve">Figure </w:t>
      </w:r>
      <w:r w:rsidR="008E6665">
        <w:rPr>
          <w:noProof/>
        </w:rPr>
        <w:t>7</w:t>
      </w:r>
      <w:r w:rsidR="008E6665">
        <w:noBreakHyphen/>
      </w:r>
      <w:r w:rsidR="008E6665">
        <w:rPr>
          <w:noProof/>
        </w:rPr>
        <w:t>12</w:t>
      </w:r>
      <w:r>
        <w:fldChar w:fldCharType="end"/>
      </w:r>
      <w:r>
        <w:t>. Under the current scenario total benefits paid in 2012 are estimated at $5.14m, which increases to $6.06m by 2015. The cumulative total benefit amount with workforce/billing changes in 2015 is $8.24m, an increase of $2.19m over the current projection for 2015.</w:t>
      </w:r>
    </w:p>
    <w:p w14:paraId="1AC5D310" w14:textId="095FCB57" w:rsidR="001204BC" w:rsidRDefault="001204BC">
      <w:pPr>
        <w:spacing w:before="0" w:after="0" w:line="240" w:lineRule="auto"/>
      </w:pPr>
      <w:r>
        <w:br w:type="page"/>
      </w:r>
    </w:p>
    <w:p w14:paraId="323EC130" w14:textId="1EBF5A51" w:rsidR="00517B9F" w:rsidRDefault="00517B9F" w:rsidP="00517B9F">
      <w:pPr>
        <w:pStyle w:val="Caption"/>
      </w:pPr>
      <w:bookmarkStart w:id="217" w:name="_Ref349728537"/>
      <w:bookmarkStart w:id="218" w:name="_Toc224044434"/>
      <w:bookmarkStart w:id="219" w:name="_Toc351129641"/>
      <w:r>
        <w:lastRenderedPageBreak/>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12</w:t>
      </w:r>
      <w:r w:rsidR="008E6665">
        <w:rPr>
          <w:noProof/>
        </w:rPr>
        <w:fldChar w:fldCharType="end"/>
      </w:r>
      <w:bookmarkEnd w:id="217"/>
      <w:r>
        <w:rPr>
          <w:noProof/>
        </w:rPr>
        <w:t>:</w:t>
      </w:r>
      <w:r>
        <w:tab/>
        <w:t>Summary of options – Benefits paid</w:t>
      </w:r>
      <w:bookmarkEnd w:id="218"/>
      <w:bookmarkEnd w:id="219"/>
    </w:p>
    <w:p w14:paraId="2C862701" w14:textId="2A4B9529" w:rsidR="00517B9F" w:rsidRDefault="00A96446" w:rsidP="00517B9F">
      <w:pPr>
        <w:spacing w:line="240" w:lineRule="auto"/>
        <w:jc w:val="both"/>
      </w:pPr>
      <w:r w:rsidRPr="00A96446">
        <w:rPr>
          <w:noProof/>
          <w:lang w:eastAsia="en-AU"/>
        </w:rPr>
        <w:drawing>
          <wp:inline distT="0" distB="0" distL="0" distR="0" wp14:anchorId="418187DC" wp14:editId="47EC2DCC">
            <wp:extent cx="5723890" cy="3094518"/>
            <wp:effectExtent l="0" t="0" r="0" b="0"/>
            <wp:docPr id="85" name="Picture 31" title="Figure 7 12: Summary of options – Benefits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3890" cy="3094518"/>
                    </a:xfrm>
                    <a:prstGeom prst="rect">
                      <a:avLst/>
                    </a:prstGeom>
                    <a:noFill/>
                    <a:ln>
                      <a:noFill/>
                    </a:ln>
                  </pic:spPr>
                </pic:pic>
              </a:graphicData>
            </a:graphic>
          </wp:inline>
        </w:drawing>
      </w:r>
    </w:p>
    <w:p w14:paraId="31931FAA" w14:textId="77777777" w:rsidR="00517B9F" w:rsidRPr="00594AE0" w:rsidRDefault="00517B9F" w:rsidP="00517B9F">
      <w:pPr>
        <w:spacing w:line="240" w:lineRule="auto"/>
        <w:jc w:val="both"/>
      </w:pPr>
      <w:r w:rsidRPr="00594AE0">
        <w:t>The average benefit paid in 2015 with the cumulative effect including workforce/billing changes is $8</w:t>
      </w:r>
      <w:r>
        <w:t>4.75</w:t>
      </w:r>
      <w:r w:rsidRPr="00594AE0">
        <w:t xml:space="preserve"> compared with the current scenario at $</w:t>
      </w:r>
      <w:r>
        <w:t>70.64</w:t>
      </w:r>
      <w:r w:rsidRPr="00594AE0">
        <w:t xml:space="preserve">, an increase of </w:t>
      </w:r>
      <w:r>
        <w:t>20</w:t>
      </w:r>
      <w:r w:rsidRPr="00594AE0">
        <w:t>%.</w:t>
      </w:r>
    </w:p>
    <w:p w14:paraId="74328F7A" w14:textId="49477AE5" w:rsidR="00517B9F" w:rsidRPr="00357B53" w:rsidRDefault="00517B9F" w:rsidP="00517B9F">
      <w:pPr>
        <w:pStyle w:val="AspexBodyStandard"/>
      </w:pPr>
      <w:r>
        <w:t xml:space="preserve">Out-of-pocket amounts under the current scenario are estimated at $1.24m in 2012 and this rises to $1.46m by 2015. The cumulative impact of all scenarios would result in an out-of –pocket amount of $2.02m by 2015, an increase of $0.56m or 38%. Details are shown in </w:t>
      </w:r>
      <w:r>
        <w:fldChar w:fldCharType="begin"/>
      </w:r>
      <w:r>
        <w:instrText xml:space="preserve"> REF _Ref349729106 \h </w:instrText>
      </w:r>
      <w:r>
        <w:fldChar w:fldCharType="separate"/>
      </w:r>
      <w:r w:rsidR="008E6665">
        <w:t xml:space="preserve">Figure </w:t>
      </w:r>
      <w:r w:rsidR="008E6665">
        <w:rPr>
          <w:noProof/>
        </w:rPr>
        <w:t>7</w:t>
      </w:r>
      <w:r w:rsidR="008E6665">
        <w:noBreakHyphen/>
      </w:r>
      <w:r w:rsidR="008E6665">
        <w:rPr>
          <w:noProof/>
        </w:rPr>
        <w:t>13</w:t>
      </w:r>
      <w:r>
        <w:fldChar w:fldCharType="end"/>
      </w:r>
      <w:r>
        <w:t>.</w:t>
      </w:r>
    </w:p>
    <w:p w14:paraId="52B7298A" w14:textId="2CB7E149" w:rsidR="00517B9F" w:rsidRDefault="00517B9F" w:rsidP="00517B9F">
      <w:pPr>
        <w:pStyle w:val="Caption"/>
      </w:pPr>
      <w:bookmarkStart w:id="220" w:name="_Ref349729106"/>
      <w:bookmarkStart w:id="221" w:name="_Toc224044435"/>
      <w:bookmarkStart w:id="222" w:name="_Toc351129642"/>
      <w:r>
        <w:t xml:space="preserve">Figure </w:t>
      </w:r>
      <w:r w:rsidR="008E6665">
        <w:fldChar w:fldCharType="begin"/>
      </w:r>
      <w:r w:rsidR="008E6665">
        <w:instrText xml:space="preserve"> STYLEREF 1 \s </w:instrText>
      </w:r>
      <w:r w:rsidR="008E6665">
        <w:fldChar w:fldCharType="separate"/>
      </w:r>
      <w:r w:rsidR="008E6665">
        <w:rPr>
          <w:noProof/>
        </w:rPr>
        <w:t>7</w:t>
      </w:r>
      <w:r w:rsidR="008E6665">
        <w:rPr>
          <w:noProof/>
        </w:rPr>
        <w:fldChar w:fldCharType="end"/>
      </w:r>
      <w:r w:rsidR="00D30560">
        <w:noBreakHyphen/>
      </w:r>
      <w:r w:rsidR="008E6665">
        <w:fldChar w:fldCharType="begin"/>
      </w:r>
      <w:r w:rsidR="008E6665">
        <w:instrText xml:space="preserve"> SEQ Figure \* ARABIC \s 1 </w:instrText>
      </w:r>
      <w:r w:rsidR="008E6665">
        <w:fldChar w:fldCharType="separate"/>
      </w:r>
      <w:r w:rsidR="008E6665">
        <w:rPr>
          <w:noProof/>
        </w:rPr>
        <w:t>13</w:t>
      </w:r>
      <w:r w:rsidR="008E6665">
        <w:rPr>
          <w:noProof/>
        </w:rPr>
        <w:fldChar w:fldCharType="end"/>
      </w:r>
      <w:bookmarkEnd w:id="220"/>
      <w:r>
        <w:rPr>
          <w:noProof/>
        </w:rPr>
        <w:t>:</w:t>
      </w:r>
      <w:r>
        <w:tab/>
        <w:t>Summary of options – Out-of-pockets</w:t>
      </w:r>
      <w:bookmarkEnd w:id="221"/>
      <w:bookmarkEnd w:id="222"/>
    </w:p>
    <w:p w14:paraId="57C17477" w14:textId="348E3BBF" w:rsidR="00517B9F" w:rsidRDefault="00A96446" w:rsidP="00517B9F">
      <w:pPr>
        <w:pStyle w:val="AspexBodyStandard"/>
      </w:pPr>
      <w:r w:rsidRPr="00A96446">
        <w:rPr>
          <w:noProof/>
          <w:lang w:eastAsia="en-AU"/>
        </w:rPr>
        <w:drawing>
          <wp:inline distT="0" distB="0" distL="0" distR="0" wp14:anchorId="3B60F0D4" wp14:editId="534DDDC9">
            <wp:extent cx="5723890" cy="2901316"/>
            <wp:effectExtent l="0" t="0" r="0" b="0"/>
            <wp:docPr id="86" name="Picture 32" title="Figure 7 13: Summary of options – Out-of-po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3890" cy="2901316"/>
                    </a:xfrm>
                    <a:prstGeom prst="rect">
                      <a:avLst/>
                    </a:prstGeom>
                    <a:noFill/>
                    <a:ln>
                      <a:noFill/>
                    </a:ln>
                  </pic:spPr>
                </pic:pic>
              </a:graphicData>
            </a:graphic>
          </wp:inline>
        </w:drawing>
      </w:r>
    </w:p>
    <w:p w14:paraId="339DD133" w14:textId="77777777" w:rsidR="00517B9F" w:rsidRDefault="00517B9F" w:rsidP="00517B9F">
      <w:pPr>
        <w:pStyle w:val="AspexBodyStandard"/>
      </w:pPr>
      <w:r>
        <w:t>The average out-of-pocket fee under the cumulative workforce/billing scenario in 2015 is $20.76 compared with $17.08 under the current scenario for that year.</w:t>
      </w:r>
    </w:p>
    <w:p w14:paraId="486F4E72" w14:textId="77777777" w:rsidR="00566A30" w:rsidRPr="00D66D75" w:rsidRDefault="00566A30" w:rsidP="007333CE">
      <w:pPr>
        <w:pStyle w:val="Heading2"/>
      </w:pPr>
      <w:bookmarkStart w:id="223" w:name="_Toc351480545"/>
      <w:r>
        <w:lastRenderedPageBreak/>
        <w:t>Public Sector</w:t>
      </w:r>
      <w:bookmarkEnd w:id="223"/>
    </w:p>
    <w:p w14:paraId="712138BD" w14:textId="77777777" w:rsidR="008B34A8" w:rsidRDefault="008B34A8" w:rsidP="008B34A8">
      <w:pPr>
        <w:pStyle w:val="AspexBodyStandard"/>
      </w:pPr>
      <w:r>
        <w:t xml:space="preserve">Current costs of public sector services could not be reliably estimated.  More than half of the current </w:t>
      </w:r>
      <w:r w:rsidR="000E2752" w:rsidRPr="000E2752">
        <w:t xml:space="preserve">sexual health medicine </w:t>
      </w:r>
      <w:r>
        <w:t>specialists work in the public sector.  However, the costs associated with individual patient treatments cannot be separated from the costs of other clinicians assessing and treating patients.</w:t>
      </w:r>
    </w:p>
    <w:p w14:paraId="228A95E2" w14:textId="77777777" w:rsidR="008B34A8" w:rsidRDefault="008B34A8" w:rsidP="008B34A8">
      <w:pPr>
        <w:pStyle w:val="AspexBodyStandard"/>
      </w:pPr>
      <w:r>
        <w:t xml:space="preserve">The multi-disciplinary models of care that universally operate in the public sector are often very different in the level of involvement of the </w:t>
      </w:r>
      <w:r w:rsidR="000E2752" w:rsidRPr="000E2752">
        <w:t xml:space="preserve">sexual health medicine </w:t>
      </w:r>
      <w:r>
        <w:t>specialist in the care of patients.</w:t>
      </w:r>
    </w:p>
    <w:p w14:paraId="39A4D63E" w14:textId="77777777" w:rsidR="004A08DA" w:rsidRDefault="004A08DA" w:rsidP="007333CE">
      <w:pPr>
        <w:pStyle w:val="Heading2"/>
      </w:pPr>
      <w:bookmarkStart w:id="224" w:name="_Toc351480546"/>
      <w:r>
        <w:t>Impact upon supply of specialists</w:t>
      </w:r>
      <w:bookmarkEnd w:id="224"/>
    </w:p>
    <w:p w14:paraId="03BBEBE2" w14:textId="77777777" w:rsidR="008B34A8" w:rsidRDefault="008B34A8" w:rsidP="008B34A8">
      <w:pPr>
        <w:pStyle w:val="AspexBodyStandard"/>
      </w:pPr>
      <w:r>
        <w:t xml:space="preserve">Anecdotal reports from representatives of the Chapter of </w:t>
      </w:r>
      <w:r w:rsidR="0011383D">
        <w:t>Sexual Health</w:t>
      </w:r>
      <w:r>
        <w:t xml:space="preserve"> Medicine indicate that the availability of MBS items for </w:t>
      </w:r>
      <w:r w:rsidR="000E2752" w:rsidRPr="000E2752">
        <w:t xml:space="preserve">sexual health medicine </w:t>
      </w:r>
      <w:r>
        <w:t>would have a positive impact upon the supply of specialists.  There are several self-reinforcing reasons for this advice, including but not limited to:</w:t>
      </w:r>
    </w:p>
    <w:p w14:paraId="5B54EB08" w14:textId="77777777" w:rsidR="008B34A8" w:rsidRDefault="008B34A8" w:rsidP="008B34A8">
      <w:pPr>
        <w:pStyle w:val="AspexBullet1"/>
      </w:pPr>
      <w:r>
        <w:t>Current benefit levels are unable to support a viable private practice.  Hence, the fee structure is actively working against attracting specialists into private practice; and</w:t>
      </w:r>
    </w:p>
    <w:p w14:paraId="63C97901" w14:textId="3B1E4B47" w:rsidR="008B34A8" w:rsidRDefault="008B34A8" w:rsidP="000E2752">
      <w:pPr>
        <w:pStyle w:val="AspexBullet1"/>
      </w:pPr>
      <w:r>
        <w:t xml:space="preserve">The current remuneration levels for </w:t>
      </w:r>
      <w:r w:rsidR="000E2752" w:rsidRPr="000E2752">
        <w:t xml:space="preserve">sexual health medicine </w:t>
      </w:r>
      <w:r w:rsidR="00A10F4A">
        <w:t>are</w:t>
      </w:r>
      <w:r>
        <w:t xml:space="preserve"> a disincentive in attracting candidates compared with other specialty areas.  There is strong evidence of the difficulty in filling accredited </w:t>
      </w:r>
      <w:r w:rsidR="000E2752" w:rsidRPr="000E2752">
        <w:t xml:space="preserve">sexual health medicine </w:t>
      </w:r>
      <w:r>
        <w:t>registrar positions.</w:t>
      </w:r>
    </w:p>
    <w:p w14:paraId="4334192B" w14:textId="77777777" w:rsidR="004A08DA" w:rsidRDefault="004A08DA" w:rsidP="007333CE">
      <w:pPr>
        <w:pStyle w:val="Heading2"/>
      </w:pPr>
      <w:bookmarkStart w:id="225" w:name="_Toc351480547"/>
      <w:r>
        <w:t>Impact upon access to services</w:t>
      </w:r>
      <w:bookmarkEnd w:id="225"/>
    </w:p>
    <w:p w14:paraId="40B65F7D" w14:textId="77777777" w:rsidR="008B34A8" w:rsidRDefault="008B34A8" w:rsidP="008B34A8">
      <w:pPr>
        <w:pStyle w:val="AspexBodyStandard"/>
      </w:pPr>
      <w:r>
        <w:t xml:space="preserve">It is estimated that there would be an increase in the supply of </w:t>
      </w:r>
      <w:r w:rsidR="000E2752" w:rsidRPr="000E2752">
        <w:t xml:space="preserve">sexual health medicine </w:t>
      </w:r>
      <w:r>
        <w:t>specialists over time as a direct result of a new – more appropriately remunerated – MBS item structure.</w:t>
      </w:r>
    </w:p>
    <w:p w14:paraId="2F7A0239" w14:textId="77777777" w:rsidR="008B34A8" w:rsidRDefault="008B34A8" w:rsidP="008B34A8">
      <w:pPr>
        <w:pStyle w:val="AspexBodyStandard"/>
      </w:pPr>
      <w:r>
        <w:t xml:space="preserve">The rate of increase in qualified specialists is a function of the number of accredited trainee positions and the interest in specialisation in </w:t>
      </w:r>
      <w:r w:rsidR="000E2752" w:rsidRPr="000E2752">
        <w:t>sexual health medicine</w:t>
      </w:r>
      <w:r>
        <w:t>.  It is anticipated that there will not be a major or sudden turnaround in the current paucity if interest, and that the ‘take up’ rates will be gradual.</w:t>
      </w:r>
    </w:p>
    <w:p w14:paraId="76B406F1" w14:textId="77777777" w:rsidR="008B34A8" w:rsidRPr="0031491E" w:rsidRDefault="008B34A8" w:rsidP="008B34A8">
      <w:pPr>
        <w:pStyle w:val="AspexBodyStandard"/>
      </w:pPr>
      <w:r>
        <w:t xml:space="preserve">As there will be strong jurisdictional interest in developing </w:t>
      </w:r>
      <w:r w:rsidR="000E2752" w:rsidRPr="000E2752">
        <w:t xml:space="preserve">sexual health medicine </w:t>
      </w:r>
      <w:r>
        <w:t xml:space="preserve">specialists, there is likely to be concerted efforts, particularly in the take up of training positions in WA, NT and Qld where the current workforce is limited.  A new regime of MBS items is reported to give impetus to developing flexible public-private training models. </w:t>
      </w:r>
    </w:p>
    <w:p w14:paraId="737B3B44" w14:textId="77777777" w:rsidR="00BC768A" w:rsidRDefault="00BC768A" w:rsidP="007333CE">
      <w:pPr>
        <w:pStyle w:val="Heading2"/>
      </w:pPr>
      <w:bookmarkStart w:id="226" w:name="_Toc351480548"/>
      <w:r>
        <w:t>Impact upon patient outcomes</w:t>
      </w:r>
      <w:bookmarkEnd w:id="226"/>
    </w:p>
    <w:p w14:paraId="599D994F" w14:textId="77777777" w:rsidR="008B34A8" w:rsidRDefault="008B34A8" w:rsidP="008B34A8">
      <w:pPr>
        <w:pStyle w:val="AspexBodyStandard"/>
      </w:pPr>
      <w:r>
        <w:t xml:space="preserve">The AMC, and the medical profession more broadly, recognise that </w:t>
      </w:r>
      <w:r w:rsidR="000E2752" w:rsidRPr="000E2752">
        <w:t xml:space="preserve">sexual health medicine </w:t>
      </w:r>
      <w:r>
        <w:t>is a complex area, requiring a dedicated specialty able to deliver a range of high quality interventions to patients.  Patient outcomes can therefore expect to improve through:</w:t>
      </w:r>
    </w:p>
    <w:p w14:paraId="0E0F6469" w14:textId="143AC062" w:rsidR="008B34A8" w:rsidRDefault="009154FE" w:rsidP="0079641B">
      <w:pPr>
        <w:pStyle w:val="AspexNumberedbullet1"/>
        <w:numPr>
          <w:ilvl w:val="0"/>
          <w:numId w:val="32"/>
        </w:numPr>
      </w:pPr>
      <w:r>
        <w:t>Advice and support to general p</w:t>
      </w:r>
      <w:r w:rsidR="008B34A8" w:rsidRPr="00337B00">
        <w:t>ractitioners</w:t>
      </w:r>
      <w:r w:rsidR="006D4EAC">
        <w:t>.</w:t>
      </w:r>
    </w:p>
    <w:p w14:paraId="7F8BDB85" w14:textId="2CF31E0F" w:rsidR="008B34A8" w:rsidRPr="00337B00" w:rsidRDefault="008B34A8" w:rsidP="008B34A8">
      <w:pPr>
        <w:pStyle w:val="AspexNumberedbullet1"/>
      </w:pPr>
      <w:r>
        <w:t>Improving integration and coordination of care through the ‘collaborative or shared care’ service models</w:t>
      </w:r>
      <w:r w:rsidR="006D4EAC">
        <w:t>.</w:t>
      </w:r>
    </w:p>
    <w:p w14:paraId="3371732E" w14:textId="05D4F09B" w:rsidR="008B34A8" w:rsidRPr="00337B00" w:rsidRDefault="008B34A8" w:rsidP="008B34A8">
      <w:pPr>
        <w:pStyle w:val="AspexNumberedbullet1"/>
      </w:pPr>
      <w:r w:rsidRPr="00337B00">
        <w:lastRenderedPageBreak/>
        <w:t>Direct management of more complex cases – as is the case with any specialty</w:t>
      </w:r>
      <w:r w:rsidR="006D4EAC">
        <w:t>.</w:t>
      </w:r>
    </w:p>
    <w:p w14:paraId="225C7AEA" w14:textId="77777777" w:rsidR="008B34A8" w:rsidRDefault="008B34A8" w:rsidP="008B34A8">
      <w:pPr>
        <w:pStyle w:val="AspexNumberedbullet1"/>
      </w:pPr>
      <w:r>
        <w:t>Enabling equivalent scope of practice to that currently available within the public sector – currently a significant limitation to specialists who are not already fellows of other medical colleges.  Given the efficacy of these interventions and the accredited training to provide a wide range of services, it is assumed that patient outcomes will therefore be no worse than those achieved in the public sector.</w:t>
      </w:r>
    </w:p>
    <w:p w14:paraId="50E41642" w14:textId="26D78D68" w:rsidR="008B34A8" w:rsidRPr="00A415D5" w:rsidRDefault="008B34A8" w:rsidP="000E2752">
      <w:pPr>
        <w:pStyle w:val="AspexNumberedbullet1"/>
      </w:pPr>
      <w:r w:rsidRPr="00A415D5">
        <w:t xml:space="preserve">Workforce development that may also increase the availability of input by </w:t>
      </w:r>
      <w:r w:rsidR="000E2752" w:rsidRPr="00D87E7E">
        <w:t xml:space="preserve">sexual health medicine </w:t>
      </w:r>
      <w:r w:rsidRPr="00A415D5">
        <w:t xml:space="preserve">specialists into public policy and program development to increase awareness of </w:t>
      </w:r>
      <w:r w:rsidR="00870548" w:rsidRPr="00A415D5">
        <w:t>the importance of testing and treatment for notifiable sexually transmissible and blood borne infections</w:t>
      </w:r>
      <w:r w:rsidRPr="00A415D5">
        <w:t xml:space="preserve">.  This would ideally result in a higher proportion of individuals recognising the need to address harmful </w:t>
      </w:r>
      <w:r w:rsidR="00A17479" w:rsidRPr="00A415D5">
        <w:t>behavio</w:t>
      </w:r>
      <w:r w:rsidR="00F3118B" w:rsidRPr="00A415D5">
        <w:t>u</w:t>
      </w:r>
      <w:r w:rsidR="00A17479" w:rsidRPr="00A415D5">
        <w:t>r</w:t>
      </w:r>
      <w:r w:rsidRPr="00A415D5">
        <w:t>.</w:t>
      </w:r>
    </w:p>
    <w:p w14:paraId="5936C51B" w14:textId="77777777" w:rsidR="008B34A8" w:rsidRDefault="008B34A8" w:rsidP="008B34A8">
      <w:pPr>
        <w:pStyle w:val="AspexNumberedbullet1"/>
      </w:pPr>
      <w:r>
        <w:t>Improving access to timely care by:</w:t>
      </w:r>
    </w:p>
    <w:p w14:paraId="25348290" w14:textId="77777777" w:rsidR="008B34A8" w:rsidRDefault="008B34A8" w:rsidP="008B34A8">
      <w:pPr>
        <w:pStyle w:val="AspexNumberedBullet2"/>
        <w:numPr>
          <w:ilvl w:val="1"/>
          <w:numId w:val="5"/>
        </w:numPr>
      </w:pPr>
      <w:r>
        <w:t>Reducing preventable delays in treatment associated with waiting lists of a number of different providers; and</w:t>
      </w:r>
    </w:p>
    <w:p w14:paraId="6A819B69" w14:textId="77777777" w:rsidR="008B34A8" w:rsidRDefault="008B34A8" w:rsidP="008B34A8">
      <w:pPr>
        <w:pStyle w:val="AspexNumberedBullet2"/>
        <w:numPr>
          <w:ilvl w:val="1"/>
          <w:numId w:val="5"/>
        </w:numPr>
      </w:pPr>
      <w:r>
        <w:t>Reducing out-of-pocket costs (on average) to the patient.</w:t>
      </w:r>
    </w:p>
    <w:p w14:paraId="093407D4" w14:textId="77777777" w:rsidR="008B34A8" w:rsidRPr="00BC768A" w:rsidRDefault="008B34A8" w:rsidP="008B34A8">
      <w:pPr>
        <w:pStyle w:val="AspexBodyStandard"/>
      </w:pPr>
      <w:r>
        <w:t>Notwithstanding the proposition that patient outcomes are expected to improve, there is no basis for quantifying the level of expected patient outcome improvement by any of the standard quantification methods – at individual patient level or system level - through the provision of medical consultation services.</w:t>
      </w:r>
    </w:p>
    <w:p w14:paraId="2C1D0D15" w14:textId="77777777" w:rsidR="004A08DA" w:rsidRDefault="004A08DA" w:rsidP="007333CE">
      <w:pPr>
        <w:pStyle w:val="Heading2"/>
      </w:pPr>
      <w:bookmarkStart w:id="227" w:name="_Toc351480549"/>
      <w:r>
        <w:t>Impact upon private sector providers</w:t>
      </w:r>
      <w:bookmarkEnd w:id="227"/>
    </w:p>
    <w:p w14:paraId="718BB9E4" w14:textId="3658A04E" w:rsidR="008B34A8" w:rsidRDefault="008B34A8" w:rsidP="008B34A8">
      <w:pPr>
        <w:pStyle w:val="AspexBodyStandard"/>
      </w:pPr>
      <w:r>
        <w:t xml:space="preserve">There is no anticipated change </w:t>
      </w:r>
      <w:r w:rsidR="00266DC0">
        <w:t>to</w:t>
      </w:r>
      <w:r w:rsidR="006D4EAC">
        <w:t xml:space="preserve"> </w:t>
      </w:r>
      <w:r>
        <w:t xml:space="preserve">the requirements for referral to </w:t>
      </w:r>
      <w:r w:rsidR="000E2752" w:rsidRPr="000E2752">
        <w:t xml:space="preserve">sexual health medicine </w:t>
      </w:r>
      <w:r>
        <w:t>specialist</w:t>
      </w:r>
      <w:r w:rsidR="00870548">
        <w:t>s</w:t>
      </w:r>
      <w:r w:rsidR="006D4EAC">
        <w:t>,</w:t>
      </w:r>
      <w:r>
        <w:t xml:space="preserve"> as is the case with all other specialties, for advice and management of more complex co-morbidities.  Therefore, there is no expected change to the current patient presentation arrangements for GPs or private practice specialist providers.</w:t>
      </w:r>
    </w:p>
    <w:p w14:paraId="186742D0" w14:textId="77777777" w:rsidR="008B34A8" w:rsidRDefault="008B34A8" w:rsidP="008B34A8">
      <w:pPr>
        <w:pStyle w:val="AspexBodyStandard"/>
      </w:pPr>
      <w:r>
        <w:t>Based on the expected unmet demand in the community, there is unlikely to be any adverse impact on the demand for GP or other specialist services.</w:t>
      </w:r>
    </w:p>
    <w:p w14:paraId="4C7AD717" w14:textId="77777777" w:rsidR="004A08DA" w:rsidRDefault="004A08DA" w:rsidP="007333CE">
      <w:pPr>
        <w:pStyle w:val="Heading2"/>
      </w:pPr>
      <w:bookmarkStart w:id="228" w:name="_Toc351480550"/>
      <w:r>
        <w:t>Impact upon public sector services</w:t>
      </w:r>
      <w:bookmarkEnd w:id="228"/>
    </w:p>
    <w:p w14:paraId="1F9A69AB" w14:textId="77777777" w:rsidR="008B34A8" w:rsidRDefault="008B34A8" w:rsidP="008B34A8">
      <w:pPr>
        <w:pStyle w:val="AspexBodyStandard"/>
      </w:pPr>
      <w:r>
        <w:t xml:space="preserve">There is expected to be minimal impact on the demand for, or provision of, public sector services in </w:t>
      </w:r>
      <w:r w:rsidR="000E2752" w:rsidRPr="000E2752">
        <w:t>sexual health medicine</w:t>
      </w:r>
      <w:r>
        <w:t xml:space="preserve">.  </w:t>
      </w:r>
    </w:p>
    <w:p w14:paraId="01D49693" w14:textId="77777777" w:rsidR="008B34A8" w:rsidRDefault="008B34A8" w:rsidP="008B34A8">
      <w:pPr>
        <w:pStyle w:val="AspexBodyStandard"/>
      </w:pPr>
      <w:r>
        <w:t>The most likely impact based on anecdotal advice is that alternative treatment opportunities may exist for patients who would prefer to attend a private clinic rather than a p</w:t>
      </w:r>
      <w:r w:rsidR="00123CA1">
        <w:t>ublic clinic for their sexual health related</w:t>
      </w:r>
      <w:r>
        <w:t xml:space="preserve"> conditions.  </w:t>
      </w:r>
    </w:p>
    <w:p w14:paraId="53A12386" w14:textId="77777777" w:rsidR="008B34A8" w:rsidRDefault="008B34A8" w:rsidP="008B34A8">
      <w:pPr>
        <w:pStyle w:val="AspexBodyStandard"/>
      </w:pPr>
      <w:r>
        <w:t xml:space="preserve">It is possible that the time available for current </w:t>
      </w:r>
      <w:r w:rsidR="000E2752" w:rsidRPr="000E2752">
        <w:t xml:space="preserve">sexual health medicine </w:t>
      </w:r>
      <w:r>
        <w:t>specialists in public sector may be marginally diminished if there is an increase in accredited training of registrars.</w:t>
      </w:r>
    </w:p>
    <w:p w14:paraId="67DCA645" w14:textId="77777777" w:rsidR="004A08DA" w:rsidRDefault="004A08DA" w:rsidP="007333CE">
      <w:pPr>
        <w:pStyle w:val="Heading2"/>
      </w:pPr>
      <w:bookmarkStart w:id="229" w:name="_Toc351480551"/>
      <w:r>
        <w:lastRenderedPageBreak/>
        <w:t>Impact upon overall health expenditure</w:t>
      </w:r>
      <w:r w:rsidR="00BC768A">
        <w:t xml:space="preserve"> (</w:t>
      </w:r>
      <w:r w:rsidR="00566A30">
        <w:t>relative cost effectiveness</w:t>
      </w:r>
      <w:r w:rsidR="00BC768A">
        <w:t>)</w:t>
      </w:r>
      <w:bookmarkEnd w:id="229"/>
    </w:p>
    <w:p w14:paraId="16E386B3" w14:textId="77777777" w:rsidR="00EC76C7" w:rsidRDefault="00EC76C7" w:rsidP="00EC76C7">
      <w:pPr>
        <w:pStyle w:val="AspexBodyStandard"/>
      </w:pPr>
      <w:r>
        <w:t>Cost effectiveness analysis is used as a means to determine the relative cost of undertaking a course of action compared with the most appropriate existing course of action.</w:t>
      </w:r>
    </w:p>
    <w:p w14:paraId="31B34E81" w14:textId="77777777" w:rsidR="00EC76C7" w:rsidRDefault="00EC76C7" w:rsidP="00EC76C7">
      <w:pPr>
        <w:pStyle w:val="AspexBodyStandard"/>
      </w:pPr>
      <w:r>
        <w:t xml:space="preserve">In the context of </w:t>
      </w:r>
      <w:r w:rsidR="000E2752" w:rsidRPr="000E2752">
        <w:t>sexual health medicine</w:t>
      </w:r>
      <w:r>
        <w:t xml:space="preserve"> cost effectiveness analysis is between two independent</w:t>
      </w:r>
      <w:r>
        <w:rPr>
          <w:rStyle w:val="FootnoteReference"/>
        </w:rPr>
        <w:footnoteReference w:id="32"/>
      </w:r>
      <w:r>
        <w:t xml:space="preserve"> ‘interventions’, i.e. between medical consultations by an </w:t>
      </w:r>
      <w:r w:rsidR="000E2752" w:rsidRPr="000E2752">
        <w:t xml:space="preserve">sexual health medicine </w:t>
      </w:r>
      <w:r>
        <w:t>specialist or a</w:t>
      </w:r>
      <w:r w:rsidR="0011383D">
        <w:t>n infectious diseases physician</w:t>
      </w:r>
      <w:r>
        <w:t xml:space="preserve">, as the </w:t>
      </w:r>
      <w:r w:rsidR="0011383D">
        <w:t>physician</w:t>
      </w:r>
      <w:r>
        <w:t xml:space="preserve"> is the next most clinically appropriate clinical treatment course for most </w:t>
      </w:r>
      <w:r w:rsidR="00123CA1">
        <w:t>sexual health related issues</w:t>
      </w:r>
      <w:r>
        <w:t>.</w:t>
      </w:r>
    </w:p>
    <w:p w14:paraId="46D77DA9" w14:textId="77777777" w:rsidR="00EC76C7" w:rsidRDefault="00EC76C7" w:rsidP="00EC76C7">
      <w:pPr>
        <w:pStyle w:val="AspexBodyStandard"/>
      </w:pPr>
      <w:r>
        <w:t>Analysis between independent interventions would ordinarily suggest comparative analysis between the cost of interventions compared with the health gain of the intervention (usually expressed as a ratio</w:t>
      </w:r>
      <w:r w:rsidR="008B34A8">
        <w:t>)</w:t>
      </w:r>
      <w:r>
        <w:t xml:space="preserve">.  This is where conventional cost effectiveness analysis becomes problematic.  Whilst it is possible to estimate the cost difference between consultations delivered by </w:t>
      </w:r>
      <w:r w:rsidR="000E2752">
        <w:t xml:space="preserve">a </w:t>
      </w:r>
      <w:r w:rsidR="000E2752" w:rsidRPr="000E2752">
        <w:t>sexual health medicine</w:t>
      </w:r>
      <w:r>
        <w:t xml:space="preserve"> specialist </w:t>
      </w:r>
      <w:r w:rsidRPr="008B34A8">
        <w:rPr>
          <w:i/>
        </w:rPr>
        <w:t>vis a vis</w:t>
      </w:r>
      <w:r>
        <w:t xml:space="preserve"> a </w:t>
      </w:r>
      <w:r w:rsidR="0011383D">
        <w:t>physician</w:t>
      </w:r>
      <w:r>
        <w:t xml:space="preserve">, it is not possible to identify the relative or absolute health gain resulting from one or a series of medical consultations.  </w:t>
      </w:r>
    </w:p>
    <w:p w14:paraId="53FC8B38" w14:textId="010A9BCB" w:rsidR="00EC76C7" w:rsidRDefault="00EC76C7" w:rsidP="00EC76C7">
      <w:pPr>
        <w:pStyle w:val="AspexBodyStandard"/>
      </w:pPr>
      <w:r>
        <w:t xml:space="preserve">Section </w:t>
      </w:r>
      <w:r w:rsidR="008B34A8">
        <w:t>4.2</w:t>
      </w:r>
      <w:r>
        <w:t xml:space="preserve"> above indicates </w:t>
      </w:r>
      <w:r w:rsidR="0079641B" w:rsidRPr="0079641B">
        <w:t>“…that sexual health medicine related services are provided in part by a number of ‘overlapping’ specialty groups in Australia including infectious disease physicians, public health medicine physicians and general practitioners; but that sexual health physicians are a longstanding and essential piece within a complex and evolving clinical and public health jigsaw</w:t>
      </w:r>
      <w:r>
        <w:t>.</w:t>
      </w:r>
      <w:r w:rsidR="0079641B">
        <w:t xml:space="preserve"> (p.24)</w:t>
      </w:r>
      <w:r>
        <w:t xml:space="preserve">” This indicates that there has been acceptance within the medical profession that there are superior clinical benefits from </w:t>
      </w:r>
      <w:r w:rsidR="000E2752" w:rsidRPr="000E2752">
        <w:t xml:space="preserve">sexual health medicine </w:t>
      </w:r>
      <w:r>
        <w:t xml:space="preserve">interventions for </w:t>
      </w:r>
      <w:r w:rsidR="0079641B">
        <w:t>sexual health related disorders</w:t>
      </w:r>
      <w:r>
        <w:t xml:space="preserve"> relative to </w:t>
      </w:r>
      <w:r w:rsidR="0090045C">
        <w:t>i</w:t>
      </w:r>
      <w:r w:rsidR="008C29C6">
        <w:t xml:space="preserve">nfectious </w:t>
      </w:r>
      <w:r w:rsidR="0090045C">
        <w:t>d</w:t>
      </w:r>
      <w:r w:rsidR="008C29C6">
        <w:t xml:space="preserve">isease </w:t>
      </w:r>
      <w:r w:rsidR="0090045C">
        <w:t>p</w:t>
      </w:r>
      <w:r w:rsidR="008C29C6">
        <w:t>hysician</w:t>
      </w:r>
      <w:r>
        <w:t xml:space="preserve"> interventions.  On this basis, a cost effectiveness analysis should only need to demonstrate costs at or below the alternative </w:t>
      </w:r>
      <w:r w:rsidR="0090045C">
        <w:t>i</w:t>
      </w:r>
      <w:r w:rsidR="008C29C6">
        <w:t xml:space="preserve">nfectious </w:t>
      </w:r>
      <w:r w:rsidR="0090045C">
        <w:t>d</w:t>
      </w:r>
      <w:r w:rsidR="008C29C6">
        <w:t xml:space="preserve">isease </w:t>
      </w:r>
      <w:r w:rsidR="0090045C">
        <w:t>p</w:t>
      </w:r>
      <w:r w:rsidR="008C29C6">
        <w:t>hysician</w:t>
      </w:r>
      <w:r>
        <w:t xml:space="preserve"> consultation option to demonstrate overall superior cost effectiveness.</w:t>
      </w:r>
    </w:p>
    <w:p w14:paraId="1A75C07B" w14:textId="73DFF042" w:rsidR="00EC76C7" w:rsidRDefault="00EC76C7" w:rsidP="00EC76C7">
      <w:pPr>
        <w:pStyle w:val="AspexBodyStandard"/>
      </w:pPr>
      <w:r>
        <w:t xml:space="preserve">Therefore, an economic evaluation of the </w:t>
      </w:r>
      <w:r w:rsidR="000E2752" w:rsidRPr="000E2752">
        <w:t xml:space="preserve">sexual health medicine </w:t>
      </w:r>
      <w:r>
        <w:t xml:space="preserve">MBS items has been based on a </w:t>
      </w:r>
      <w:r w:rsidRPr="00DA1F09">
        <w:rPr>
          <w:i/>
        </w:rPr>
        <w:t xml:space="preserve">relative cost </w:t>
      </w:r>
      <w:r>
        <w:rPr>
          <w:i/>
        </w:rPr>
        <w:t>of alternative medical consultations.</w:t>
      </w:r>
      <w:r>
        <w:t xml:space="preserve"> A modelled comparative analysis of </w:t>
      </w:r>
      <w:r w:rsidRPr="00DA1F09">
        <w:rPr>
          <w:i/>
        </w:rPr>
        <w:t>future</w:t>
      </w:r>
      <w:r>
        <w:t xml:space="preserve"> costs to 2015 by </w:t>
      </w:r>
      <w:r w:rsidR="000E2752" w:rsidRPr="000E2752">
        <w:t xml:space="preserve">sexual health medicine </w:t>
      </w:r>
      <w:r>
        <w:t>specialists and</w:t>
      </w:r>
      <w:r w:rsidR="00D569C9">
        <w:t xml:space="preserve"> infectious disease physicians </w:t>
      </w:r>
      <w:r w:rsidR="008B34A8">
        <w:t>has been developed</w:t>
      </w:r>
      <w:r>
        <w:t xml:space="preserve">.  The forecast costs for </w:t>
      </w:r>
      <w:r w:rsidR="000E2752" w:rsidRPr="000E2752">
        <w:t xml:space="preserve">sexual health medicine </w:t>
      </w:r>
      <w:r>
        <w:t>are based on the proposed fee structure where assessment and patient review are at physician rates.</w:t>
      </w:r>
    </w:p>
    <w:p w14:paraId="0E1CFCF8" w14:textId="77777777" w:rsidR="00EC76C7" w:rsidRDefault="00EC76C7" w:rsidP="00F44503">
      <w:pPr>
        <w:pStyle w:val="Heading4"/>
      </w:pPr>
      <w:r>
        <w:t>Modelled comparative analysis</w:t>
      </w:r>
    </w:p>
    <w:p w14:paraId="09216E72" w14:textId="0F076ADA" w:rsidR="00517B9F" w:rsidRDefault="00517B9F" w:rsidP="00517B9F">
      <w:pPr>
        <w:pStyle w:val="AspexBodyStandard"/>
      </w:pPr>
      <w:r>
        <w:t xml:space="preserve">The </w:t>
      </w:r>
      <w:r w:rsidR="006D4EAC">
        <w:t>current (2012) MBS outlays for sexual health m</w:t>
      </w:r>
      <w:r>
        <w:t xml:space="preserve">edicine are estimated to be ~$5.14m.  However, due to service number increases, it is estimated that this would rise to $6.06m </w:t>
      </w:r>
      <w:r w:rsidRPr="00955DC5">
        <w:t>by 2015</w:t>
      </w:r>
      <w:r>
        <w:t xml:space="preserve">. </w:t>
      </w:r>
    </w:p>
    <w:p w14:paraId="6296AF4E" w14:textId="2A9AF834" w:rsidR="00517B9F" w:rsidRDefault="00517B9F" w:rsidP="00517B9F">
      <w:pPr>
        <w:pStyle w:val="AspexBodyStandard"/>
      </w:pPr>
      <w:r>
        <w:t>The f</w:t>
      </w:r>
      <w:r w:rsidR="006D4EAC">
        <w:t>orecast (2015) MBS outlays for sexual health medicine</w:t>
      </w:r>
      <w:r w:rsidRPr="00550311">
        <w:t xml:space="preserve"> </w:t>
      </w:r>
      <w:r>
        <w:t>is ~$8.24m</w:t>
      </w:r>
      <w:r w:rsidR="006D4EAC">
        <w:t>,</w:t>
      </w:r>
      <w:r>
        <w:t xml:space="preserve"> noting that there are rate increase to consultant physician levels, changes to complex care, case conferencing and a modest fall in claims due to expected workforce reductions.  This suggests that there would be an </w:t>
      </w:r>
      <w:r w:rsidRPr="00955DC5">
        <w:rPr>
          <w:i/>
        </w:rPr>
        <w:t>increase</w:t>
      </w:r>
      <w:r>
        <w:t xml:space="preserve"> in MBS outlays of ~$3.10m based on the difference between actual 2012 and forecast 2015, </w:t>
      </w:r>
      <w:r w:rsidRPr="00955DC5">
        <w:rPr>
          <w:b/>
        </w:rPr>
        <w:t>or</w:t>
      </w:r>
      <w:r>
        <w:t xml:space="preserve"> ~$2.19m based on the forecast </w:t>
      </w:r>
      <w:r>
        <w:lastRenderedPageBreak/>
        <w:t xml:space="preserve">outlays in 2015 </w:t>
      </w:r>
      <w:r w:rsidRPr="00955DC5">
        <w:t>with no change to MBS structure</w:t>
      </w:r>
      <w:r>
        <w:t xml:space="preserve"> and reduced workforce, and forecast outlays under a new item structure.</w:t>
      </w:r>
    </w:p>
    <w:p w14:paraId="49D01D66" w14:textId="26CDD89F" w:rsidR="00517B9F" w:rsidRDefault="00517B9F" w:rsidP="00517B9F">
      <w:pPr>
        <w:pStyle w:val="AspexBodyStandard"/>
      </w:pPr>
      <w:r>
        <w:t xml:space="preserve">The forecast MBS outlays using </w:t>
      </w:r>
      <w:r w:rsidR="0090045C">
        <w:t>i</w:t>
      </w:r>
      <w:r>
        <w:t xml:space="preserve">nfectious </w:t>
      </w:r>
      <w:r w:rsidR="0090045C">
        <w:t>d</w:t>
      </w:r>
      <w:r>
        <w:t xml:space="preserve">isease </w:t>
      </w:r>
      <w:r w:rsidR="0090045C">
        <w:t>p</w:t>
      </w:r>
      <w:r>
        <w:t xml:space="preserve">hysician consultation rates is ~$8.49m.  This indicates that there is a $0.24m cost advantage, or 3.0% for </w:t>
      </w:r>
      <w:r w:rsidR="0090045C">
        <w:t>s</w:t>
      </w:r>
      <w:r>
        <w:t xml:space="preserve">exual </w:t>
      </w:r>
      <w:r w:rsidR="0090045C">
        <w:t>h</w:t>
      </w:r>
      <w:r>
        <w:t xml:space="preserve">ealth </w:t>
      </w:r>
      <w:r w:rsidR="0090045C">
        <w:t>m</w:t>
      </w:r>
      <w:r>
        <w:t xml:space="preserve">edicine.  This suggests that even with an increase in payment rates for </w:t>
      </w:r>
      <w:r w:rsidR="0090045C">
        <w:t>s</w:t>
      </w:r>
      <w:r>
        <w:t xml:space="preserve">exual </w:t>
      </w:r>
      <w:r w:rsidR="0090045C">
        <w:t>h</w:t>
      </w:r>
      <w:r>
        <w:t xml:space="preserve">ealth </w:t>
      </w:r>
      <w:r w:rsidR="0090045C">
        <w:t>m</w:t>
      </w:r>
      <w:r>
        <w:t>edicine specialists, a small cost advantage is maintained, albeit at a much lower level.</w:t>
      </w:r>
    </w:p>
    <w:p w14:paraId="5004B8A2" w14:textId="788AEC60" w:rsidR="00517B9F" w:rsidRDefault="00517B9F" w:rsidP="00517B9F">
      <w:pPr>
        <w:pStyle w:val="AspexBodyStandard"/>
      </w:pPr>
      <w:r>
        <w:t xml:space="preserve">The assumed mix of consultations between </w:t>
      </w:r>
      <w:r w:rsidR="0090045C">
        <w:t>s</w:t>
      </w:r>
      <w:r>
        <w:t xml:space="preserve">exual </w:t>
      </w:r>
      <w:r w:rsidR="0090045C">
        <w:t>h</w:t>
      </w:r>
      <w:r>
        <w:t xml:space="preserve">ealth </w:t>
      </w:r>
      <w:r w:rsidR="0090045C">
        <w:t>m</w:t>
      </w:r>
      <w:r>
        <w:t xml:space="preserve">edicine and </w:t>
      </w:r>
      <w:r w:rsidR="0090045C">
        <w:t>i</w:t>
      </w:r>
      <w:r>
        <w:t xml:space="preserve">nfectious </w:t>
      </w:r>
      <w:r w:rsidR="0090045C">
        <w:t>d</w:t>
      </w:r>
      <w:r>
        <w:t xml:space="preserve">isease </w:t>
      </w:r>
      <w:r w:rsidR="0090045C">
        <w:t>p</w:t>
      </w:r>
      <w:r>
        <w:t>hysician are the same; namely:</w:t>
      </w:r>
    </w:p>
    <w:p w14:paraId="602BEBE0" w14:textId="77777777" w:rsidR="00517B9F" w:rsidRDefault="00517B9F" w:rsidP="00517B9F">
      <w:pPr>
        <w:pStyle w:val="AspexBullet1"/>
      </w:pPr>
      <w:r>
        <w:t>Assessment (21.4%);</w:t>
      </w:r>
    </w:p>
    <w:p w14:paraId="1004E617" w14:textId="77777777" w:rsidR="00517B9F" w:rsidRDefault="00517B9F" w:rsidP="00517B9F">
      <w:pPr>
        <w:pStyle w:val="AspexBullet1"/>
      </w:pPr>
      <w:r>
        <w:t>Patient review (71.5%); and</w:t>
      </w:r>
    </w:p>
    <w:p w14:paraId="26FBC18C" w14:textId="77777777" w:rsidR="00517B9F" w:rsidRDefault="00517B9F" w:rsidP="00517B9F">
      <w:pPr>
        <w:pStyle w:val="AspexBullet1"/>
      </w:pPr>
      <w:r>
        <w:t>Complex care planning &amp; Case Conferencing (7.1%).</w:t>
      </w:r>
    </w:p>
    <w:p w14:paraId="233CCC63" w14:textId="77777777" w:rsidR="00517B9F" w:rsidRPr="003F0101" w:rsidRDefault="00517B9F" w:rsidP="00517B9F">
      <w:pPr>
        <w:pStyle w:val="AspexBodyStandard"/>
      </w:pPr>
      <w:r w:rsidRPr="003F0101">
        <w:t>Sensitivity analysis of the assumed mix of items claimed indicates that:</w:t>
      </w:r>
    </w:p>
    <w:p w14:paraId="6E79B21A" w14:textId="1350DCD9" w:rsidR="00517B9F" w:rsidRPr="003F0101" w:rsidRDefault="00517B9F" w:rsidP="00517B9F">
      <w:pPr>
        <w:pStyle w:val="AspexBullet1"/>
      </w:pPr>
      <w:r w:rsidRPr="003F0101">
        <w:t>An increase of 10% in assessments and a commensurate decrease in patient reviews will impact on the costs by $</w:t>
      </w:r>
      <w:r w:rsidR="00F55B72">
        <w:t>136k</w:t>
      </w:r>
      <w:r w:rsidR="00F55B72" w:rsidRPr="003F0101">
        <w:t xml:space="preserve"> </w:t>
      </w:r>
      <w:r w:rsidRPr="003F0101">
        <w:t xml:space="preserve">in 2015 or </w:t>
      </w:r>
      <w:r w:rsidR="000E0221">
        <w:t>1.</w:t>
      </w:r>
      <w:r w:rsidR="00F55B72">
        <w:t>7</w:t>
      </w:r>
      <w:r w:rsidR="000E0221">
        <w:t>%</w:t>
      </w:r>
      <w:r w:rsidRPr="003F0101">
        <w:t>.</w:t>
      </w:r>
    </w:p>
    <w:p w14:paraId="4DB27BDE" w14:textId="20353026" w:rsidR="00517B9F" w:rsidRPr="003F0101" w:rsidRDefault="00517B9F" w:rsidP="00517B9F">
      <w:pPr>
        <w:pStyle w:val="AspexBullet1"/>
      </w:pPr>
      <w:r w:rsidRPr="003F0101">
        <w:t xml:space="preserve">An increase of 10% in complex care and case conferences and a commensurate decrease in patient reviews would </w:t>
      </w:r>
      <w:r w:rsidR="000E0221">
        <w:t>add only $</w:t>
      </w:r>
      <w:r w:rsidR="00F55B72">
        <w:t xml:space="preserve">29k </w:t>
      </w:r>
      <w:r w:rsidR="000E0221">
        <w:t xml:space="preserve">to the total </w:t>
      </w:r>
      <w:r w:rsidRPr="003F0101">
        <w:t>cost</w:t>
      </w:r>
      <w:r w:rsidR="00F55B72">
        <w:t xml:space="preserve"> in 2015</w:t>
      </w:r>
      <w:r w:rsidRPr="003F0101">
        <w:t>.</w:t>
      </w:r>
    </w:p>
    <w:p w14:paraId="5346C731" w14:textId="7E210349" w:rsidR="00517B9F" w:rsidRDefault="00517B9F" w:rsidP="00517B9F">
      <w:pPr>
        <w:pStyle w:val="AspexBodyStandard"/>
      </w:pPr>
      <w:r w:rsidRPr="003F0101">
        <w:t xml:space="preserve">Another important aspect of the cost effectiveness analysis is the forecast for out-of-pocket costs for patients.  The analysis assumes the same out-of pocket cost differential between current </w:t>
      </w:r>
      <w:r w:rsidR="0090045C">
        <w:t>s</w:t>
      </w:r>
      <w:r w:rsidRPr="003F0101">
        <w:t xml:space="preserve">exual </w:t>
      </w:r>
      <w:r w:rsidR="0090045C">
        <w:t>h</w:t>
      </w:r>
      <w:r w:rsidRPr="003F0101">
        <w:t xml:space="preserve">ealth </w:t>
      </w:r>
      <w:r w:rsidR="0090045C">
        <w:t>m</w:t>
      </w:r>
      <w:r w:rsidRPr="003F0101">
        <w:t xml:space="preserve">edicine and </w:t>
      </w:r>
      <w:r w:rsidR="0090045C">
        <w:t>i</w:t>
      </w:r>
      <w:r w:rsidRPr="003F0101">
        <w:t xml:space="preserve">nfectious </w:t>
      </w:r>
      <w:r w:rsidR="0090045C">
        <w:t>d</w:t>
      </w:r>
      <w:r w:rsidRPr="003F0101">
        <w:t xml:space="preserve">isease </w:t>
      </w:r>
      <w:r w:rsidR="0090045C">
        <w:t>p</w:t>
      </w:r>
      <w:r w:rsidRPr="003F0101">
        <w:t xml:space="preserve">hysician out-of-pockets.  Due to the relatively low level of current benefits for </w:t>
      </w:r>
      <w:r w:rsidR="0090045C">
        <w:t>s</w:t>
      </w:r>
      <w:r w:rsidRPr="003F0101">
        <w:t xml:space="preserve">exual </w:t>
      </w:r>
      <w:r w:rsidR="0090045C">
        <w:t>h</w:t>
      </w:r>
      <w:r w:rsidRPr="003F0101">
        <w:t xml:space="preserve">ealth </w:t>
      </w:r>
      <w:r w:rsidR="0090045C">
        <w:t>m</w:t>
      </w:r>
      <w:r w:rsidRPr="003F0101">
        <w:t xml:space="preserve">edicine, the out-of-pocket costs might ordinarily be pushed higher.  This was not the case.  Out-of-pocket costs for (private) </w:t>
      </w:r>
      <w:r w:rsidR="0090045C">
        <w:t>s</w:t>
      </w:r>
      <w:r w:rsidRPr="003F0101">
        <w:t xml:space="preserve">exual </w:t>
      </w:r>
      <w:r w:rsidR="0090045C">
        <w:t>h</w:t>
      </w:r>
      <w:r w:rsidRPr="003F0101">
        <w:t xml:space="preserve">ealth </w:t>
      </w:r>
      <w:r w:rsidR="0090045C">
        <w:t>m</w:t>
      </w:r>
      <w:r w:rsidRPr="003F0101">
        <w:t xml:space="preserve">edicine patients are </w:t>
      </w:r>
      <w:r w:rsidR="00F4528A">
        <w:t xml:space="preserve">similar to </w:t>
      </w:r>
      <w:r w:rsidR="0090045C">
        <w:t>i</w:t>
      </w:r>
      <w:r w:rsidRPr="003F0101">
        <w:t xml:space="preserve">nfectious </w:t>
      </w:r>
      <w:r w:rsidR="0090045C">
        <w:t>d</w:t>
      </w:r>
      <w:r w:rsidRPr="003F0101">
        <w:t xml:space="preserve">isease </w:t>
      </w:r>
      <w:r w:rsidR="0090045C">
        <w:t>p</w:t>
      </w:r>
      <w:r w:rsidRPr="003F0101">
        <w:t>hysician</w:t>
      </w:r>
      <w:r w:rsidR="003F0101">
        <w:t>.</w:t>
      </w:r>
    </w:p>
    <w:p w14:paraId="5D5490F2" w14:textId="3384E7F0" w:rsidR="00517B9F" w:rsidRDefault="00517B9F" w:rsidP="00517B9F">
      <w:pPr>
        <w:pStyle w:val="AspexBodyStandard"/>
      </w:pPr>
      <w:r>
        <w:t>The estimated out-of-pocket costs to patient</w:t>
      </w:r>
      <w:r w:rsidR="006D4EAC">
        <w:t>s (2015), suggests ~$2.02m for sexual health m</w:t>
      </w:r>
      <w:r>
        <w:t xml:space="preserve">edicine, compared to out-of-pocket costs for </w:t>
      </w:r>
      <w:r w:rsidR="0090045C">
        <w:t>i</w:t>
      </w:r>
      <w:r>
        <w:t xml:space="preserve">nfectious </w:t>
      </w:r>
      <w:r w:rsidR="0090045C">
        <w:t>d</w:t>
      </w:r>
      <w:r>
        <w:t xml:space="preserve">isease </w:t>
      </w:r>
      <w:r w:rsidR="0090045C">
        <w:t>p</w:t>
      </w:r>
      <w:r>
        <w:t xml:space="preserve">hysician of $1.93m.  This is a minor difference of ~$0.086m, or 4.4% higher for </w:t>
      </w:r>
      <w:r w:rsidR="0090045C">
        <w:t>s</w:t>
      </w:r>
      <w:r>
        <w:t xml:space="preserve">exual </w:t>
      </w:r>
      <w:r w:rsidR="0090045C">
        <w:t>h</w:t>
      </w:r>
      <w:r>
        <w:t xml:space="preserve">ealth </w:t>
      </w:r>
      <w:r w:rsidR="006046EA">
        <w:t>m</w:t>
      </w:r>
      <w:r>
        <w:t>edicine than for</w:t>
      </w:r>
      <w:r w:rsidRPr="007D0B91">
        <w:t xml:space="preserve"> </w:t>
      </w:r>
      <w:r w:rsidR="006046EA">
        <w:t>i</w:t>
      </w:r>
      <w:r>
        <w:t xml:space="preserve">nfectious </w:t>
      </w:r>
      <w:r w:rsidR="006046EA">
        <w:t>d</w:t>
      </w:r>
      <w:r>
        <w:t xml:space="preserve">isease </w:t>
      </w:r>
      <w:r w:rsidR="006046EA">
        <w:t>p</w:t>
      </w:r>
      <w:r>
        <w:t>hysicians.</w:t>
      </w:r>
    </w:p>
    <w:p w14:paraId="10496E35" w14:textId="77777777" w:rsidR="003211BF" w:rsidRDefault="003211BF" w:rsidP="0079641B">
      <w:pPr>
        <w:pStyle w:val="AspexAppendixlevel1"/>
        <w:numPr>
          <w:ilvl w:val="0"/>
          <w:numId w:val="13"/>
        </w:numPr>
      </w:pPr>
      <w:r>
        <w:lastRenderedPageBreak/>
        <w:t>Methods used to extrapolate NSW data</w:t>
      </w:r>
    </w:p>
    <w:p w14:paraId="6C159602" w14:textId="77777777" w:rsidR="003211BF" w:rsidRDefault="003211BF" w:rsidP="003211BF">
      <w:pPr>
        <w:pStyle w:val="AspexBodyStandard"/>
      </w:pPr>
      <w:r>
        <w:t>Around half (4</w:t>
      </w:r>
      <w:r w:rsidR="00330543">
        <w:t>9.</w:t>
      </w:r>
      <w:r>
        <w:t>8%) of all people living with HIV reside in NSW (Kirby Institute, 2012).  The majority of these individuals are male. Accordingly, NSW data was disaggregated for the percentage of the population with reportable STIs (by male and female for each year of reporting</w:t>
      </w:r>
      <w:r w:rsidR="00330543">
        <w:t>), and then re-applied to each State and T</w:t>
      </w:r>
      <w:r>
        <w:t>erritory based upon the individual percentage of the population within each jurisdiction with reportable STIs (by male and female for each year of reporting).</w:t>
      </w:r>
    </w:p>
    <w:p w14:paraId="1328B1C2" w14:textId="0CC2BCA1" w:rsidR="003211BF" w:rsidRDefault="00AA3587" w:rsidP="003211BF">
      <w:pPr>
        <w:pStyle w:val="AspexBodyStandard"/>
      </w:pPr>
      <w:r>
        <w:t>Thus, d</w:t>
      </w:r>
      <w:r w:rsidR="003211BF">
        <w:t xml:space="preserve">ata extrapolation and estimations </w:t>
      </w:r>
      <w:r w:rsidR="00860DB5">
        <w:t xml:space="preserve">for public sector data </w:t>
      </w:r>
      <w:r w:rsidR="003211BF">
        <w:t>were calculated according to the following methods</w:t>
      </w:r>
      <w:r w:rsidR="00D84BFA">
        <w:t xml:space="preserve"> (for each year between 2010-12)</w:t>
      </w:r>
      <w:r w:rsidR="00860DB5">
        <w:t xml:space="preserve"> in relation to the number of public sector patients receiving services for HIV,</w:t>
      </w:r>
      <w:r w:rsidR="00860DB5" w:rsidRPr="00860DB5">
        <w:t xml:space="preserve"> </w:t>
      </w:r>
      <w:r w:rsidR="00860DB5">
        <w:t>Chl</w:t>
      </w:r>
      <w:r w:rsidR="00195D7D">
        <w:t>amydia, Gonorrhoea and Syphilis:</w:t>
      </w:r>
    </w:p>
    <w:p w14:paraId="1B3809AA" w14:textId="77777777" w:rsidR="00D84BFA" w:rsidRDefault="00D84BFA" w:rsidP="003211BF">
      <w:pPr>
        <w:pStyle w:val="AspexBullet1"/>
      </w:pPr>
      <w:r>
        <w:t>Identified the number of men and women with Chlamydia, Gonorrhoea and Syphilis at a national level (male and female breakdowns of this data are not publically reported at the State/Territory level);</w:t>
      </w:r>
    </w:p>
    <w:p w14:paraId="4FD77C59" w14:textId="77777777" w:rsidR="00D84BFA" w:rsidRDefault="00D84BFA" w:rsidP="003211BF">
      <w:pPr>
        <w:pStyle w:val="AspexBullet1"/>
      </w:pPr>
      <w:r>
        <w:t>Identified the percentage of men (and women) with Chlamydia, Gonorrhoea and Syphilis at a national level;</w:t>
      </w:r>
    </w:p>
    <w:p w14:paraId="18CA4803" w14:textId="77777777" w:rsidR="00D84BFA" w:rsidRDefault="00D84BFA" w:rsidP="003211BF">
      <w:pPr>
        <w:pStyle w:val="AspexBullet1"/>
      </w:pPr>
      <w:r>
        <w:t>Applied this percentage to the known number of cases of Chlamydia, Gonorrhoea and Syphilis for each State/Territory to estimate the number of men and women with each condition;</w:t>
      </w:r>
    </w:p>
    <w:p w14:paraId="2339613A" w14:textId="77777777" w:rsidR="00D84BFA" w:rsidRDefault="00D84BFA" w:rsidP="003211BF">
      <w:pPr>
        <w:pStyle w:val="AspexBullet1"/>
      </w:pPr>
      <w:r>
        <w:t>Identified the number of men and women in each State/Territory with HIV (this information is publically reported at the jurisdictional level);</w:t>
      </w:r>
    </w:p>
    <w:p w14:paraId="6B53A225" w14:textId="77777777" w:rsidR="00D84BFA" w:rsidRDefault="00D84BFA" w:rsidP="003211BF">
      <w:pPr>
        <w:pStyle w:val="AspexBullet1"/>
      </w:pPr>
      <w:r>
        <w:t xml:space="preserve">Divided the number of unique individuals treated in the NSW public sector </w:t>
      </w:r>
      <w:r w:rsidR="00860DB5">
        <w:t>(</w:t>
      </w:r>
      <w:r>
        <w:t>for each condition</w:t>
      </w:r>
      <w:r w:rsidR="00860DB5">
        <w:t>)</w:t>
      </w:r>
      <w:r>
        <w:t xml:space="preserve"> by the reported number of individuals with each condition in NSW</w:t>
      </w:r>
      <w:r w:rsidR="00860DB5">
        <w:t>,</w:t>
      </w:r>
      <w:r>
        <w:t xml:space="preserve"> to obtain a </w:t>
      </w:r>
      <w:r w:rsidRPr="00860DB5">
        <w:rPr>
          <w:i/>
        </w:rPr>
        <w:t xml:space="preserve">standardized rate of </w:t>
      </w:r>
      <w:r w:rsidR="00860DB5" w:rsidRPr="00860DB5">
        <w:rPr>
          <w:i/>
        </w:rPr>
        <w:t>people treated in the public sector for each condition</w:t>
      </w:r>
      <w:r w:rsidR="00860DB5">
        <w:t>.  In this way, the estimates derived for other jurisdictions would not be over-influenced by the higher proportion of people in NSW with particular STIs.</w:t>
      </w:r>
    </w:p>
    <w:p w14:paraId="02804880" w14:textId="77777777" w:rsidR="00860DB5" w:rsidRDefault="00860DB5" w:rsidP="003211BF">
      <w:pPr>
        <w:pStyle w:val="AspexBullet1"/>
      </w:pPr>
      <w:r>
        <w:t>Applied the standardized rate (separately for men and women) to the estimated number of men and women with each STI in each State/Territory to estimate the number of patients treated in the public sector in that State/Territory.</w:t>
      </w:r>
    </w:p>
    <w:p w14:paraId="0E6A0F13" w14:textId="77777777" w:rsidR="00D84BFA" w:rsidRDefault="00860DB5" w:rsidP="00860DB5">
      <w:pPr>
        <w:pStyle w:val="AspexBodyStandard"/>
      </w:pPr>
      <w:r>
        <w:t xml:space="preserve">The estimated number of individuals treated in the public sector for </w:t>
      </w:r>
      <w:r w:rsidR="00330543">
        <w:t xml:space="preserve">STI screening and </w:t>
      </w:r>
      <w:r>
        <w:t xml:space="preserve">other </w:t>
      </w:r>
      <w:r w:rsidR="00330543">
        <w:t xml:space="preserve">non-reportable </w:t>
      </w:r>
      <w:r>
        <w:t>STIs was calculated according to the following:</w:t>
      </w:r>
    </w:p>
    <w:p w14:paraId="15D104B4" w14:textId="77777777" w:rsidR="003211BF" w:rsidRDefault="00860DB5" w:rsidP="003211BF">
      <w:pPr>
        <w:pStyle w:val="AspexBullet1"/>
      </w:pPr>
      <w:r>
        <w:t>Identified</w:t>
      </w:r>
      <w:r w:rsidR="003211BF">
        <w:t xml:space="preserve"> the population of individuals </w:t>
      </w:r>
      <w:r w:rsidR="00AA3587">
        <w:t>by male and female, living in Australia (at a national level, and separately for each State/Territory);</w:t>
      </w:r>
    </w:p>
    <w:p w14:paraId="0EAE2BBC" w14:textId="77777777" w:rsidR="00AA3587" w:rsidRDefault="00AA3587" w:rsidP="003211BF">
      <w:pPr>
        <w:pStyle w:val="AspexBullet1"/>
      </w:pPr>
      <w:r>
        <w:t>Calculation of the number of individuals by male and female, living in Australia (at a national level, and separately for each State/Territory);</w:t>
      </w:r>
    </w:p>
    <w:p w14:paraId="4AD08391" w14:textId="77777777" w:rsidR="00AA3587" w:rsidRDefault="00860DB5" w:rsidP="003211BF">
      <w:pPr>
        <w:pStyle w:val="AspexBullet1"/>
      </w:pPr>
      <w:r>
        <w:t>Estimated</w:t>
      </w:r>
      <w:r w:rsidR="00AA3587">
        <w:t xml:space="preserve"> of the proportion of males and females in the population with non-reportable STIs </w:t>
      </w:r>
      <w:r w:rsidR="004C31F2">
        <w:t xml:space="preserve">for which public health service data was available </w:t>
      </w:r>
      <w:r w:rsidR="00AA3587">
        <w:t>(HSV: 33.3%M to 66.6%F; Condylomata Acuminata: 50%M to 50%F; Trichomoniasis: 25%M to 75%F)</w:t>
      </w:r>
      <w:r w:rsidR="004C31F2">
        <w:t>;</w:t>
      </w:r>
      <w:r w:rsidR="00AA3587">
        <w:t xml:space="preserve"> </w:t>
      </w:r>
    </w:p>
    <w:p w14:paraId="3C543B53" w14:textId="25CB292F" w:rsidR="004C31F2" w:rsidRDefault="00860DB5" w:rsidP="003211BF">
      <w:pPr>
        <w:pStyle w:val="AspexBullet1"/>
      </w:pPr>
      <w:r>
        <w:t>Divided</w:t>
      </w:r>
      <w:r w:rsidR="004C31F2">
        <w:t xml:space="preserve"> the number of individuals presenting </w:t>
      </w:r>
      <w:r>
        <w:t>to</w:t>
      </w:r>
      <w:r w:rsidR="004C31F2">
        <w:t xml:space="preserve"> NSW public sector services </w:t>
      </w:r>
      <w:r>
        <w:t>by the proportion of men and women estimated to have each of the non-reportable STIs (for which public health service data was available) to achieve a standardized rate of male and female presentation (per head of population)</w:t>
      </w:r>
      <w:r w:rsidR="00195D7D">
        <w:t xml:space="preserve"> for each condition; and</w:t>
      </w:r>
    </w:p>
    <w:p w14:paraId="0674BD57" w14:textId="77777777" w:rsidR="00330543" w:rsidRDefault="00330543" w:rsidP="003211BF">
      <w:pPr>
        <w:pStyle w:val="AspexBullet1"/>
      </w:pPr>
      <w:r>
        <w:lastRenderedPageBreak/>
        <w:t>Applied this percentage (separately for men and women) to the known population distribution and number of men and women in each State/Territory to estimate the number of people presenting for public sector services in each jurisdiction.</w:t>
      </w:r>
    </w:p>
    <w:p w14:paraId="47907272" w14:textId="77777777" w:rsidR="00330543" w:rsidRDefault="00330543" w:rsidP="00330543">
      <w:pPr>
        <w:pStyle w:val="AspexBullet1"/>
        <w:numPr>
          <w:ilvl w:val="0"/>
          <w:numId w:val="0"/>
        </w:numPr>
      </w:pPr>
      <w:r>
        <w:t>Future demand was projected by:</w:t>
      </w:r>
    </w:p>
    <w:p w14:paraId="0B834FF7" w14:textId="15DE2EC8" w:rsidR="003211BF" w:rsidRDefault="003211BF" w:rsidP="00330543">
      <w:pPr>
        <w:pStyle w:val="AspexBullet1"/>
      </w:pPr>
      <w:r>
        <w:t xml:space="preserve">Fitting each of the observations </w:t>
      </w:r>
      <w:r w:rsidR="00330543">
        <w:t xml:space="preserve">for each State/Territory and Nationally </w:t>
      </w:r>
      <w:r>
        <w:t>to a linear prediction equation</w:t>
      </w:r>
      <w:r>
        <w:rPr>
          <w:rStyle w:val="FootnoteReference"/>
        </w:rPr>
        <w:footnoteReference w:id="33"/>
      </w:r>
      <w:r>
        <w:t>;</w:t>
      </w:r>
      <w:r w:rsidR="00195D7D">
        <w:t xml:space="preserve"> and</w:t>
      </w:r>
    </w:p>
    <w:p w14:paraId="479F7452" w14:textId="77777777" w:rsidR="003D50DD" w:rsidRDefault="003211BF" w:rsidP="003211BF">
      <w:pPr>
        <w:pStyle w:val="AspexBullet1"/>
      </w:pPr>
      <w:r>
        <w:t>Calculating the prediction intervals associated</w:t>
      </w:r>
      <w:r w:rsidR="00330543">
        <w:t xml:space="preserve"> with current and future demand.</w:t>
      </w:r>
    </w:p>
    <w:p w14:paraId="4B3E5377" w14:textId="77777777" w:rsidR="003D50DD" w:rsidRDefault="003D50DD" w:rsidP="003D50DD">
      <w:pPr>
        <w:pStyle w:val="AspexBullet1"/>
        <w:numPr>
          <w:ilvl w:val="0"/>
          <w:numId w:val="0"/>
        </w:numPr>
      </w:pPr>
    </w:p>
    <w:p w14:paraId="3114E8BA" w14:textId="77777777" w:rsidR="003D50DD" w:rsidRDefault="003D50DD" w:rsidP="003D50DD">
      <w:pPr>
        <w:pStyle w:val="AspexBullet1"/>
        <w:numPr>
          <w:ilvl w:val="0"/>
          <w:numId w:val="0"/>
        </w:numPr>
        <w:sectPr w:rsidR="003D50DD" w:rsidSect="00AC78D8">
          <w:pgSz w:w="11906" w:h="16838" w:code="9"/>
          <w:pgMar w:top="2268" w:right="1276" w:bottom="1134" w:left="1616" w:header="709" w:footer="709" w:gutter="0"/>
          <w:cols w:space="708"/>
          <w:docGrid w:linePitch="360"/>
        </w:sectPr>
      </w:pPr>
    </w:p>
    <w:p w14:paraId="0A310203" w14:textId="77777777" w:rsidR="003211BF" w:rsidRDefault="003D50DD" w:rsidP="003D50DD">
      <w:pPr>
        <w:pStyle w:val="AspexAppendixlevel1"/>
        <w:spacing w:before="0"/>
        <w:ind w:right="-1588"/>
      </w:pPr>
      <w:r>
        <w:lastRenderedPageBreak/>
        <w:t>HSDs and authority drugs used in treatment of sexual health diseases</w:t>
      </w:r>
    </w:p>
    <w:tbl>
      <w:tblPr>
        <w:tblStyle w:val="AspexTable1"/>
        <w:tblW w:w="14454" w:type="dxa"/>
        <w:tblLayout w:type="fixed"/>
        <w:tblLook w:val="04A0" w:firstRow="1" w:lastRow="0" w:firstColumn="1" w:lastColumn="0" w:noHBand="0" w:noVBand="1"/>
        <w:tblCaption w:val="HSDs and authority drugs used in the treatment of sexual health diseases"/>
      </w:tblPr>
      <w:tblGrid>
        <w:gridCol w:w="1418"/>
        <w:gridCol w:w="4111"/>
        <w:gridCol w:w="1275"/>
        <w:gridCol w:w="1134"/>
        <w:gridCol w:w="765"/>
        <w:gridCol w:w="4192"/>
        <w:gridCol w:w="1559"/>
      </w:tblGrid>
      <w:tr w:rsidR="003D50DD" w:rsidRPr="00A11E50" w14:paraId="65E66A46" w14:textId="77777777" w:rsidTr="006D4C10">
        <w:trPr>
          <w:cnfStyle w:val="100000000000" w:firstRow="1" w:lastRow="0" w:firstColumn="0" w:lastColumn="0" w:oddVBand="0" w:evenVBand="0" w:oddHBand="0" w:evenHBand="0" w:firstRowFirstColumn="0" w:firstRowLastColumn="0" w:lastRowFirstColumn="0" w:lastRowLastColumn="0"/>
          <w:trHeight w:val="620"/>
          <w:tblHeader/>
        </w:trPr>
        <w:tc>
          <w:tcPr>
            <w:tcW w:w="1418" w:type="dxa"/>
            <w:noWrap/>
            <w:hideMark/>
          </w:tcPr>
          <w:p w14:paraId="1526E9C9"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MEDICATION</w:t>
            </w:r>
          </w:p>
        </w:tc>
        <w:tc>
          <w:tcPr>
            <w:tcW w:w="4111" w:type="dxa"/>
            <w:hideMark/>
          </w:tcPr>
          <w:p w14:paraId="10E37C72"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PBS INDICATION</w:t>
            </w:r>
          </w:p>
        </w:tc>
        <w:tc>
          <w:tcPr>
            <w:tcW w:w="1275" w:type="dxa"/>
            <w:noWrap/>
            <w:hideMark/>
          </w:tcPr>
          <w:p w14:paraId="0229CC47"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CLASS</w:t>
            </w:r>
          </w:p>
        </w:tc>
        <w:tc>
          <w:tcPr>
            <w:tcW w:w="1134" w:type="dxa"/>
            <w:noWrap/>
            <w:hideMark/>
          </w:tcPr>
          <w:p w14:paraId="188E6F60"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SCHEDULE</w:t>
            </w:r>
          </w:p>
        </w:tc>
        <w:tc>
          <w:tcPr>
            <w:tcW w:w="765" w:type="dxa"/>
            <w:noWrap/>
            <w:hideMark/>
          </w:tcPr>
          <w:p w14:paraId="2B537678"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S100</w:t>
            </w:r>
          </w:p>
        </w:tc>
        <w:tc>
          <w:tcPr>
            <w:tcW w:w="4192" w:type="dxa"/>
            <w:noWrap/>
            <w:hideMark/>
          </w:tcPr>
          <w:p w14:paraId="3BF493BD"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TGA PRODUCT INFORMATION</w:t>
            </w:r>
          </w:p>
        </w:tc>
        <w:tc>
          <w:tcPr>
            <w:tcW w:w="1559" w:type="dxa"/>
            <w:hideMark/>
          </w:tcPr>
          <w:p w14:paraId="30D491B4" w14:textId="77777777" w:rsidR="003D50DD" w:rsidRPr="00A11E50" w:rsidRDefault="003D50DD" w:rsidP="006D4C10">
            <w:pPr>
              <w:spacing w:before="144" w:after="144" w:line="240" w:lineRule="auto"/>
              <w:jc w:val="center"/>
              <w:rPr>
                <w:rFonts w:ascii="Arial Narrow" w:hAnsi="Arial Narrow" w:cs="Calibri"/>
                <w:b w:val="0"/>
                <w:bCs/>
                <w:color w:val="FFFFFF"/>
                <w:sz w:val="20"/>
                <w:lang w:eastAsia="en-AU"/>
              </w:rPr>
            </w:pPr>
            <w:r w:rsidRPr="00A11E50">
              <w:rPr>
                <w:rFonts w:ascii="Arial Narrow" w:hAnsi="Arial Narrow" w:cs="Calibri"/>
                <w:b w:val="0"/>
                <w:bCs/>
                <w:color w:val="FFFFFF"/>
                <w:sz w:val="20"/>
                <w:lang w:eastAsia="en-AU"/>
              </w:rPr>
              <w:t>DATE OF TGA REGISTRATION</w:t>
            </w:r>
          </w:p>
        </w:tc>
      </w:tr>
      <w:tr w:rsidR="003D50DD" w:rsidRPr="00A11E50" w14:paraId="1305F258" w14:textId="77777777" w:rsidTr="006D4C10">
        <w:tc>
          <w:tcPr>
            <w:tcW w:w="1418" w:type="dxa"/>
            <w:noWrap/>
            <w:hideMark/>
          </w:tcPr>
          <w:p w14:paraId="5387EEF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Abacavir</w:t>
            </w:r>
          </w:p>
        </w:tc>
        <w:tc>
          <w:tcPr>
            <w:tcW w:w="4111" w:type="dxa"/>
            <w:hideMark/>
          </w:tcPr>
          <w:p w14:paraId="20E8983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1625095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25E43CC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3FFB6C0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2B6C90C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EF9FCC6" w14:textId="6F4B6C17" w:rsidR="00017202"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Abacavir is indicated in antiretroviral combination therapy for the treatment of Human Immunodeficiency Virus (HIV) infection in adults and children. This indication is based on surrogate endpoints in studies up to 48 weeks in duration.</w:t>
            </w:r>
          </w:p>
          <w:p w14:paraId="3B7E9768" w14:textId="77777777" w:rsidR="003D50DD" w:rsidRPr="00017202" w:rsidRDefault="003D50DD" w:rsidP="00017202">
            <w:pPr>
              <w:jc w:val="center"/>
              <w:rPr>
                <w:rFonts w:ascii="Arial Narrow" w:hAnsi="Arial Narrow" w:cs="Calibri"/>
                <w:sz w:val="20"/>
                <w:lang w:eastAsia="en-AU"/>
              </w:rPr>
            </w:pPr>
          </w:p>
        </w:tc>
        <w:tc>
          <w:tcPr>
            <w:tcW w:w="1559" w:type="dxa"/>
            <w:noWrap/>
            <w:hideMark/>
          </w:tcPr>
          <w:p w14:paraId="57632EC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Jun-99</w:t>
            </w:r>
          </w:p>
        </w:tc>
      </w:tr>
      <w:tr w:rsidR="003D50DD" w:rsidRPr="00A11E50" w14:paraId="2F167135" w14:textId="77777777" w:rsidTr="006D4C10">
        <w:tc>
          <w:tcPr>
            <w:tcW w:w="1418" w:type="dxa"/>
            <w:noWrap/>
            <w:hideMark/>
          </w:tcPr>
          <w:p w14:paraId="662EC4F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Atazanavir</w:t>
            </w:r>
          </w:p>
        </w:tc>
        <w:tc>
          <w:tcPr>
            <w:tcW w:w="4111" w:type="dxa"/>
            <w:hideMark/>
          </w:tcPr>
          <w:p w14:paraId="409E13B5" w14:textId="06442791" w:rsidR="00A119C3" w:rsidRDefault="003D50DD" w:rsidP="00A119C3">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Initial treatment of HIV infection in combination with other antiretroviral agents in a patient with a CD4 count of less than 500 per cubic millimetre or symptomatic HIV disease.</w:t>
            </w:r>
          </w:p>
          <w:p w14:paraId="733A47BC" w14:textId="0B66EAA3" w:rsidR="003D50DD" w:rsidRPr="00A11E50" w:rsidRDefault="003D50DD" w:rsidP="00A119C3">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1DDEE7E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0B73D62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75EB36F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5BA950D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Atazanavir is indicated for the treatment of HIV 1 infection, in combination with other antiretroviral agents.  This indication is based on analyses of plasma HIV-1 RNA levels and CD4 cell counts from controlled studies.</w:t>
            </w:r>
          </w:p>
        </w:tc>
        <w:tc>
          <w:tcPr>
            <w:tcW w:w="1559" w:type="dxa"/>
            <w:noWrap/>
            <w:hideMark/>
          </w:tcPr>
          <w:p w14:paraId="098E31B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Jan-04</w:t>
            </w:r>
          </w:p>
        </w:tc>
      </w:tr>
      <w:tr w:rsidR="003D50DD" w:rsidRPr="00A11E50" w14:paraId="3AC12E30" w14:textId="77777777" w:rsidTr="006D4C10">
        <w:tc>
          <w:tcPr>
            <w:tcW w:w="1418" w:type="dxa"/>
            <w:noWrap/>
            <w:hideMark/>
          </w:tcPr>
          <w:p w14:paraId="0B01C06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Darunavir</w:t>
            </w:r>
          </w:p>
        </w:tc>
        <w:tc>
          <w:tcPr>
            <w:tcW w:w="4111" w:type="dxa"/>
            <w:hideMark/>
          </w:tcPr>
          <w:p w14:paraId="5D3F8B4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HIV infection, in addition to optimised background therapy in combination with other antiretroviral agents, and co-administered with 100 mg ritonavir twice daily in an antiretroviral experienced patient who, after at least one antiretroviral regimen, has experienced virological failure or clinical failure or genotypic resistance.  </w:t>
            </w:r>
          </w:p>
          <w:p w14:paraId="69CE3A4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Virological failure is defined as a viral load greater than 400 copies per mL on two consecutive </w:t>
            </w:r>
            <w:r w:rsidRPr="00A11E50">
              <w:rPr>
                <w:rFonts w:ascii="Arial Narrow" w:hAnsi="Arial Narrow" w:cs="Calibri"/>
                <w:color w:val="000000"/>
                <w:sz w:val="20"/>
                <w:lang w:eastAsia="en-AU"/>
              </w:rPr>
              <w:lastRenderedPageBreak/>
              <w:t>occasions, while clinical failure is linked to emerging signs and symptoms of progressing HIV infection or treatment-limiting toxicity.</w:t>
            </w:r>
          </w:p>
        </w:tc>
        <w:tc>
          <w:tcPr>
            <w:tcW w:w="1275" w:type="dxa"/>
            <w:hideMark/>
          </w:tcPr>
          <w:p w14:paraId="279E33F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noWrap/>
            <w:hideMark/>
          </w:tcPr>
          <w:p w14:paraId="7B3D89B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2D80CC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356F71E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Adult Patients:</w:t>
            </w:r>
            <w:r w:rsidRPr="00A11E50">
              <w:rPr>
                <w:rFonts w:ascii="Arial Narrow" w:hAnsi="Arial Narrow" w:cs="Calibri"/>
                <w:color w:val="000000"/>
                <w:sz w:val="20"/>
                <w:lang w:eastAsia="en-AU"/>
              </w:rPr>
              <w:t xml:space="preserve">  Darunavir (with low dose ritonavir as a pharmacokinetic enhancer) is indicated in combination with other antiretroviral agents for the treatment of human immunodeficiency virus-1 (HIV-1) infection in adult patients.</w:t>
            </w:r>
            <w:r w:rsidRPr="00A11E50">
              <w:rPr>
                <w:rFonts w:ascii="Arial Narrow" w:hAnsi="Arial Narrow" w:cs="Calibri"/>
                <w:color w:val="000000"/>
                <w:sz w:val="20"/>
                <w:lang w:eastAsia="en-AU"/>
              </w:rPr>
              <w:br/>
            </w:r>
            <w:r w:rsidRPr="00A11E50">
              <w:rPr>
                <w:rFonts w:ascii="Arial Narrow" w:hAnsi="Arial Narrow" w:cs="Calibri"/>
                <w:b/>
                <w:bCs/>
                <w:color w:val="000000"/>
                <w:sz w:val="20"/>
                <w:lang w:eastAsia="en-AU"/>
              </w:rPr>
              <w:t xml:space="preserve">Paediatric Patient: </w:t>
            </w:r>
            <w:r w:rsidRPr="00A11E50">
              <w:rPr>
                <w:rFonts w:ascii="Arial Narrow" w:hAnsi="Arial Narrow" w:cs="Calibri"/>
                <w:color w:val="000000"/>
                <w:sz w:val="20"/>
                <w:lang w:eastAsia="en-AU"/>
              </w:rPr>
              <w:t xml:space="preserve"> (with low dose ritonavir as a pharmacokinetic enhancer) is indicated in combination with other antiretroviral agents for the treatment of human immunodeficiency virus-1 (HIV-1) infection in </w:t>
            </w:r>
            <w:r w:rsidRPr="00A11E50">
              <w:rPr>
                <w:rFonts w:ascii="Arial Narrow" w:hAnsi="Arial Narrow" w:cs="Calibri"/>
                <w:color w:val="000000"/>
                <w:sz w:val="20"/>
                <w:lang w:eastAsia="en-AU"/>
              </w:rPr>
              <w:lastRenderedPageBreak/>
              <w:t>adult patients.</w:t>
            </w:r>
          </w:p>
        </w:tc>
        <w:tc>
          <w:tcPr>
            <w:tcW w:w="1559" w:type="dxa"/>
            <w:noWrap/>
            <w:hideMark/>
          </w:tcPr>
          <w:p w14:paraId="0F729B6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Mar-03</w:t>
            </w:r>
          </w:p>
        </w:tc>
      </w:tr>
      <w:tr w:rsidR="003D50DD" w:rsidRPr="00A11E50" w14:paraId="3855631B" w14:textId="77777777" w:rsidTr="006D4C10">
        <w:trPr>
          <w:trHeight w:val="631"/>
        </w:trPr>
        <w:tc>
          <w:tcPr>
            <w:tcW w:w="1418" w:type="dxa"/>
            <w:noWrap/>
            <w:hideMark/>
          </w:tcPr>
          <w:p w14:paraId="2015CAD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Didanosine</w:t>
            </w:r>
          </w:p>
        </w:tc>
        <w:tc>
          <w:tcPr>
            <w:tcW w:w="4111" w:type="dxa"/>
            <w:hideMark/>
          </w:tcPr>
          <w:p w14:paraId="7F1481E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50C8AAA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3D46940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57A939C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1219E5A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068BFC2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Indicated for use in adult and paediatric patients in the treatment of HIV infection in combination with other antiretroviral drugs.</w:t>
            </w:r>
          </w:p>
        </w:tc>
        <w:tc>
          <w:tcPr>
            <w:tcW w:w="1559" w:type="dxa"/>
            <w:noWrap/>
            <w:hideMark/>
          </w:tcPr>
          <w:p w14:paraId="43553EC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May-01</w:t>
            </w:r>
          </w:p>
        </w:tc>
      </w:tr>
      <w:tr w:rsidR="003D50DD" w:rsidRPr="00A11E50" w14:paraId="2BA9F9AA" w14:textId="77777777" w:rsidTr="006D4C10">
        <w:trPr>
          <w:trHeight w:val="1263"/>
        </w:trPr>
        <w:tc>
          <w:tcPr>
            <w:tcW w:w="1418" w:type="dxa"/>
            <w:noWrap/>
            <w:hideMark/>
          </w:tcPr>
          <w:p w14:paraId="3EC7D95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Efavirenz</w:t>
            </w:r>
          </w:p>
        </w:tc>
        <w:tc>
          <w:tcPr>
            <w:tcW w:w="4111" w:type="dxa"/>
            <w:hideMark/>
          </w:tcPr>
          <w:p w14:paraId="13EA23A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1867260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482A71E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1F6137F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6FADA2C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34B6DA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Indicated for use in combination with other antiviral agents for the treatment of HIV-1 infection in adults and children.</w:t>
            </w:r>
          </w:p>
        </w:tc>
        <w:tc>
          <w:tcPr>
            <w:tcW w:w="1559" w:type="dxa"/>
            <w:noWrap/>
            <w:hideMark/>
          </w:tcPr>
          <w:p w14:paraId="2FBAC87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Jan-05</w:t>
            </w:r>
          </w:p>
        </w:tc>
      </w:tr>
      <w:tr w:rsidR="003D50DD" w:rsidRPr="00A11E50" w14:paraId="3BB79C09" w14:textId="77777777" w:rsidTr="006D4C10">
        <w:trPr>
          <w:trHeight w:val="1140"/>
        </w:trPr>
        <w:tc>
          <w:tcPr>
            <w:tcW w:w="1418" w:type="dxa"/>
            <w:noWrap/>
            <w:hideMark/>
          </w:tcPr>
          <w:p w14:paraId="32DBC69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Emtricitabine</w:t>
            </w:r>
          </w:p>
        </w:tc>
        <w:tc>
          <w:tcPr>
            <w:tcW w:w="4111" w:type="dxa"/>
            <w:hideMark/>
          </w:tcPr>
          <w:p w14:paraId="345DCAB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Initial treatment of HIV infection in combination with other antiretroviral agents in a patient with a CD4 count of less than 500 per cubic millimetre or symptomatic HIV disease.</w:t>
            </w:r>
          </w:p>
        </w:tc>
        <w:tc>
          <w:tcPr>
            <w:tcW w:w="1275" w:type="dxa"/>
            <w:hideMark/>
          </w:tcPr>
          <w:p w14:paraId="0D37D6F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323E391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1821EBA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6859F82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Indicated for the treatment of HIV infected adults over the age of 18 years.</w:t>
            </w:r>
            <w:r w:rsidRPr="00A11E50">
              <w:rPr>
                <w:rFonts w:ascii="Arial Narrow" w:hAnsi="Arial Narrow" w:cs="Calibri"/>
                <w:color w:val="000000"/>
                <w:sz w:val="20"/>
                <w:lang w:eastAsia="en-AU"/>
              </w:rPr>
              <w:br/>
              <w:t>This indication is based on analyses of plasma HIV-1 RNA levels and CD4 cell counts in controlled studies of VIREAD, EMTRIVA and STOCRIN in treatment-naïve and treatment-experienced adults.</w:t>
            </w:r>
          </w:p>
        </w:tc>
        <w:tc>
          <w:tcPr>
            <w:tcW w:w="1559" w:type="dxa"/>
            <w:noWrap/>
            <w:hideMark/>
          </w:tcPr>
          <w:p w14:paraId="5E92AB0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Jan-05</w:t>
            </w:r>
          </w:p>
        </w:tc>
      </w:tr>
      <w:tr w:rsidR="003D50DD" w:rsidRPr="00A11E50" w14:paraId="3FB9E0D8" w14:textId="77777777" w:rsidTr="006D4C10">
        <w:trPr>
          <w:trHeight w:val="2169"/>
        </w:trPr>
        <w:tc>
          <w:tcPr>
            <w:tcW w:w="1418" w:type="dxa"/>
            <w:noWrap/>
            <w:hideMark/>
          </w:tcPr>
          <w:p w14:paraId="0DE9C81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Enfuvirtide</w:t>
            </w:r>
          </w:p>
        </w:tc>
        <w:tc>
          <w:tcPr>
            <w:tcW w:w="4111" w:type="dxa"/>
            <w:hideMark/>
          </w:tcPr>
          <w:p w14:paraId="5CAE8E8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HIV infection, in addition to optimised background therapy in combination with other antiretroviral agents in an antiretroviral experienced patient who, after each of at least three different antiretroviral regimens that have included one drug from at least 3 different antiretroviral classes, has experienced virological failure or clinical failure or genotypic resistance. </w:t>
            </w:r>
          </w:p>
          <w:p w14:paraId="2F9F696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Virological failure is defined as a viral load greater than 400 copies per mL on two consecutive occasions, while clinical failure is linked to emerging signs and symptoms of progressing HIV infection or treatment-limiting toxicity.</w:t>
            </w:r>
          </w:p>
        </w:tc>
        <w:tc>
          <w:tcPr>
            <w:tcW w:w="1275" w:type="dxa"/>
            <w:hideMark/>
          </w:tcPr>
          <w:p w14:paraId="119C48E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33A5724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6D1DD5A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2C9A229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Indicated in combination with other antiretroviral agents for the treatment of HIV-1 infection in antiretroviral experienced patients with treatment failure due to intolerance to previous antiretroviral agents or with evidence of HIV-1 replication despite ongoing therapy. Evidence to support this indication is based on surrogate endpoints (change in viral load and CD4 count) in controlled studies following 48 weeks of treatment.</w:t>
            </w:r>
          </w:p>
        </w:tc>
        <w:tc>
          <w:tcPr>
            <w:tcW w:w="1559" w:type="dxa"/>
            <w:noWrap/>
            <w:hideMark/>
          </w:tcPr>
          <w:p w14:paraId="302CBF7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Sep-03</w:t>
            </w:r>
          </w:p>
        </w:tc>
      </w:tr>
      <w:tr w:rsidR="003D50DD" w:rsidRPr="00A11E50" w14:paraId="23A5348E" w14:textId="77777777" w:rsidTr="006D4C10">
        <w:trPr>
          <w:trHeight w:val="2187"/>
        </w:trPr>
        <w:tc>
          <w:tcPr>
            <w:tcW w:w="1418" w:type="dxa"/>
            <w:noWrap/>
            <w:hideMark/>
          </w:tcPr>
          <w:p w14:paraId="58F3832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Etravirine</w:t>
            </w:r>
          </w:p>
        </w:tc>
        <w:tc>
          <w:tcPr>
            <w:tcW w:w="4111" w:type="dxa"/>
            <w:hideMark/>
          </w:tcPr>
          <w:p w14:paraId="10FC44D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HIV infection, in addition to optimised background therapy in combination with other antiretroviral agents in an antiretroviral experienced patient who, after each of at least three different antiretroviral regimens that have included one drug from at least 3 different antiretroviral classes, has experienced virological failure or clinical failure or genotypic resistance. </w:t>
            </w:r>
          </w:p>
          <w:p w14:paraId="38E9D0B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Virological failure is defined as a viral load greater than 400 copies per mL on two consecutive occasions, while clinical failure is linked to emerging signs and symptoms of progressing HIV infection or treatment-limiting toxicity. </w:t>
            </w:r>
          </w:p>
        </w:tc>
        <w:tc>
          <w:tcPr>
            <w:tcW w:w="1275" w:type="dxa"/>
            <w:hideMark/>
          </w:tcPr>
          <w:p w14:paraId="7CF993F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hideMark/>
          </w:tcPr>
          <w:p w14:paraId="0DAE322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Prescription only medicine</w:t>
            </w:r>
          </w:p>
        </w:tc>
        <w:tc>
          <w:tcPr>
            <w:tcW w:w="765" w:type="dxa"/>
            <w:noWrap/>
            <w:hideMark/>
          </w:tcPr>
          <w:p w14:paraId="6EC6469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478F4C4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Etravirine, in combination with other antiretroviral agents is indicated for the treatment of HIV-1 infection in antiretroviral treatment-experienced adults who have evidence of viral replication and resistance to non-nucleoside transcriptase inhibitors and other antiretroviral agents.  This indication is based on 24-week analyses from 2 randomised, double-blind, placebo controlled trials of etravirine. Both studies were conducted in clinically advanced, 3-class antiretroviral (NNRTI, N(t)RTI, PI) treatment-experienced adults. </w:t>
            </w:r>
          </w:p>
          <w:p w14:paraId="5F6DFA7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history of patients and genotypic testing should be performed to guide the use of etravirine.</w:t>
            </w:r>
          </w:p>
        </w:tc>
        <w:tc>
          <w:tcPr>
            <w:tcW w:w="1559" w:type="dxa"/>
            <w:noWrap/>
            <w:hideMark/>
          </w:tcPr>
          <w:p w14:paraId="192E635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Aug-11</w:t>
            </w:r>
          </w:p>
        </w:tc>
      </w:tr>
      <w:tr w:rsidR="003D50DD" w:rsidRPr="00A11E50" w14:paraId="11EA2127" w14:textId="77777777" w:rsidTr="006D4C10">
        <w:trPr>
          <w:trHeight w:val="1497"/>
        </w:trPr>
        <w:tc>
          <w:tcPr>
            <w:tcW w:w="1418" w:type="dxa"/>
            <w:noWrap/>
            <w:hideMark/>
          </w:tcPr>
          <w:p w14:paraId="13DDF76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Fosamprenavir</w:t>
            </w:r>
          </w:p>
        </w:tc>
        <w:tc>
          <w:tcPr>
            <w:tcW w:w="4111" w:type="dxa"/>
            <w:hideMark/>
          </w:tcPr>
          <w:p w14:paraId="45697074" w14:textId="1D608730"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Initial treatment of HIV infection in combination with other antiretroviral agents in a patient with a CD4 count of less than 500 per cubic millimetre or symptomatic HIV disease.</w:t>
            </w:r>
          </w:p>
          <w:p w14:paraId="790BEEE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59D8E8C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716845C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4849074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34A92CE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Combination with low dose ritonavir, is indicated for the treatment of Human Immunodeficiency Virus Type 1 (HIV-1) infected adults, adolescents and children of 6 years and above in combination with other antiretroviral medicinal products.  In antiretroviral experienced adults Fosamprenavir in combination with low dose ritonavir has not been shown to be as effective as lopinavir/ritonavir. No comparative studies have been undertaken in children or adolescents.</w:t>
            </w:r>
          </w:p>
        </w:tc>
        <w:tc>
          <w:tcPr>
            <w:tcW w:w="1559" w:type="dxa"/>
            <w:noWrap/>
            <w:hideMark/>
          </w:tcPr>
          <w:p w14:paraId="592C41E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May-04</w:t>
            </w:r>
          </w:p>
        </w:tc>
      </w:tr>
      <w:tr w:rsidR="003D50DD" w:rsidRPr="00A11E50" w14:paraId="340954EA" w14:textId="77777777" w:rsidTr="006D4C10">
        <w:trPr>
          <w:trHeight w:val="1204"/>
        </w:trPr>
        <w:tc>
          <w:tcPr>
            <w:tcW w:w="1418" w:type="dxa"/>
            <w:noWrap/>
            <w:hideMark/>
          </w:tcPr>
          <w:p w14:paraId="5E0698E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Indinavir</w:t>
            </w:r>
          </w:p>
        </w:tc>
        <w:tc>
          <w:tcPr>
            <w:tcW w:w="4111" w:type="dxa"/>
            <w:hideMark/>
          </w:tcPr>
          <w:p w14:paraId="3E24B78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21A269B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6EBDCAD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hideMark/>
          </w:tcPr>
          <w:p w14:paraId="021ACF7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Not indicated in PI</w:t>
            </w:r>
          </w:p>
        </w:tc>
        <w:tc>
          <w:tcPr>
            <w:tcW w:w="765" w:type="dxa"/>
            <w:noWrap/>
            <w:hideMark/>
          </w:tcPr>
          <w:p w14:paraId="5996587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7CC51E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Indinavir sulfate is indicated for the treatment of adults and paediatric patients with HIV-1 infection.</w:t>
            </w:r>
            <w:r w:rsidRPr="00A11E50">
              <w:rPr>
                <w:rFonts w:ascii="Arial Narrow" w:hAnsi="Arial Narrow" w:cs="Calibri"/>
                <w:color w:val="000000"/>
                <w:sz w:val="20"/>
                <w:lang w:eastAsia="en-AU"/>
              </w:rPr>
              <w:br/>
            </w:r>
          </w:p>
          <w:p w14:paraId="746DF94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Indinavir should be used in combination therapy with other appropriate antiretroviral agents.</w:t>
            </w:r>
          </w:p>
        </w:tc>
        <w:tc>
          <w:tcPr>
            <w:tcW w:w="1559" w:type="dxa"/>
            <w:noWrap/>
            <w:hideMark/>
          </w:tcPr>
          <w:p w14:paraId="3A002E9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May 2005.</w:t>
            </w:r>
          </w:p>
        </w:tc>
      </w:tr>
      <w:tr w:rsidR="003D50DD" w:rsidRPr="00A11E50" w14:paraId="18280B6E" w14:textId="77777777" w:rsidTr="006D4C10">
        <w:tc>
          <w:tcPr>
            <w:tcW w:w="1418" w:type="dxa"/>
            <w:noWrap/>
            <w:hideMark/>
          </w:tcPr>
          <w:p w14:paraId="650B75F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Lamivudine</w:t>
            </w:r>
          </w:p>
        </w:tc>
        <w:tc>
          <w:tcPr>
            <w:tcW w:w="4111" w:type="dxa"/>
            <w:hideMark/>
          </w:tcPr>
          <w:p w14:paraId="03B9603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Chronic hepatitis B in a patient without cirrhosis who satisfies all of the following criteria:</w:t>
            </w:r>
          </w:p>
          <w:p w14:paraId="79AD15DD" w14:textId="77777777" w:rsidR="003D50DD" w:rsidRPr="00A11E50" w:rsidRDefault="003D50DD" w:rsidP="0079641B">
            <w:pPr>
              <w:pStyle w:val="ListParagraph"/>
              <w:numPr>
                <w:ilvl w:val="0"/>
                <w:numId w:val="14"/>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Elevated HBV DNA levels - greater than 20,000 IU/mL (100,000 copies/mL) if HBeAg positive, or greater than 2,000 IU/mL (10,000 copies/mL) if HBeAg negative - in conjunction with documented chronic hepatitis B infection; </w:t>
            </w:r>
          </w:p>
          <w:p w14:paraId="002CB11B" w14:textId="77777777" w:rsidR="003D50DD" w:rsidRPr="00A11E50" w:rsidRDefault="003D50DD" w:rsidP="0079641B">
            <w:pPr>
              <w:pStyle w:val="ListParagraph"/>
              <w:numPr>
                <w:ilvl w:val="0"/>
                <w:numId w:val="14"/>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Evidence of chronic liver injury as determined by:</w:t>
            </w:r>
            <w:r w:rsidRPr="00A11E50">
              <w:rPr>
                <w:rFonts w:ascii="Arial Narrow" w:hAnsi="Arial Narrow" w:cs="Calibri"/>
                <w:color w:val="000000"/>
                <w:sz w:val="20"/>
                <w:lang w:eastAsia="en-AU"/>
              </w:rPr>
              <w:br/>
              <w:t>(a) Confirmed elevated serum ALT; or</w:t>
            </w:r>
            <w:r w:rsidRPr="00A11E50">
              <w:rPr>
                <w:rFonts w:ascii="Arial Narrow" w:hAnsi="Arial Narrow" w:cs="Calibri"/>
                <w:color w:val="000000"/>
                <w:sz w:val="20"/>
                <w:lang w:eastAsia="en-AU"/>
              </w:rPr>
              <w:br/>
              <w:t xml:space="preserve">(b) Liver biopsy </w:t>
            </w:r>
          </w:p>
          <w:p w14:paraId="4D9308F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Chronic hepatitis B in a patient with cirrhosis who has </w:t>
            </w:r>
            <w:r w:rsidRPr="00A11E50">
              <w:rPr>
                <w:rFonts w:ascii="Arial Narrow" w:hAnsi="Arial Narrow" w:cs="Calibri"/>
                <w:color w:val="000000"/>
                <w:sz w:val="20"/>
                <w:lang w:eastAsia="en-AU"/>
              </w:rPr>
              <w:lastRenderedPageBreak/>
              <w:t>detectable HBV DNA.</w:t>
            </w:r>
            <w:r w:rsidRPr="00A11E50">
              <w:rPr>
                <w:rFonts w:ascii="Arial Narrow" w:hAnsi="Arial Narrow" w:cs="Calibri"/>
                <w:color w:val="000000"/>
                <w:sz w:val="20"/>
                <w:lang w:eastAsia="en-AU"/>
              </w:rPr>
              <w:br/>
              <w:t>Persons with Child's class B or C cirrhosis (ascites, variceal bleeding, encephalopathy, albumin less than 30 g per L, bilirubin greater than 30 micromoles per L) should have their treatment discussed with a transplant unit prior to initiating therapy.</w:t>
            </w:r>
          </w:p>
        </w:tc>
        <w:tc>
          <w:tcPr>
            <w:tcW w:w="1275" w:type="dxa"/>
            <w:hideMark/>
          </w:tcPr>
          <w:p w14:paraId="1CCCA3E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noWrap/>
            <w:hideMark/>
          </w:tcPr>
          <w:p w14:paraId="71B7F26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8DA9F4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361D1C1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3TC (lamivudine) in combination with other antiretroviral agents is indicated for the treatment</w:t>
            </w:r>
            <w:r w:rsidRPr="00A11E50">
              <w:rPr>
                <w:rFonts w:ascii="Arial Narrow" w:hAnsi="Arial Narrow" w:cs="Calibri"/>
                <w:color w:val="000000"/>
                <w:sz w:val="20"/>
                <w:lang w:eastAsia="en-AU"/>
              </w:rPr>
              <w:br/>
              <w:t>of HIV infected adults and children.</w:t>
            </w:r>
          </w:p>
        </w:tc>
        <w:tc>
          <w:tcPr>
            <w:tcW w:w="1559" w:type="dxa"/>
            <w:noWrap/>
            <w:hideMark/>
          </w:tcPr>
          <w:p w14:paraId="15CA97A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Dec-03</w:t>
            </w:r>
          </w:p>
        </w:tc>
      </w:tr>
      <w:tr w:rsidR="003D50DD" w:rsidRPr="00A11E50" w14:paraId="265EE54F" w14:textId="77777777" w:rsidTr="006D4C10">
        <w:trPr>
          <w:trHeight w:val="1267"/>
        </w:trPr>
        <w:tc>
          <w:tcPr>
            <w:tcW w:w="1418" w:type="dxa"/>
            <w:noWrap/>
            <w:hideMark/>
          </w:tcPr>
          <w:p w14:paraId="534B2BD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Lopinavir</w:t>
            </w:r>
          </w:p>
        </w:tc>
        <w:tc>
          <w:tcPr>
            <w:tcW w:w="4111" w:type="dxa"/>
            <w:hideMark/>
          </w:tcPr>
          <w:p w14:paraId="05DCB4E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7F1438A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45CDACB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7E66D64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4A37ECD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5E85B5A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Indicated for the treatment of HIV-1 infection, in combination with other antiretroviral agents in adults and children aged 2 years and older.</w:t>
            </w:r>
            <w:r w:rsidRPr="00A11E50">
              <w:rPr>
                <w:rFonts w:ascii="Arial Narrow" w:hAnsi="Arial Narrow" w:cs="Calibri"/>
                <w:color w:val="000000"/>
                <w:sz w:val="20"/>
                <w:lang w:eastAsia="en-AU"/>
              </w:rPr>
              <w:br/>
              <w:t>This indication is based on the analyses of plasma HIV-1 RNA levels and CD4 cell counts from controlled clinical studies (see clinical trials).</w:t>
            </w:r>
          </w:p>
        </w:tc>
        <w:tc>
          <w:tcPr>
            <w:tcW w:w="1559" w:type="dxa"/>
            <w:noWrap/>
            <w:hideMark/>
          </w:tcPr>
          <w:p w14:paraId="4A97387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Nov-12</w:t>
            </w:r>
          </w:p>
        </w:tc>
      </w:tr>
      <w:tr w:rsidR="003D50DD" w:rsidRPr="00A11E50" w14:paraId="5FE9C257" w14:textId="77777777" w:rsidTr="006D4C10">
        <w:trPr>
          <w:trHeight w:val="805"/>
        </w:trPr>
        <w:tc>
          <w:tcPr>
            <w:tcW w:w="1418" w:type="dxa"/>
            <w:noWrap/>
            <w:hideMark/>
          </w:tcPr>
          <w:p w14:paraId="218FCFA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Maraviroc</w:t>
            </w:r>
          </w:p>
        </w:tc>
        <w:tc>
          <w:tcPr>
            <w:tcW w:w="4111" w:type="dxa"/>
            <w:hideMark/>
          </w:tcPr>
          <w:p w14:paraId="251D3BB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in addition to optimised background therapy in combination with other antiretroviral agents, of an antiretroviral experienced patient infected with only CCR5-tropic HIV-1, who, after each of at least three different antiretroviral regimens that have included one drug from at least 3 different antiretroviral classes, has experienced virological failure or clinical failure or genotypic resistance. A tropism assay to determine CCR5 only strain status is required prior to initiation. Individuals with CXCR4 tropism demonstrated at any time point are not eligible. </w:t>
            </w:r>
          </w:p>
          <w:p w14:paraId="6D88A85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Virological failure is defined as a viral load greater than 400 copies per mL on two consecutive occasions, while clinical failure is linked to emerging </w:t>
            </w:r>
            <w:r w:rsidRPr="00A11E50">
              <w:rPr>
                <w:rFonts w:ascii="Arial Narrow" w:hAnsi="Arial Narrow" w:cs="Calibri"/>
                <w:color w:val="000000"/>
                <w:sz w:val="20"/>
                <w:lang w:eastAsia="en-AU"/>
              </w:rPr>
              <w:lastRenderedPageBreak/>
              <w:t>signs and symptoms of progressing HIV infection or treatment-limiting toxicity.</w:t>
            </w:r>
          </w:p>
        </w:tc>
        <w:tc>
          <w:tcPr>
            <w:tcW w:w="1275" w:type="dxa"/>
            <w:hideMark/>
          </w:tcPr>
          <w:p w14:paraId="2EAF92D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noWrap/>
            <w:hideMark/>
          </w:tcPr>
          <w:p w14:paraId="20A0E54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578782F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04B933B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Maraviroc in combination with other antiretroviral medicinal products is indicated for adult patients infected with only CCR5-tropic HIV-1. </w:t>
            </w:r>
          </w:p>
          <w:p w14:paraId="5001234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The use of other active agents with Maraviroc is associated with a greater likelihood of treatment response.</w:t>
            </w:r>
          </w:p>
        </w:tc>
        <w:tc>
          <w:tcPr>
            <w:tcW w:w="1559" w:type="dxa"/>
            <w:noWrap/>
            <w:hideMark/>
          </w:tcPr>
          <w:p w14:paraId="56B459E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Jan-08</w:t>
            </w:r>
          </w:p>
        </w:tc>
      </w:tr>
      <w:tr w:rsidR="003D50DD" w:rsidRPr="00A11E50" w14:paraId="5CAE271D" w14:textId="77777777" w:rsidTr="006D4C10">
        <w:trPr>
          <w:trHeight w:val="1771"/>
        </w:trPr>
        <w:tc>
          <w:tcPr>
            <w:tcW w:w="1418" w:type="dxa"/>
            <w:noWrap/>
            <w:hideMark/>
          </w:tcPr>
          <w:p w14:paraId="25D1722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Nevirapine</w:t>
            </w:r>
          </w:p>
        </w:tc>
        <w:tc>
          <w:tcPr>
            <w:tcW w:w="4111" w:type="dxa"/>
            <w:hideMark/>
          </w:tcPr>
          <w:p w14:paraId="6F140C6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who has been stabilised on nevirapine immediate release with a CD4 count of less than 500 per cubic millimetre or symptomatic HIV disease. </w:t>
            </w:r>
          </w:p>
          <w:p w14:paraId="6F2C3F3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0F8196D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7985888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12D49B7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015DAD1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Nevirapine Alphapharm in combination with antiretroviral agents is indicated for the treatment of HIV-1</w:t>
            </w:r>
            <w:r w:rsidRPr="00A11E50">
              <w:rPr>
                <w:rFonts w:ascii="Arial Narrow" w:hAnsi="Arial Narrow" w:cs="Calibri"/>
                <w:color w:val="000000"/>
                <w:sz w:val="20"/>
                <w:lang w:eastAsia="en-AU"/>
              </w:rPr>
              <w:br/>
              <w:t xml:space="preserve">infection in adults. </w:t>
            </w:r>
          </w:p>
          <w:p w14:paraId="01C69C1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Resistant virus emerges rapidly when nevirapine is administered as monotherapy or in dual combination therapy with an antiretroviral agent. Therefore, nevirapine should always be administered in combination with</w:t>
            </w:r>
            <w:r w:rsidRPr="00A11E50">
              <w:rPr>
                <w:rFonts w:ascii="Arial Narrow" w:hAnsi="Arial Narrow" w:cs="Calibri"/>
                <w:color w:val="000000"/>
                <w:sz w:val="20"/>
                <w:lang w:eastAsia="en-AU"/>
              </w:rPr>
              <w:br/>
              <w:t>at least two additional antiretroviral agents.</w:t>
            </w:r>
          </w:p>
        </w:tc>
        <w:tc>
          <w:tcPr>
            <w:tcW w:w="1559" w:type="dxa"/>
            <w:noWrap/>
            <w:hideMark/>
          </w:tcPr>
          <w:p w14:paraId="3B5F939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Mar-11</w:t>
            </w:r>
          </w:p>
        </w:tc>
      </w:tr>
      <w:tr w:rsidR="003D50DD" w:rsidRPr="00A11E50" w14:paraId="33BC23D6" w14:textId="77777777" w:rsidTr="006D4C10">
        <w:trPr>
          <w:trHeight w:val="663"/>
        </w:trPr>
        <w:tc>
          <w:tcPr>
            <w:tcW w:w="1418" w:type="dxa"/>
            <w:noWrap/>
            <w:hideMark/>
          </w:tcPr>
          <w:p w14:paraId="201F5C8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Raltegravir</w:t>
            </w:r>
          </w:p>
        </w:tc>
        <w:tc>
          <w:tcPr>
            <w:tcW w:w="4111" w:type="dxa"/>
            <w:hideMark/>
          </w:tcPr>
          <w:p w14:paraId="6E2E5EF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03FE307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49959C6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0B9DA8C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A5FDAB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0A55855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Raltegravir in combination with other antiretroviral agents, is indicated for the treatment of human immunodeficiency virus (HIV-1) infection in adults, adolescents and children from the age of 2 years.  This indication is based on analyses of plasma HIV-1 RNA levels in controlled studies of Raltegravir.  The indication in paediatric patients is based on the evaluation of safety, tolerability, pharmacokinetic parameters and efficacy of Raltegravir through at least 24 weeks in a multicentre, open label, non-comparative study in HIV-1 infected, treatment -experienced children and adolescents 2 to 18 years of age.</w:t>
            </w:r>
            <w:r w:rsidRPr="00A11E50">
              <w:rPr>
                <w:rFonts w:ascii="Arial Narrow" w:hAnsi="Arial Narrow" w:cs="Calibri"/>
                <w:color w:val="000000"/>
                <w:sz w:val="20"/>
                <w:lang w:eastAsia="en-AU"/>
              </w:rPr>
              <w:br/>
              <w:t xml:space="preserve">The use of other active antiretroviral agents in combination with Raltegravir is associated with a greater likelihood of treatment response. There are no </w:t>
            </w:r>
            <w:r w:rsidRPr="00A11E50">
              <w:rPr>
                <w:rFonts w:ascii="Arial Narrow" w:hAnsi="Arial Narrow" w:cs="Calibri"/>
                <w:color w:val="000000"/>
                <w:sz w:val="20"/>
                <w:lang w:eastAsia="en-AU"/>
              </w:rPr>
              <w:lastRenderedPageBreak/>
              <w:t>study results demonstrating the effect of Raltegravir on clinical progression of HIV-1 infection.</w:t>
            </w:r>
          </w:p>
        </w:tc>
        <w:tc>
          <w:tcPr>
            <w:tcW w:w="1559" w:type="dxa"/>
            <w:noWrap/>
            <w:hideMark/>
          </w:tcPr>
          <w:p w14:paraId="0DE8B6D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Jan-08</w:t>
            </w:r>
          </w:p>
        </w:tc>
      </w:tr>
      <w:tr w:rsidR="003D50DD" w:rsidRPr="00A11E50" w14:paraId="26831DD4" w14:textId="77777777" w:rsidTr="006D4C10">
        <w:trPr>
          <w:trHeight w:val="1860"/>
        </w:trPr>
        <w:tc>
          <w:tcPr>
            <w:tcW w:w="1418" w:type="dxa"/>
            <w:noWrap/>
            <w:hideMark/>
          </w:tcPr>
          <w:p w14:paraId="53B7A3A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 xml:space="preserve"> Rilpovirine</w:t>
            </w:r>
          </w:p>
        </w:tc>
        <w:tc>
          <w:tcPr>
            <w:tcW w:w="4111" w:type="dxa"/>
            <w:hideMark/>
          </w:tcPr>
          <w:p w14:paraId="470D3DF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620FFF5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1AC3335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hideMark/>
          </w:tcPr>
          <w:p w14:paraId="4D95C48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Prescription Only Medicine</w:t>
            </w:r>
          </w:p>
        </w:tc>
        <w:tc>
          <w:tcPr>
            <w:tcW w:w="765" w:type="dxa"/>
            <w:noWrap/>
            <w:hideMark/>
          </w:tcPr>
          <w:p w14:paraId="05A08DA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B667AF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Rilpivirine in combination with other antiretroviral medicinal products, is indicated for the treatment of human immunodeficiency virus type 1 (HIV-1) infection in antiretroviral treatment-naive adult patients with viral load 100,000 copies/ml at baseline.</w:t>
            </w:r>
          </w:p>
          <w:p w14:paraId="2587F38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This indication is based on Week 48 safety and efficacy analyses from 2 randomised double-blind, controlled Phase III trials in treatment-naive adult patients and on Week 96 safety and efficacy analyses from the Phase IIb trial TMC278-C204 in treatment-naive adult patients.</w:t>
            </w:r>
          </w:p>
        </w:tc>
        <w:tc>
          <w:tcPr>
            <w:tcW w:w="1559" w:type="dxa"/>
            <w:noWrap/>
            <w:hideMark/>
          </w:tcPr>
          <w:p w14:paraId="6B974D7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Dec-11</w:t>
            </w:r>
          </w:p>
        </w:tc>
      </w:tr>
      <w:tr w:rsidR="003D50DD" w:rsidRPr="00A11E50" w14:paraId="321937EE" w14:textId="77777777" w:rsidTr="006D4C10">
        <w:trPr>
          <w:trHeight w:val="489"/>
        </w:trPr>
        <w:tc>
          <w:tcPr>
            <w:tcW w:w="1418" w:type="dxa"/>
            <w:noWrap/>
            <w:hideMark/>
          </w:tcPr>
          <w:p w14:paraId="0F1C1AF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Ritonavir</w:t>
            </w:r>
          </w:p>
        </w:tc>
        <w:tc>
          <w:tcPr>
            <w:tcW w:w="4111" w:type="dxa"/>
            <w:hideMark/>
          </w:tcPr>
          <w:p w14:paraId="4443647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687261A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0718380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4729420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14D6BAD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0CCAC21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Ritonavir is indicated for use in combination with appropriate antiretroviral agents or as monotherapy if combination therapy is inappropriate, for the treatment of HIV-1 infection in adults and children aged 12 years and older.  </w:t>
            </w:r>
            <w:r w:rsidRPr="00A11E50">
              <w:rPr>
                <w:rFonts w:ascii="Arial Narrow" w:hAnsi="Arial Narrow" w:cs="Calibri"/>
                <w:color w:val="000000"/>
                <w:sz w:val="20"/>
                <w:lang w:eastAsia="en-AU"/>
              </w:rPr>
              <w:br/>
              <w:t>For persons with advanced HIV disease, the indication for ritonavir is based on the results for one study that showed a reduction in both mortality and AIDS defining clinical events for patients who received ritonavir. Median duration of follow-up in this study was 6 months. The clinical benefit from ritonavir for longer periods of treatment is unknown. For persons with less advanced disease, the indication is based on changes in surrogate markers in controlled trials of up to 16 weeks duration.</w:t>
            </w:r>
          </w:p>
        </w:tc>
        <w:tc>
          <w:tcPr>
            <w:tcW w:w="1559" w:type="dxa"/>
            <w:noWrap/>
            <w:hideMark/>
          </w:tcPr>
          <w:p w14:paraId="5983D89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Feb-10</w:t>
            </w:r>
          </w:p>
        </w:tc>
      </w:tr>
      <w:tr w:rsidR="003D50DD" w:rsidRPr="00A11E50" w14:paraId="76E2A3DE" w14:textId="77777777" w:rsidTr="006D4C10">
        <w:trPr>
          <w:trHeight w:val="1550"/>
        </w:trPr>
        <w:tc>
          <w:tcPr>
            <w:tcW w:w="1418" w:type="dxa"/>
            <w:noWrap/>
            <w:hideMark/>
          </w:tcPr>
          <w:p w14:paraId="0C8370D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Saquinavir</w:t>
            </w:r>
          </w:p>
        </w:tc>
        <w:tc>
          <w:tcPr>
            <w:tcW w:w="4111" w:type="dxa"/>
            <w:hideMark/>
          </w:tcPr>
          <w:p w14:paraId="298CB79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166C847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5C2168F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08C4D95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2D2EA5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07528F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Saquinavir is indicated for the treatment of HIV/AIDS in adults and children 12 years of age and older. Clinical studies indicate that saquinavir should be used only in combination with ritonavir and other antiretroviral therapies. </w:t>
            </w:r>
            <w:r w:rsidRPr="00A11E50">
              <w:rPr>
                <w:rFonts w:ascii="Arial Narrow" w:hAnsi="Arial Narrow" w:cs="Calibri"/>
                <w:b/>
                <w:bCs/>
                <w:color w:val="000000"/>
                <w:sz w:val="20"/>
                <w:lang w:eastAsia="en-AU"/>
              </w:rPr>
              <w:t>This indication is based on changes in surrogate markers. At present there are no results from controlled clinical trials evaluating the effect of regimens containing saquinavir on HIV disease progression or survival</w:t>
            </w:r>
            <w:r w:rsidRPr="00A11E50">
              <w:rPr>
                <w:rFonts w:ascii="Arial Narrow" w:hAnsi="Arial Narrow" w:cs="Calibri"/>
                <w:color w:val="000000"/>
                <w:sz w:val="20"/>
                <w:lang w:eastAsia="en-AU"/>
              </w:rPr>
              <w:t xml:space="preserve">.  </w:t>
            </w:r>
          </w:p>
        </w:tc>
        <w:tc>
          <w:tcPr>
            <w:tcW w:w="1559" w:type="dxa"/>
            <w:noWrap/>
            <w:hideMark/>
          </w:tcPr>
          <w:p w14:paraId="59B1039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Jul-06</w:t>
            </w:r>
          </w:p>
        </w:tc>
      </w:tr>
      <w:tr w:rsidR="003D50DD" w:rsidRPr="00A11E50" w14:paraId="75116A87" w14:textId="77777777" w:rsidTr="006D4C10">
        <w:trPr>
          <w:trHeight w:val="1119"/>
        </w:trPr>
        <w:tc>
          <w:tcPr>
            <w:tcW w:w="1418" w:type="dxa"/>
            <w:noWrap/>
            <w:hideMark/>
          </w:tcPr>
          <w:p w14:paraId="6FB585D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Stavudine</w:t>
            </w:r>
          </w:p>
        </w:tc>
        <w:tc>
          <w:tcPr>
            <w:tcW w:w="4111" w:type="dxa"/>
            <w:hideMark/>
          </w:tcPr>
          <w:p w14:paraId="21DB7AA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7BFDC09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50D181B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10696FC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7F2885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6E64C03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Stavudine is indicated for the treatment of HIV infection in adults and paediatric patients, in combination with other anti-retrovirals.</w:t>
            </w:r>
          </w:p>
        </w:tc>
        <w:tc>
          <w:tcPr>
            <w:tcW w:w="1559" w:type="dxa"/>
            <w:noWrap/>
            <w:hideMark/>
          </w:tcPr>
          <w:p w14:paraId="2A2F566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Apr-04</w:t>
            </w:r>
          </w:p>
        </w:tc>
      </w:tr>
      <w:tr w:rsidR="003D50DD" w:rsidRPr="00A11E50" w14:paraId="567EC0B8" w14:textId="77777777" w:rsidTr="006D4C10">
        <w:trPr>
          <w:trHeight w:val="1765"/>
        </w:trPr>
        <w:tc>
          <w:tcPr>
            <w:tcW w:w="1418" w:type="dxa"/>
            <w:noWrap/>
            <w:hideMark/>
          </w:tcPr>
          <w:p w14:paraId="3830AC1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Tenofovir</w:t>
            </w:r>
          </w:p>
        </w:tc>
        <w:tc>
          <w:tcPr>
            <w:tcW w:w="4111" w:type="dxa"/>
            <w:hideMark/>
          </w:tcPr>
          <w:p w14:paraId="3E46A953" w14:textId="24B68CEE"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Initial treatment of HIV infection in combination with other antiretroviral agents in a patient with a CD4 count of less than 500 per cubic millimetre or symptomatic HIV disease.  Continuing treatment of HIV infection in combination with other antiretroviral agents where the patient has previously received PBS-subsidised therapy for HIV infection.</w:t>
            </w:r>
          </w:p>
          <w:p w14:paraId="37DAAD1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Chronic hepatitis B in a patient with cirrhosis who has failed antihepadnaviral therapy and who has detectable HBV DNA.</w:t>
            </w:r>
            <w:r w:rsidRPr="00A11E50">
              <w:rPr>
                <w:rFonts w:ascii="Arial Narrow" w:hAnsi="Arial Narrow" w:cs="Calibri"/>
                <w:color w:val="000000"/>
                <w:sz w:val="20"/>
                <w:lang w:eastAsia="en-AU"/>
              </w:rPr>
              <w:br/>
              <w:t xml:space="preserve">Persons with Child's class B or C cirrhosis (ascites, variceal bleeding, encephalopathy, albumin less than </w:t>
            </w:r>
            <w:r w:rsidRPr="00A11E50">
              <w:rPr>
                <w:rFonts w:ascii="Arial Narrow" w:hAnsi="Arial Narrow" w:cs="Calibri"/>
                <w:color w:val="000000"/>
                <w:sz w:val="20"/>
                <w:lang w:eastAsia="en-AU"/>
              </w:rPr>
              <w:lastRenderedPageBreak/>
              <w:t xml:space="preserve">30 g per L, bilirubin greater than 30 micromoles per L) should have their treatment discussed with a transplant unit prior to initiating therapy. </w:t>
            </w:r>
          </w:p>
          <w:p w14:paraId="5B303B2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as sole PBS-subsidised therapy, in a patient with chronic hepatitis B without cirrhosis who is nucleoside analogue naive and satisfies all of the following criteria: </w:t>
            </w:r>
          </w:p>
          <w:p w14:paraId="645B2109" w14:textId="77777777" w:rsidR="003D50DD" w:rsidRPr="00A11E50" w:rsidRDefault="003D50DD" w:rsidP="0079641B">
            <w:pPr>
              <w:pStyle w:val="ListParagraph"/>
              <w:numPr>
                <w:ilvl w:val="0"/>
                <w:numId w:val="15"/>
              </w:num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Elevated HBV DNA levels - greater than 20,000 IU/mL (100,000 copies/mL) if HBeAg positive, or greater than 2,000 IU/mL (10,000 copies/mL) if HBeAg negative - in conjunction with documented hepatitis B infection; </w:t>
            </w:r>
          </w:p>
          <w:p w14:paraId="170F417F" w14:textId="77777777" w:rsidR="003D50DD" w:rsidRPr="00A11E50" w:rsidRDefault="003D50DD" w:rsidP="0079641B">
            <w:pPr>
              <w:pStyle w:val="ListParagraph"/>
              <w:numPr>
                <w:ilvl w:val="0"/>
                <w:numId w:val="15"/>
              </w:num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 Evidence of chronic liver injury as determined by: </w:t>
            </w:r>
          </w:p>
          <w:p w14:paraId="3F5055D7" w14:textId="77777777" w:rsidR="003D50DD" w:rsidRPr="00A11E50" w:rsidRDefault="003D50DD" w:rsidP="00D270B7">
            <w:pPr>
              <w:pStyle w:val="ListParagraph"/>
              <w:spacing w:before="60" w:after="60" w:line="240" w:lineRule="auto"/>
              <w:ind w:left="360"/>
              <w:rPr>
                <w:rFonts w:ascii="Arial Narrow" w:hAnsi="Arial Narrow" w:cs="Calibri"/>
                <w:color w:val="000000"/>
                <w:sz w:val="20"/>
                <w:lang w:eastAsia="en-AU"/>
              </w:rPr>
            </w:pPr>
            <w:r w:rsidRPr="00A11E50">
              <w:rPr>
                <w:rFonts w:ascii="Arial Narrow" w:hAnsi="Arial Narrow" w:cs="Calibri"/>
                <w:color w:val="000000"/>
                <w:sz w:val="20"/>
                <w:lang w:eastAsia="en-AU"/>
              </w:rPr>
              <w:t>(a) Confirmed elevated serum ALT; or</w:t>
            </w:r>
            <w:r w:rsidRPr="00A11E50">
              <w:rPr>
                <w:rFonts w:ascii="Arial Narrow" w:hAnsi="Arial Narrow" w:cs="Calibri"/>
                <w:color w:val="000000"/>
                <w:sz w:val="20"/>
                <w:lang w:eastAsia="en-AU"/>
              </w:rPr>
              <w:br/>
              <w:t xml:space="preserve">(b) Liver biopsy </w:t>
            </w:r>
          </w:p>
          <w:p w14:paraId="07F9F57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Chronic hepatitis B in a patient without cirrhosis who has failed antihepadnaviral therapy and who satisfies all of the following criteria: </w:t>
            </w:r>
          </w:p>
          <w:p w14:paraId="1B4BBB31" w14:textId="77777777" w:rsidR="003D50DD" w:rsidRPr="00A11E50" w:rsidRDefault="003D50DD" w:rsidP="00D270B7">
            <w:pPr>
              <w:pStyle w:val="ListParagraph"/>
              <w:spacing w:before="60" w:after="60" w:line="240" w:lineRule="auto"/>
              <w:ind w:left="360"/>
              <w:rPr>
                <w:rFonts w:ascii="Arial Narrow" w:hAnsi="Arial Narrow" w:cs="Calibri"/>
                <w:color w:val="000000"/>
                <w:sz w:val="20"/>
                <w:lang w:eastAsia="en-AU"/>
              </w:rPr>
            </w:pPr>
            <w:r w:rsidRPr="00A11E50">
              <w:rPr>
                <w:rFonts w:ascii="Arial Narrow" w:hAnsi="Arial Narrow" w:cs="Calibri"/>
                <w:color w:val="000000"/>
                <w:sz w:val="20"/>
                <w:lang w:eastAsia="en-AU"/>
              </w:rPr>
              <w:t xml:space="preserve">(a) Repeatedly elevated serum ALT levels while on concurrent antihepadnaviral therapy of greater than or equal to 6 months duration in conjunction with documented chronic hepatitis B infection; or </w:t>
            </w:r>
            <w:r w:rsidRPr="00A11E50">
              <w:rPr>
                <w:rFonts w:ascii="Arial Narrow" w:hAnsi="Arial Narrow" w:cs="Calibri"/>
                <w:color w:val="000000"/>
                <w:sz w:val="20"/>
                <w:lang w:eastAsia="en-AU"/>
              </w:rPr>
              <w:br/>
              <w:t>(b) Repeatedly elevated HBV DNA levels one log greater than the nadir value or failure to achieve a 1 log reduction in HBV DNA within 3 months, whilst on previous antihepadnaviral therapy except in patients with evidence of poor compliance.</w:t>
            </w:r>
          </w:p>
        </w:tc>
        <w:tc>
          <w:tcPr>
            <w:tcW w:w="1275" w:type="dxa"/>
            <w:hideMark/>
          </w:tcPr>
          <w:p w14:paraId="4359072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w:t>
            </w:r>
          </w:p>
        </w:tc>
        <w:tc>
          <w:tcPr>
            <w:tcW w:w="1134" w:type="dxa"/>
            <w:noWrap/>
            <w:hideMark/>
          </w:tcPr>
          <w:p w14:paraId="4974B13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1CBF9ED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E3C79D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Tenofoviris indicated for the treatment of HIV infected adults over the age of 18 years, in combination with other antiretroviral agents. This indication is based on analyses of plasma HIV-1 RNA levels and CD4 cell counts in controlled studies of VIREAD and EMTRIVA in treatment-naïve and treatment-experienced adults.</w:t>
            </w:r>
          </w:p>
        </w:tc>
        <w:tc>
          <w:tcPr>
            <w:tcW w:w="1559" w:type="dxa"/>
            <w:noWrap/>
            <w:hideMark/>
          </w:tcPr>
          <w:p w14:paraId="711BE72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Aug-02</w:t>
            </w:r>
          </w:p>
        </w:tc>
      </w:tr>
      <w:tr w:rsidR="003D50DD" w:rsidRPr="00A11E50" w14:paraId="54AE89BB" w14:textId="77777777" w:rsidTr="006D4C10">
        <w:tc>
          <w:tcPr>
            <w:tcW w:w="1418" w:type="dxa"/>
            <w:noWrap/>
            <w:hideMark/>
          </w:tcPr>
          <w:p w14:paraId="57B423B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Tipranavir</w:t>
            </w:r>
          </w:p>
        </w:tc>
        <w:tc>
          <w:tcPr>
            <w:tcW w:w="4111" w:type="dxa"/>
            <w:hideMark/>
          </w:tcPr>
          <w:p w14:paraId="34CA16C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HIV infection, in addition to optimised background therapy in combination with other antiretroviral agents, and co-administered with 200 mg ritonavir twice daily in an antiretroviral experienced patient who, after each of at least three different antiretroviral regimens that have included one drug from at least 3 different antiretroviral classes, has experienced virological failure or clinical failure or genotypic resistance. </w:t>
            </w:r>
            <w:r w:rsidRPr="00A11E50">
              <w:rPr>
                <w:rFonts w:ascii="Arial Narrow" w:hAnsi="Arial Narrow" w:cs="Calibri"/>
                <w:color w:val="000000"/>
                <w:sz w:val="20"/>
                <w:lang w:eastAsia="en-AU"/>
              </w:rPr>
              <w:br/>
            </w:r>
            <w:r w:rsidRPr="00A11E50">
              <w:rPr>
                <w:rFonts w:ascii="Arial Narrow" w:hAnsi="Arial Narrow" w:cs="Calibri"/>
                <w:color w:val="000000"/>
                <w:sz w:val="20"/>
                <w:lang w:eastAsia="en-AU"/>
              </w:rPr>
              <w:br/>
              <w:t xml:space="preserve">Virological failure is defined as a viral load greater than 400 copies per mL on two consecutive occasions, while clinical failure is linked to emerging signs and symptoms of progressing HIV infection or treatment-limiting toxicity </w:t>
            </w:r>
          </w:p>
        </w:tc>
        <w:tc>
          <w:tcPr>
            <w:tcW w:w="1275" w:type="dxa"/>
            <w:hideMark/>
          </w:tcPr>
          <w:p w14:paraId="47D8326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c>
          <w:tcPr>
            <w:tcW w:w="1134" w:type="dxa"/>
            <w:hideMark/>
          </w:tcPr>
          <w:p w14:paraId="4C123AB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c>
          <w:tcPr>
            <w:tcW w:w="765" w:type="dxa"/>
            <w:hideMark/>
          </w:tcPr>
          <w:p w14:paraId="72623E4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c>
          <w:tcPr>
            <w:tcW w:w="4192" w:type="dxa"/>
            <w:hideMark/>
          </w:tcPr>
          <w:p w14:paraId="3DFC7A3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Tipranavir, co-administered with low dose ritonavir, is indicated for combination treatment of HIV infection in antiretroviral treatment experienced patients from 2 years of age, with evidence of viral replication, who have HIV-1 strains resistant to more than one protease inhibitor.</w:t>
            </w:r>
            <w:r w:rsidRPr="00A11E50">
              <w:rPr>
                <w:rFonts w:ascii="Arial Narrow" w:hAnsi="Arial Narrow" w:cs="Calibri"/>
                <w:color w:val="000000"/>
                <w:sz w:val="20"/>
                <w:lang w:eastAsia="en-AU"/>
              </w:rPr>
              <w:br/>
              <w:t>In deciding to initiate therapy withTipranavir,/ritonavir,  careful consideration should be given to treatment history of the individual patient and the patterns of mutations associated with different agents. Genotypic testing should be performed to guide the use of Tipranavir. There are insufficient data in paediatric patients less than 2 years of age and treatment of these children with Tipranavir, is therefore not recommended.</w:t>
            </w:r>
          </w:p>
        </w:tc>
        <w:tc>
          <w:tcPr>
            <w:tcW w:w="1559" w:type="dxa"/>
            <w:hideMark/>
          </w:tcPr>
          <w:p w14:paraId="19EA82F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r>
      <w:tr w:rsidR="003D50DD" w:rsidRPr="00A11E50" w14:paraId="0812872B" w14:textId="77777777" w:rsidTr="006D4C10">
        <w:trPr>
          <w:trHeight w:val="1125"/>
        </w:trPr>
        <w:tc>
          <w:tcPr>
            <w:tcW w:w="1418" w:type="dxa"/>
            <w:noWrap/>
            <w:hideMark/>
          </w:tcPr>
          <w:p w14:paraId="46E6A28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Zidovudine</w:t>
            </w:r>
          </w:p>
        </w:tc>
        <w:tc>
          <w:tcPr>
            <w:tcW w:w="4111" w:type="dxa"/>
            <w:hideMark/>
          </w:tcPr>
          <w:p w14:paraId="18F5D57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Initial treatment of HIV infection in combination with other antiretroviral agents in a patient with a CD4 count of less than 500 per cubic millimetre or symptomatic HIV disease.  </w:t>
            </w:r>
          </w:p>
          <w:p w14:paraId="2A0BB19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Continuing treatment of HIV infection in combination with other antiretroviral agents where the patient has previously received PBS-subsidised therapy for HIV infection.</w:t>
            </w:r>
          </w:p>
        </w:tc>
        <w:tc>
          <w:tcPr>
            <w:tcW w:w="1275" w:type="dxa"/>
            <w:hideMark/>
          </w:tcPr>
          <w:p w14:paraId="1DA9BD6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13D3414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2A7C111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4A97AF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Zidovudine is indicated for use in the treatment of HIV infection, alone and in combination with other antiretroviral therapies. The optimal dosage for this indication has not been established.</w:t>
            </w:r>
          </w:p>
        </w:tc>
        <w:tc>
          <w:tcPr>
            <w:tcW w:w="1559" w:type="dxa"/>
            <w:noWrap/>
            <w:hideMark/>
          </w:tcPr>
          <w:p w14:paraId="24DE87F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Aug-91</w:t>
            </w:r>
          </w:p>
        </w:tc>
      </w:tr>
      <w:tr w:rsidR="003D50DD" w:rsidRPr="00A11E50" w14:paraId="044DE080" w14:textId="77777777" w:rsidTr="006D4C10">
        <w:trPr>
          <w:trHeight w:val="490"/>
        </w:trPr>
        <w:tc>
          <w:tcPr>
            <w:tcW w:w="1418" w:type="dxa"/>
            <w:hideMark/>
          </w:tcPr>
          <w:p w14:paraId="49D822D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Ribavirin And Peginterferon Alfa-2a</w:t>
            </w:r>
          </w:p>
        </w:tc>
        <w:tc>
          <w:tcPr>
            <w:tcW w:w="4111" w:type="dxa"/>
            <w:hideMark/>
          </w:tcPr>
          <w:p w14:paraId="03BD37A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Patients naive to interferon based therapies (non-pegylated or pegylated)</w:t>
            </w:r>
            <w:r w:rsidRPr="00A11E50">
              <w:rPr>
                <w:rFonts w:ascii="Arial Narrow" w:hAnsi="Arial Narrow" w:cs="Calibri"/>
                <w:color w:val="000000"/>
                <w:sz w:val="20"/>
                <w:lang w:eastAsia="en-AU"/>
              </w:rPr>
              <w:br/>
              <w:t xml:space="preserve">Treatment, managed by an accredited treatment centre, of chronic hepatitis C in patients 18 years or older who have compensated liver disease and who have received no prior interferon alfa or peginterferon </w:t>
            </w:r>
            <w:r w:rsidRPr="00A11E50">
              <w:rPr>
                <w:rFonts w:ascii="Arial Narrow" w:hAnsi="Arial Narrow" w:cs="Calibri"/>
                <w:color w:val="000000"/>
                <w:sz w:val="20"/>
                <w:lang w:eastAsia="en-AU"/>
              </w:rPr>
              <w:lastRenderedPageBreak/>
              <w:t xml:space="preserve">alfa treatment for hepatitis C and who satisfy all of the following criteria: </w:t>
            </w:r>
          </w:p>
          <w:p w14:paraId="0D0C8EDC" w14:textId="77777777" w:rsidR="003D50DD" w:rsidRPr="00A11E50" w:rsidRDefault="003D50DD" w:rsidP="0079641B">
            <w:pPr>
              <w:pStyle w:val="ListParagraph"/>
              <w:numPr>
                <w:ilvl w:val="0"/>
                <w:numId w:val="16"/>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Documented chronic hepatitis C infection (repeatedly anti-HCV positive and HCV RNA positive); </w:t>
            </w:r>
          </w:p>
          <w:p w14:paraId="35D14033" w14:textId="77777777" w:rsidR="003D50DD" w:rsidRPr="00A11E50" w:rsidRDefault="003D50DD" w:rsidP="0079641B">
            <w:pPr>
              <w:pStyle w:val="ListParagraph"/>
              <w:numPr>
                <w:ilvl w:val="0"/>
                <w:numId w:val="16"/>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Female patients of child-bearing age are not pregnant, not breast-feeding, and both patient and their partner are using effective forms of contraception (one for each partner). Male patients and their partners are using effective forms of contraception (one for each partner). Female partners of male patients are not pregnant. </w:t>
            </w:r>
          </w:p>
          <w:p w14:paraId="3798B9C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For patients with genotype 2 or 3 hepatitis C without hepatic cirrhosis or bridging fibrosis, the treatment course is limited to 24 weeks. For hepatitis C patients with genotype 1, 4, 5 or 6 and those genotype 2 or 3 patients with hepatic cirrhosis or bridging fibrosis, the treatment course is limited to 48 weeks. </w:t>
            </w:r>
          </w:p>
          <w:p w14:paraId="791C95B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Patients with genotype 1, 4, 5 or 6 who are eligible for 48 weeks of treatment may only continue treatment after the first 12 weeks if the result of an HCV RNA quantitative assay (performed at the same laboratory using the same test) shows that the plasma HCV RNA has become undetectable or the viral load has decreased by at least a 2 log drop. (An HCV RNA assay at week 12 is unnecessary for genotype 2 and 3 patients because of the high likelihood of early viral response by week 12). </w:t>
            </w:r>
          </w:p>
          <w:p w14:paraId="58A82F59" w14:textId="77777777" w:rsidR="003D50DD"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Patients with genotype 1, 4, 5 or 6 who are viral </w:t>
            </w:r>
            <w:r w:rsidRPr="00A11E50">
              <w:rPr>
                <w:rFonts w:ascii="Arial Narrow" w:hAnsi="Arial Narrow" w:cs="Calibri"/>
                <w:color w:val="000000"/>
                <w:sz w:val="20"/>
                <w:lang w:eastAsia="en-AU"/>
              </w:rPr>
              <w:lastRenderedPageBreak/>
              <w:t>positive at week 12 but have attained at least a 2 log drop in viral load may only continue treatment after the first 24 weeks of treatment if plasma HCV RNA is not detectable by an HCV RNA qualitative assay at week 24. Similarly, genotype 2 or 3 patients with hepatic cirrhosis or bridging fibrosis may only continue treatment after the first 24 weeks if plasma HCV RNA is not detectable by an HCV RNA qualitative assay at week 24. An HCV RNA qualitative assay at week 24 is unnecessary for those patients with genotype 1, 4, 5 or 6 who became viral negative at week 12.</w:t>
            </w:r>
          </w:p>
          <w:p w14:paraId="472D471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Patients who have failed one prior attempt at interferon based therapies (non-pegylated or pegylated).</w:t>
            </w:r>
          </w:p>
          <w:p w14:paraId="2F0C39E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managed by an accredited treatment centre, of chronic hepatitis C in patients 18 years or older who have compensated liver disease and who have received no more than one prior treatment with interferon alfa or peginterferon alfa for hepatitis C and who satisfy all of the following criteria:</w:t>
            </w:r>
          </w:p>
          <w:p w14:paraId="031748BD" w14:textId="77777777" w:rsidR="003D50DD" w:rsidRPr="00A11E50" w:rsidRDefault="003D50DD" w:rsidP="0079641B">
            <w:pPr>
              <w:pStyle w:val="ListParagraph"/>
              <w:numPr>
                <w:ilvl w:val="0"/>
                <w:numId w:val="17"/>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Documented chronic hepatitis C infection (repeatedly anti-HCV positive and HCV RNA positive); </w:t>
            </w:r>
          </w:p>
          <w:p w14:paraId="2F4E3601" w14:textId="77777777" w:rsidR="003D50DD" w:rsidRPr="00A11E50" w:rsidRDefault="003D50DD" w:rsidP="0079641B">
            <w:pPr>
              <w:pStyle w:val="ListParagraph"/>
              <w:numPr>
                <w:ilvl w:val="0"/>
                <w:numId w:val="17"/>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Female patients of child-bearing age are not pregnant, not breast-feeding, and both patient and their partner are using effective forms of contraception (one for each partner). Male patients and their partners are using effective forms of contraception (one for each partner). </w:t>
            </w:r>
            <w:r w:rsidRPr="00A11E50">
              <w:rPr>
                <w:rFonts w:ascii="Arial Narrow" w:hAnsi="Arial Narrow" w:cs="Calibri"/>
                <w:color w:val="000000"/>
                <w:sz w:val="20"/>
                <w:lang w:eastAsia="en-AU"/>
              </w:rPr>
              <w:lastRenderedPageBreak/>
              <w:t xml:space="preserve">Female partners of male patients are not pregnant. </w:t>
            </w:r>
          </w:p>
          <w:p w14:paraId="667A98C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The treatment course is limited to 48 weeks. Patients may only continue treatment after the first 12 weeks of treatment if plasma HCV RNA is not detectable by an HCV RNA qualitative assay at week 12.</w:t>
            </w:r>
          </w:p>
        </w:tc>
        <w:tc>
          <w:tcPr>
            <w:tcW w:w="1275" w:type="dxa"/>
            <w:hideMark/>
          </w:tcPr>
          <w:p w14:paraId="084522E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hideMark/>
          </w:tcPr>
          <w:p w14:paraId="5F57D7D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 PI available</w:t>
            </w:r>
          </w:p>
        </w:tc>
        <w:tc>
          <w:tcPr>
            <w:tcW w:w="765" w:type="dxa"/>
            <w:noWrap/>
            <w:hideMark/>
          </w:tcPr>
          <w:p w14:paraId="4801607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7DDFED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No PI available</w:t>
            </w:r>
          </w:p>
        </w:tc>
        <w:tc>
          <w:tcPr>
            <w:tcW w:w="1559" w:type="dxa"/>
            <w:hideMark/>
          </w:tcPr>
          <w:p w14:paraId="1A86102A" w14:textId="77777777" w:rsidR="003D50DD" w:rsidRDefault="003D50DD" w:rsidP="00D270B7">
            <w:pPr>
              <w:spacing w:before="60" w:after="6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May-03</w:t>
            </w:r>
          </w:p>
          <w:p w14:paraId="2426EC8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r>
      <w:tr w:rsidR="003D50DD" w:rsidRPr="00A11E50" w14:paraId="06799022" w14:textId="77777777" w:rsidTr="006D4C10">
        <w:trPr>
          <w:trHeight w:val="521"/>
        </w:trPr>
        <w:tc>
          <w:tcPr>
            <w:tcW w:w="1418" w:type="dxa"/>
            <w:noWrap/>
            <w:hideMark/>
          </w:tcPr>
          <w:p w14:paraId="3AAA4AF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 </w:t>
            </w:r>
          </w:p>
        </w:tc>
        <w:tc>
          <w:tcPr>
            <w:tcW w:w="4111" w:type="dxa"/>
            <w:hideMark/>
          </w:tcPr>
          <w:p w14:paraId="320AD5F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Patients who have failed one prior attempt at interferon based therapies (non-pegylated or pegylated).</w:t>
            </w:r>
          </w:p>
          <w:p w14:paraId="64BF8F0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managed by an accredited treatment centre, of chronic hepatitis C in patients 18 years or older who have compensated liver disease and who have received no more than one prior treatment with interferon alfa or peginterferon alfa for hepatitis C and who satisfy all of the following criteria:</w:t>
            </w:r>
          </w:p>
          <w:p w14:paraId="23DF6DD1" w14:textId="77777777" w:rsidR="003D50DD" w:rsidRPr="00A11E50" w:rsidRDefault="003D50DD" w:rsidP="0079641B">
            <w:pPr>
              <w:pStyle w:val="ListParagraph"/>
              <w:numPr>
                <w:ilvl w:val="0"/>
                <w:numId w:val="30"/>
              </w:numPr>
              <w:spacing w:before="60" w:after="60" w:line="240" w:lineRule="auto"/>
              <w:ind w:left="317"/>
              <w:rPr>
                <w:rFonts w:ascii="Arial Narrow" w:hAnsi="Arial Narrow" w:cs="Calibri"/>
                <w:color w:val="000000"/>
                <w:sz w:val="20"/>
                <w:lang w:eastAsia="en-AU"/>
              </w:rPr>
            </w:pPr>
            <w:r w:rsidRPr="00A11E50">
              <w:rPr>
                <w:rFonts w:ascii="Arial Narrow" w:hAnsi="Arial Narrow" w:cs="Calibri"/>
                <w:color w:val="000000"/>
                <w:sz w:val="20"/>
                <w:lang w:eastAsia="en-AU"/>
              </w:rPr>
              <w:t xml:space="preserve">Documented chronic hepatitis C infection (repeatedly anti-HCV positive and HCV RNA positive); </w:t>
            </w:r>
          </w:p>
          <w:p w14:paraId="4D84B614" w14:textId="77777777" w:rsidR="003D50DD" w:rsidRPr="00A11E50" w:rsidRDefault="003D50DD" w:rsidP="0079641B">
            <w:pPr>
              <w:pStyle w:val="ListParagraph"/>
              <w:numPr>
                <w:ilvl w:val="0"/>
                <w:numId w:val="30"/>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Female patients of child-bearing age are not pregnant, not breast-feeding, and both patient and their partner are using effective forms of contraception (one for each partner). Male patients and their partners are using effective forms of contraception (one for each partner). Female partners of male patients are not pregnant. </w:t>
            </w:r>
          </w:p>
          <w:p w14:paraId="7749FE38"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 xml:space="preserve">The treatment course is limited to 48 weeks. Patients may only continue treatment after the first 12 weeks of treatment if plasma HCV RNA is not detectable by an </w:t>
            </w:r>
            <w:r w:rsidRPr="00A11E50">
              <w:rPr>
                <w:rFonts w:ascii="Arial Narrow" w:hAnsi="Arial Narrow" w:cs="Calibri"/>
                <w:color w:val="000000"/>
                <w:sz w:val="20"/>
                <w:lang w:eastAsia="en-AU"/>
              </w:rPr>
              <w:lastRenderedPageBreak/>
              <w:t>HCV RNA qualitative assay at week 12.</w:t>
            </w:r>
          </w:p>
        </w:tc>
        <w:tc>
          <w:tcPr>
            <w:tcW w:w="1275" w:type="dxa"/>
            <w:hideMark/>
          </w:tcPr>
          <w:p w14:paraId="6CAAAC3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c>
          <w:tcPr>
            <w:tcW w:w="1134" w:type="dxa"/>
            <w:hideMark/>
          </w:tcPr>
          <w:p w14:paraId="6A9CCBC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c>
          <w:tcPr>
            <w:tcW w:w="765" w:type="dxa"/>
            <w:noWrap/>
            <w:hideMark/>
          </w:tcPr>
          <w:p w14:paraId="1C41CA5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c>
          <w:tcPr>
            <w:tcW w:w="4192" w:type="dxa"/>
            <w:hideMark/>
          </w:tcPr>
          <w:p w14:paraId="22FC1E8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w:t>
            </w:r>
          </w:p>
        </w:tc>
        <w:tc>
          <w:tcPr>
            <w:tcW w:w="1559" w:type="dxa"/>
            <w:hideMark/>
          </w:tcPr>
          <w:p w14:paraId="3D2D1B3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p>
        </w:tc>
      </w:tr>
      <w:tr w:rsidR="003D50DD" w:rsidRPr="00A11E50" w14:paraId="3F4B15A5" w14:textId="77777777" w:rsidTr="006D4C10">
        <w:trPr>
          <w:trHeight w:val="930"/>
        </w:trPr>
        <w:tc>
          <w:tcPr>
            <w:tcW w:w="1418" w:type="dxa"/>
            <w:hideMark/>
          </w:tcPr>
          <w:p w14:paraId="009B0D9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Ribavirin And Peginterferon Alfa-2b</w:t>
            </w:r>
          </w:p>
        </w:tc>
        <w:tc>
          <w:tcPr>
            <w:tcW w:w="4111" w:type="dxa"/>
            <w:hideMark/>
          </w:tcPr>
          <w:p w14:paraId="57653E4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As Above</w:t>
            </w:r>
          </w:p>
        </w:tc>
        <w:tc>
          <w:tcPr>
            <w:tcW w:w="1275" w:type="dxa"/>
            <w:hideMark/>
          </w:tcPr>
          <w:p w14:paraId="6212531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740AEBA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620046E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noWrap/>
            <w:hideMark/>
          </w:tcPr>
          <w:p w14:paraId="3FAC097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No PI available</w:t>
            </w:r>
          </w:p>
        </w:tc>
        <w:tc>
          <w:tcPr>
            <w:tcW w:w="1559" w:type="dxa"/>
            <w:noWrap/>
            <w:hideMark/>
          </w:tcPr>
          <w:p w14:paraId="45F4115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Nov-11</w:t>
            </w:r>
          </w:p>
        </w:tc>
      </w:tr>
      <w:tr w:rsidR="003D50DD" w:rsidRPr="00A11E50" w14:paraId="7E68FFA4" w14:textId="77777777" w:rsidTr="006D4C10">
        <w:trPr>
          <w:trHeight w:val="380"/>
        </w:trPr>
        <w:tc>
          <w:tcPr>
            <w:tcW w:w="1418" w:type="dxa"/>
            <w:hideMark/>
          </w:tcPr>
          <w:p w14:paraId="3E8A344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Peginterferon Alfa-2a</w:t>
            </w:r>
          </w:p>
        </w:tc>
        <w:tc>
          <w:tcPr>
            <w:tcW w:w="4111" w:type="dxa"/>
            <w:hideMark/>
          </w:tcPr>
          <w:p w14:paraId="57038F3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as sole PBS-subsidised therapy, in a patient with chronic hepatitis B without cirrhosis who satisfies all of the following criteria: </w:t>
            </w:r>
          </w:p>
          <w:p w14:paraId="3E9AC0AC" w14:textId="77777777" w:rsidR="003D50DD" w:rsidRPr="00A11E50" w:rsidRDefault="003D50DD" w:rsidP="0079641B">
            <w:pPr>
              <w:pStyle w:val="ListParagraph"/>
              <w:numPr>
                <w:ilvl w:val="0"/>
                <w:numId w:val="18"/>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Elevated HBV DNA levels - greater than 20,000 IU/mL (100,000 copies/mL) if HBeAg positive, or greater than 2,000 IU/mL (10,000 copies/mL) if HBeAg negative - in conjunction with documented chronic hepatitis B infection; </w:t>
            </w:r>
          </w:p>
          <w:p w14:paraId="51DE5216" w14:textId="77777777" w:rsidR="003D50DD" w:rsidRPr="00A11E50" w:rsidRDefault="003D50DD" w:rsidP="0079641B">
            <w:pPr>
              <w:pStyle w:val="ListParagraph"/>
              <w:numPr>
                <w:ilvl w:val="0"/>
                <w:numId w:val="18"/>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Evidence of chronic liver injury as determined by:</w:t>
            </w:r>
            <w:r w:rsidRPr="00A11E50">
              <w:rPr>
                <w:rFonts w:ascii="Arial Narrow" w:hAnsi="Arial Narrow" w:cs="Calibri"/>
                <w:color w:val="000000"/>
                <w:sz w:val="20"/>
                <w:lang w:eastAsia="en-AU"/>
              </w:rPr>
              <w:br/>
              <w:t>(a) Confirmed elevated serum ALT; or</w:t>
            </w:r>
            <w:r w:rsidRPr="00A11E50">
              <w:rPr>
                <w:rFonts w:ascii="Arial Narrow" w:hAnsi="Arial Narrow" w:cs="Calibri"/>
                <w:color w:val="000000"/>
                <w:sz w:val="20"/>
                <w:lang w:eastAsia="en-AU"/>
              </w:rPr>
              <w:br/>
              <w:t>(b) Liver biopsy;</w:t>
            </w:r>
          </w:p>
          <w:p w14:paraId="58FFFA65" w14:textId="40B99BAE" w:rsidR="003D50DD" w:rsidRPr="00A11E50" w:rsidRDefault="003D50DD" w:rsidP="0079641B">
            <w:pPr>
              <w:pStyle w:val="ListParagraph"/>
              <w:numPr>
                <w:ilvl w:val="0"/>
                <w:numId w:val="18"/>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Has received no prior peginterferon alfa therapy for the treatment of hepatitis B.  Treatment, as sole PBS-subsidised therapy, in a patient with chronic hepatitis B with cirrhosis who has detectable HBV DNA. </w:t>
            </w:r>
          </w:p>
          <w:p w14:paraId="6F35DDD0"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 xml:space="preserve">Persons with Child's class B or C cirrhosis (ascites, variceal bleeding, encephalopathy, albumin less than 30 g per L, bilirubin greater than 30 micromoles per L) should have their treatment discussed with a transplant unit prior to initiating therapy.  </w:t>
            </w:r>
          </w:p>
          <w:p w14:paraId="008B6EB3"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Treatment is limited to 1 course of treatment for a duration of up to 48 weeks</w:t>
            </w:r>
            <w:r>
              <w:rPr>
                <w:rFonts w:ascii="Arial Narrow" w:hAnsi="Arial Narrow" w:cs="Calibri"/>
                <w:color w:val="000000"/>
                <w:sz w:val="20"/>
                <w:lang w:eastAsia="en-AU"/>
              </w:rPr>
              <w:t>.</w:t>
            </w:r>
          </w:p>
        </w:tc>
        <w:tc>
          <w:tcPr>
            <w:tcW w:w="1275" w:type="dxa"/>
            <w:hideMark/>
          </w:tcPr>
          <w:p w14:paraId="00227F8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46822D5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B13224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7817224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Chronic Hepatitis C (CHC)</w:t>
            </w:r>
            <w:r w:rsidRPr="00A11E50">
              <w:rPr>
                <w:rFonts w:ascii="Arial Narrow" w:hAnsi="Arial Narrow" w:cs="Calibri"/>
                <w:color w:val="000000"/>
                <w:sz w:val="20"/>
                <w:lang w:eastAsia="en-AU"/>
              </w:rPr>
              <w:br/>
              <w:t xml:space="preserve">The combination of PEGASYS and COPEGUS is indicated for the treatment of chronic hepatitis C in patients who have received no prior interferon therapy (treatment-naïve patients) and patients who have failed previous treatment with interferon alfa (pegylated or non-pegylated) alone or in combination therapy with ribavirin. </w:t>
            </w:r>
          </w:p>
          <w:p w14:paraId="2A8A32B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The combination of PEGASYS and COPEGUS is also indicated for the treatment of chronic hepatitis C patients with clinically stable human immunodeficiency virus (HIV) co-infection who have previously not received interferon therapy. </w:t>
            </w:r>
          </w:p>
          <w:p w14:paraId="12C8705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PEGASYS monotherapy is indicated for the treatment of chronic hepatitis C in treatment-naïve patients (see DOSAGE AND ADMINISTRATION; Chronic Hepatitis C: Treatment-Naive Patients).</w:t>
            </w:r>
          </w:p>
          <w:p w14:paraId="2E89CB7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Patients must be 18 years of age or older and have compensated liver disease.</w:t>
            </w:r>
          </w:p>
          <w:p w14:paraId="774F474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Chronic Hepatitis B (CHB)</w:t>
            </w:r>
            <w:r w:rsidRPr="00A11E50">
              <w:rPr>
                <w:rFonts w:ascii="Arial Narrow" w:hAnsi="Arial Narrow" w:cs="Calibri"/>
                <w:color w:val="000000"/>
                <w:sz w:val="20"/>
                <w:lang w:eastAsia="en-AU"/>
              </w:rPr>
              <w:br/>
              <w:t xml:space="preserve">PEGASYS is indicated for the treatment of chronic hepatitis B in adult patients with evidence of viral replication and liver inflammation and compensated </w:t>
            </w:r>
            <w:r w:rsidRPr="00A11E50">
              <w:rPr>
                <w:rFonts w:ascii="Arial Narrow" w:hAnsi="Arial Narrow" w:cs="Calibri"/>
                <w:color w:val="000000"/>
                <w:sz w:val="20"/>
                <w:lang w:eastAsia="en-AU"/>
              </w:rPr>
              <w:lastRenderedPageBreak/>
              <w:t>liver disease.</w:t>
            </w:r>
          </w:p>
        </w:tc>
        <w:tc>
          <w:tcPr>
            <w:tcW w:w="1559" w:type="dxa"/>
            <w:noWrap/>
            <w:hideMark/>
          </w:tcPr>
          <w:p w14:paraId="376D7D3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May-03</w:t>
            </w:r>
          </w:p>
        </w:tc>
      </w:tr>
      <w:tr w:rsidR="003D50DD" w:rsidRPr="00A11E50" w14:paraId="540B2BB1" w14:textId="77777777" w:rsidTr="006D4C10">
        <w:trPr>
          <w:trHeight w:val="2616"/>
        </w:trPr>
        <w:tc>
          <w:tcPr>
            <w:tcW w:w="1418" w:type="dxa"/>
            <w:noWrap/>
            <w:hideMark/>
          </w:tcPr>
          <w:p w14:paraId="1D2428E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Interferon Alfa-2b</w:t>
            </w:r>
          </w:p>
        </w:tc>
        <w:tc>
          <w:tcPr>
            <w:tcW w:w="4111" w:type="dxa"/>
            <w:hideMark/>
          </w:tcPr>
          <w:p w14:paraId="0F42A06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Adjunctive therapy of malignant melanoma following surgery in patients with nodal involvement.  Use in the treatment of Philadelphia chromosome positive myelogenous leukaemia in the chronic phase.   Chronic hepatitis B in a patient without cirrhosis who satisfies all of the following criteria:</w:t>
            </w:r>
          </w:p>
          <w:p w14:paraId="0A1071E1" w14:textId="77777777" w:rsidR="003D50DD" w:rsidRPr="00A11E50" w:rsidRDefault="003D50DD" w:rsidP="0079641B">
            <w:pPr>
              <w:pStyle w:val="ListParagraph"/>
              <w:numPr>
                <w:ilvl w:val="0"/>
                <w:numId w:val="19"/>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Elevated HBV DNA levels - greater than 20,000 IU/mL (100,000 copies/mL) if HBeAg positive, or greater than 2,000 IU/mL (10,000 copies/mL) if HBeAg negative - in conjunction with documented chronic hepatitis B infection; </w:t>
            </w:r>
          </w:p>
          <w:p w14:paraId="33ED6BC7" w14:textId="77777777" w:rsidR="003D50DD" w:rsidRPr="00A11E50" w:rsidRDefault="003D50DD" w:rsidP="0079641B">
            <w:pPr>
              <w:pStyle w:val="ListParagraph"/>
              <w:numPr>
                <w:ilvl w:val="0"/>
                <w:numId w:val="19"/>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Evidence of chronic liver injury as determined by:</w:t>
            </w:r>
            <w:r w:rsidRPr="00A11E50">
              <w:rPr>
                <w:rFonts w:ascii="Arial Narrow" w:hAnsi="Arial Narrow" w:cs="Calibri"/>
                <w:color w:val="000000"/>
                <w:sz w:val="20"/>
                <w:lang w:eastAsia="en-AU"/>
              </w:rPr>
              <w:br/>
              <w:t>(a) Confirmed elevated serum ALT; or</w:t>
            </w:r>
            <w:r w:rsidRPr="00A11E50">
              <w:rPr>
                <w:rFonts w:ascii="Arial Narrow" w:hAnsi="Arial Narrow" w:cs="Calibri"/>
                <w:color w:val="000000"/>
                <w:sz w:val="20"/>
                <w:lang w:eastAsia="en-AU"/>
              </w:rPr>
              <w:br/>
              <w:t>(b) Liver biopsy</w:t>
            </w:r>
          </w:p>
          <w:p w14:paraId="364C7D1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Chronic hepatitis B in a patient with cirrhosis who has detectable HBV DNA.</w:t>
            </w:r>
          </w:p>
          <w:p w14:paraId="2F68E13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Persons with Child's class B or C cirrhosis (ascites, variceal bleeding, encephalopathy, albumin less than 30 g per L, bilirubin greater than 30 micromoles per L) should have their treatment discussed with a transplant unit prior to initiating therapy.  </w:t>
            </w:r>
          </w:p>
          <w:p w14:paraId="65948B0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managed by an accredited treatment centre, of chronic hepatitis C in patients 18 years or older who have compensated liver disease and who have received no prior interferon alfa or peginterferon alfa treatment for hepatitis C and have a contraindication to ribavirin, who satisfy all of the following criteria: </w:t>
            </w:r>
          </w:p>
          <w:p w14:paraId="0EA5ED5A" w14:textId="77777777" w:rsidR="003D50DD" w:rsidRPr="00A11E50" w:rsidRDefault="003D50DD" w:rsidP="0079641B">
            <w:pPr>
              <w:pStyle w:val="ListParagraph"/>
              <w:numPr>
                <w:ilvl w:val="0"/>
                <w:numId w:val="20"/>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 xml:space="preserve">Documented chronic hepatitis C infection (repeatedly anti-HCV positive and HCV RNA positive); </w:t>
            </w:r>
          </w:p>
          <w:p w14:paraId="0E8F4175" w14:textId="77777777" w:rsidR="003D50DD" w:rsidRPr="00A11E50" w:rsidRDefault="003D50DD" w:rsidP="0079641B">
            <w:pPr>
              <w:pStyle w:val="ListParagraph"/>
              <w:numPr>
                <w:ilvl w:val="0"/>
                <w:numId w:val="20"/>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Female patients of child-bearing age are not pregnant, not breast-feeding, and are using an effective form of contraception.</w:t>
            </w:r>
          </w:p>
          <w:p w14:paraId="28CEDBFB"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 xml:space="preserve">The treatment course is limited to up to 48 weeks. </w:t>
            </w:r>
            <w:r w:rsidRPr="00A11E50">
              <w:rPr>
                <w:rFonts w:ascii="Arial Narrow" w:hAnsi="Arial Narrow" w:cs="Calibri"/>
                <w:color w:val="000000"/>
                <w:sz w:val="20"/>
                <w:lang w:eastAsia="en-AU"/>
              </w:rPr>
              <w:br/>
              <w:t>Patients may only continue treatment after the first 12 weeks if the result of an HCV RNA quantitative assay (performed at the same laboratory using the same test) shows that the plasma HCV RNA has become undetectable or the viral load has decreased by at least a 2 log drop.</w:t>
            </w:r>
          </w:p>
        </w:tc>
        <w:tc>
          <w:tcPr>
            <w:tcW w:w="1275" w:type="dxa"/>
            <w:hideMark/>
          </w:tcPr>
          <w:p w14:paraId="22D9E1A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noWrap/>
            <w:hideMark/>
          </w:tcPr>
          <w:p w14:paraId="1BB3C49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Not listed in PI</w:t>
            </w:r>
          </w:p>
        </w:tc>
        <w:tc>
          <w:tcPr>
            <w:tcW w:w="765" w:type="dxa"/>
            <w:noWrap/>
            <w:hideMark/>
          </w:tcPr>
          <w:p w14:paraId="5A89189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5882176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Hairy cell leukaemia:</w:t>
            </w:r>
            <w:r w:rsidRPr="00A11E50">
              <w:rPr>
                <w:rFonts w:ascii="Arial Narrow" w:hAnsi="Arial Narrow" w:cs="Calibri"/>
                <w:color w:val="000000"/>
                <w:sz w:val="20"/>
                <w:lang w:eastAsia="en-AU"/>
              </w:rPr>
              <w:t xml:space="preserve"> INTRON A is indicated for the treatment of hairy cell leukaemia in splenectomised or non-splenectomised patients.</w:t>
            </w:r>
          </w:p>
          <w:p w14:paraId="11C79DA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 xml:space="preserve">Kaposi’s sarcoma in AIDS: </w:t>
            </w:r>
            <w:r w:rsidRPr="00A11E50">
              <w:rPr>
                <w:rFonts w:ascii="Arial Narrow" w:hAnsi="Arial Narrow" w:cs="Calibri"/>
                <w:color w:val="000000"/>
                <w:sz w:val="20"/>
                <w:lang w:eastAsia="en-AU"/>
              </w:rPr>
              <w:t>INTRON A is indicated for the treatment of Kaposi’s sarcoma in patients with acquired immune deficiency syndrome (AIDS).</w:t>
            </w:r>
          </w:p>
          <w:p w14:paraId="31F72EF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color w:val="000000"/>
                <w:sz w:val="20"/>
                <w:lang w:eastAsia="en-AU"/>
              </w:rPr>
              <w:t>C</w:t>
            </w:r>
            <w:r w:rsidRPr="00A11E50">
              <w:rPr>
                <w:rFonts w:ascii="Arial Narrow" w:hAnsi="Arial Narrow" w:cs="Calibri"/>
                <w:b/>
                <w:bCs/>
                <w:color w:val="000000"/>
                <w:sz w:val="20"/>
                <w:lang w:eastAsia="en-AU"/>
              </w:rPr>
              <w:t>hronic myelogenous leukaemia:</w:t>
            </w:r>
            <w:r w:rsidRPr="00A11E50">
              <w:rPr>
                <w:rFonts w:ascii="Arial Narrow" w:hAnsi="Arial Narrow" w:cs="Calibri"/>
                <w:color w:val="000000"/>
                <w:sz w:val="20"/>
                <w:lang w:eastAsia="en-AU"/>
              </w:rPr>
              <w:t xml:space="preserve"> INTRON A is indicated for the treatment of Philadelphia chromosome positive chronic myelogenous leukaemia in the chronic phase. </w:t>
            </w:r>
          </w:p>
          <w:p w14:paraId="72D073E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Multiple myeloma:</w:t>
            </w:r>
            <w:r w:rsidRPr="00A11E50">
              <w:rPr>
                <w:rFonts w:ascii="Arial Narrow" w:hAnsi="Arial Narrow" w:cs="Calibri"/>
                <w:color w:val="000000"/>
                <w:sz w:val="20"/>
                <w:lang w:eastAsia="en-AU"/>
              </w:rPr>
              <w:t xml:space="preserve"> INTRON A is indicated for the maintenance of control of multiple myeloma once control has been achieved by chemotherapy. The effect on overall survival has not as yet been determined.  </w:t>
            </w:r>
          </w:p>
          <w:p w14:paraId="41FBEA3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Follicular non-Hodgkin's lymphoma:</w:t>
            </w:r>
            <w:r w:rsidRPr="00A11E50">
              <w:rPr>
                <w:rFonts w:ascii="Arial Narrow" w:hAnsi="Arial Narrow" w:cs="Calibri"/>
                <w:color w:val="000000"/>
                <w:sz w:val="20"/>
                <w:lang w:eastAsia="en-AU"/>
              </w:rPr>
              <w:t xml:space="preserve"> INTRON A is indicated as an adjuvant treatment of high tumour burden Stage III or IV follicular non-Hodgkin's lymphoma in conjunction with an appropriate chemotherapy regimen. In controlled clinical trials in which efficacy was demonstrated anthracycline chemotherapy was employed.</w:t>
            </w:r>
          </w:p>
          <w:p w14:paraId="7854425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Malignant Melanoma:</w:t>
            </w:r>
            <w:r w:rsidRPr="00A11E50">
              <w:rPr>
                <w:rFonts w:ascii="Arial Narrow" w:hAnsi="Arial Narrow" w:cs="Calibri"/>
                <w:color w:val="000000"/>
                <w:sz w:val="20"/>
                <w:lang w:eastAsia="en-AU"/>
              </w:rPr>
              <w:t xml:space="preserve"> INTRON A is indicated as an adjuvant therapy of malignant melanoma following surgery in patients who are at high risk of recurrence. The potential benefit to the patient should be assessed carefully. Although toxicity of the treatment may be substantial, for most patients, the benefit of </w:t>
            </w:r>
            <w:r w:rsidRPr="00A11E50">
              <w:rPr>
                <w:rFonts w:ascii="Arial Narrow" w:hAnsi="Arial Narrow" w:cs="Calibri"/>
                <w:color w:val="000000"/>
                <w:sz w:val="20"/>
                <w:lang w:eastAsia="en-AU"/>
              </w:rPr>
              <w:lastRenderedPageBreak/>
              <w:t xml:space="preserve">therapy outweighed the risk. </w:t>
            </w:r>
          </w:p>
          <w:p w14:paraId="538152E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Chronic hepatitis B:</w:t>
            </w:r>
            <w:r w:rsidRPr="00A11E50">
              <w:rPr>
                <w:rFonts w:ascii="Arial Narrow" w:hAnsi="Arial Narrow" w:cs="Calibri"/>
                <w:color w:val="000000"/>
                <w:sz w:val="20"/>
                <w:lang w:eastAsia="en-AU"/>
              </w:rPr>
              <w:t xml:space="preserve"> INTRON A injection is indicated for the treatment of adults with histologically proven compensated chronic active hepatitis B. Patients should be serum HBsAg positive and have evidence of HBV replication (such as serum HBeAg positive) and raised serum alanine aminotransferase (ALT) levels (&gt;3 times the upper limit of the reference range) for at least 6 months. [See Pharmacology for response rate].</w:t>
            </w:r>
          </w:p>
          <w:p w14:paraId="23563F5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 xml:space="preserve">Chronic hepatitis C: </w:t>
            </w:r>
            <w:r w:rsidRPr="00A11E50">
              <w:rPr>
                <w:rFonts w:ascii="Arial Narrow" w:hAnsi="Arial Narrow" w:cs="Calibri"/>
                <w:color w:val="000000"/>
                <w:sz w:val="20"/>
                <w:lang w:eastAsia="en-AU"/>
              </w:rPr>
              <w:t>INTRON A is indicated for the treatment of histologically proven compensated chronic hepatitis due to hepatitis C (HCV antibody positive) in adult patients with persistently elevated serum alanine aminotransferase (ALT). Studies in these patients demonstrate that INTRON A Injection therapy can produce normalisation of serum ALT, clearance of serum HCV RNA and improvement in liver histology</w:t>
            </w:r>
          </w:p>
        </w:tc>
        <w:tc>
          <w:tcPr>
            <w:tcW w:w="1559" w:type="dxa"/>
            <w:noWrap/>
            <w:hideMark/>
          </w:tcPr>
          <w:p w14:paraId="3EC9854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Sep-01</w:t>
            </w:r>
          </w:p>
        </w:tc>
      </w:tr>
      <w:tr w:rsidR="003D50DD" w:rsidRPr="00A11E50" w14:paraId="7C01D240" w14:textId="77777777" w:rsidTr="006D4C10">
        <w:tc>
          <w:tcPr>
            <w:tcW w:w="1418" w:type="dxa"/>
            <w:noWrap/>
            <w:hideMark/>
          </w:tcPr>
          <w:p w14:paraId="4B980DE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Adefovir Dipivoxil</w:t>
            </w:r>
          </w:p>
        </w:tc>
        <w:tc>
          <w:tcPr>
            <w:tcW w:w="4111" w:type="dxa"/>
            <w:hideMark/>
          </w:tcPr>
          <w:p w14:paraId="235A204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Chronic hepatitis B in a patient without cirrhosis who has failed antihepadnaviral therapy and who satisfies all of the following criteria:  </w:t>
            </w:r>
          </w:p>
          <w:p w14:paraId="5394F099" w14:textId="77777777" w:rsidR="003D50DD" w:rsidRPr="00A11E50" w:rsidRDefault="003D50DD" w:rsidP="0079641B">
            <w:pPr>
              <w:pStyle w:val="ListParagraph"/>
              <w:numPr>
                <w:ilvl w:val="0"/>
                <w:numId w:val="21"/>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Repeatedly elevated serum ALT levels while on concurrent antihepadnaviral therapy of greater than or equal to 6 months duration in conjunction with documented chronic hepatitis B infection; or  </w:t>
            </w:r>
          </w:p>
          <w:p w14:paraId="13DF0F40" w14:textId="77777777" w:rsidR="003D50DD" w:rsidRPr="00A11E50" w:rsidRDefault="003D50DD" w:rsidP="0079641B">
            <w:pPr>
              <w:pStyle w:val="ListParagraph"/>
              <w:numPr>
                <w:ilvl w:val="0"/>
                <w:numId w:val="21"/>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Repeatedly elevated HBV DNA levels one log greater than the nadir value or failure to achieve a 1 log reduction in HBV DNA within 3 months, whilst on previous antihepadnaviral therapy </w:t>
            </w:r>
            <w:r w:rsidRPr="00A11E50">
              <w:rPr>
                <w:rFonts w:ascii="Arial Narrow" w:hAnsi="Arial Narrow" w:cs="Calibri"/>
                <w:color w:val="000000"/>
                <w:sz w:val="20"/>
                <w:lang w:eastAsia="en-AU"/>
              </w:rPr>
              <w:lastRenderedPageBreak/>
              <w:t>except in patients with evidence of poor compliance.</w:t>
            </w:r>
          </w:p>
          <w:p w14:paraId="6F58D2C7"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Chronic hepatitis B in a patient with cirrhosis who has failed antihepadnaviral therapy and who has detectable HBV DNA.</w:t>
            </w:r>
          </w:p>
          <w:p w14:paraId="3D9B15E7"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Persons with Child's class B or C cirrhosis (ascites, variceal bleeding, encephalopathy, albumin less than 30 g per L, bilirubin greater than 30 micromoles per L) should have their treatment discussed with a transplant unit prior to initiating therapy.</w:t>
            </w:r>
          </w:p>
        </w:tc>
        <w:tc>
          <w:tcPr>
            <w:tcW w:w="1275" w:type="dxa"/>
            <w:hideMark/>
          </w:tcPr>
          <w:p w14:paraId="01A4114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noWrap/>
            <w:hideMark/>
          </w:tcPr>
          <w:p w14:paraId="0E37291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752FDA2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47CFFE9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Adefovir Dipivoxil is indicated for the treatment of chronic hepatitis B in patients 12 years of age and older with evidence of active viral replication and either evidence of persistent elevations in serum aminotransferases (ALT or AST) or histologically active disease. </w:t>
            </w:r>
          </w:p>
          <w:p w14:paraId="1167AE5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For adult patients, this indication is based on histological, virological, biochemical, and serological responses in adult patients with HBeAg+ and HBeAg-/HBVDNA+ chronic hepatitis B with compensated liver function, and in adult patients with clinical evidence of </w:t>
            </w:r>
            <w:r w:rsidRPr="00A11E50">
              <w:rPr>
                <w:rFonts w:ascii="Arial Narrow" w:hAnsi="Arial Narrow" w:cs="Calibri"/>
                <w:color w:val="000000"/>
                <w:sz w:val="20"/>
                <w:lang w:eastAsia="en-AU"/>
              </w:rPr>
              <w:lastRenderedPageBreak/>
              <w:t>lamivudine-resistant hepatitis B virus with either compensated or decompensated liver function.</w:t>
            </w:r>
          </w:p>
          <w:p w14:paraId="5199241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For adolescent patients (12 to &lt;18 years of age), the indication is based on virological and biochemical responses in patients with HBeAg+ chronic hepatitis B virus with compensated liver function.</w:t>
            </w:r>
          </w:p>
        </w:tc>
        <w:tc>
          <w:tcPr>
            <w:tcW w:w="1559" w:type="dxa"/>
            <w:noWrap/>
            <w:hideMark/>
          </w:tcPr>
          <w:p w14:paraId="7B0B4FD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Sep-03</w:t>
            </w:r>
          </w:p>
        </w:tc>
      </w:tr>
      <w:tr w:rsidR="003D50DD" w:rsidRPr="00A11E50" w14:paraId="034A2B74" w14:textId="77777777" w:rsidTr="006D4C10">
        <w:trPr>
          <w:trHeight w:val="663"/>
        </w:trPr>
        <w:tc>
          <w:tcPr>
            <w:tcW w:w="1418" w:type="dxa"/>
            <w:noWrap/>
            <w:hideMark/>
          </w:tcPr>
          <w:p w14:paraId="6CEBCC7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Telbivudine</w:t>
            </w:r>
          </w:p>
        </w:tc>
        <w:tc>
          <w:tcPr>
            <w:tcW w:w="4111" w:type="dxa"/>
            <w:hideMark/>
          </w:tcPr>
          <w:p w14:paraId="2D10151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as sole PBS-subsidised therapy, in a patient with chronic hepatitis B without cirrhosis who is nucleoside analogue naive and satisfies all of the following criteria: </w:t>
            </w:r>
          </w:p>
          <w:p w14:paraId="5D064383" w14:textId="77777777" w:rsidR="003D50DD" w:rsidRPr="00A11E50" w:rsidRDefault="003D50DD" w:rsidP="0079641B">
            <w:pPr>
              <w:pStyle w:val="ListParagraph"/>
              <w:numPr>
                <w:ilvl w:val="0"/>
                <w:numId w:val="22"/>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Elevated HBV DNA levels - greater than 20,000 IU/mL (100,000 copies/mL) if HBeAg positive, or greater than 2,000 IU/mL (10,000 copies/mL) if HBeAg negative - in conjunction with documented hepatitis B infection; </w:t>
            </w:r>
          </w:p>
          <w:p w14:paraId="5458D3DA" w14:textId="77777777" w:rsidR="003D50DD" w:rsidRPr="00A11E50" w:rsidRDefault="003D50DD" w:rsidP="0079641B">
            <w:pPr>
              <w:pStyle w:val="ListParagraph"/>
              <w:numPr>
                <w:ilvl w:val="0"/>
                <w:numId w:val="22"/>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Evidence of chronic liver injury as determined by:</w:t>
            </w:r>
            <w:r w:rsidRPr="00A11E50">
              <w:rPr>
                <w:rFonts w:ascii="Arial Narrow" w:hAnsi="Arial Narrow" w:cs="Calibri"/>
                <w:color w:val="000000"/>
                <w:sz w:val="20"/>
                <w:lang w:eastAsia="en-AU"/>
              </w:rPr>
              <w:br/>
              <w:t>(a) Confirmed elevated serum ALT; or</w:t>
            </w:r>
            <w:r w:rsidRPr="00A11E50">
              <w:rPr>
                <w:rFonts w:ascii="Arial Narrow" w:hAnsi="Arial Narrow" w:cs="Calibri"/>
                <w:color w:val="000000"/>
                <w:sz w:val="20"/>
                <w:lang w:eastAsia="en-AU"/>
              </w:rPr>
              <w:br/>
              <w:t>(b) Liver biopsy</w:t>
            </w:r>
          </w:p>
          <w:p w14:paraId="6EC4352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as sole PBS-subsidised therapy, in a patient with chronic hepatitis B with cirrhosis who is nucleoside analogue naive and who has detectable HBV DNA.  </w:t>
            </w:r>
          </w:p>
          <w:p w14:paraId="7838D72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Persons with Child's class B or C cirrhosis (ascites, variceal bleeding, encephalopathy, albumin less than 30 g per L, bilirubin greater than 30 micromoles per </w:t>
            </w:r>
            <w:r w:rsidRPr="00A11E50">
              <w:rPr>
                <w:rFonts w:ascii="Arial Narrow" w:hAnsi="Arial Narrow" w:cs="Calibri"/>
                <w:color w:val="000000"/>
                <w:sz w:val="20"/>
                <w:lang w:eastAsia="en-AU"/>
              </w:rPr>
              <w:lastRenderedPageBreak/>
              <w:t>L) should have their treatment discussed with a transplant unit prior to initiating therapy.</w:t>
            </w:r>
          </w:p>
        </w:tc>
        <w:tc>
          <w:tcPr>
            <w:tcW w:w="1275" w:type="dxa"/>
            <w:hideMark/>
          </w:tcPr>
          <w:p w14:paraId="37A33B9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Authority Required (Streamlined)</w:t>
            </w:r>
          </w:p>
        </w:tc>
        <w:tc>
          <w:tcPr>
            <w:tcW w:w="1134" w:type="dxa"/>
            <w:noWrap/>
            <w:hideMark/>
          </w:tcPr>
          <w:p w14:paraId="0C32589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27D63F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1F6FA1D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Telbivudine is indicated for the treatment of HBeAg-positive and HBeAg-negative chronic hepatitis B patients who have compensated liver disease, evidence of viral replication and active liver inflammation and who are nucleoside analogue naïve. </w:t>
            </w:r>
          </w:p>
          <w:p w14:paraId="189F882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The following points should be considered when initiating therapy with Telbivudine: </w:t>
            </w:r>
          </w:p>
          <w:p w14:paraId="3B37E823" w14:textId="77777777" w:rsidR="003D50DD" w:rsidRPr="00A11E50" w:rsidRDefault="003D50DD" w:rsidP="0079641B">
            <w:pPr>
              <w:pStyle w:val="ListParagraph"/>
              <w:numPr>
                <w:ilvl w:val="0"/>
                <w:numId w:val="23"/>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 xml:space="preserve">For HBeAg-positive patients, Telbivudine treatment should only be initiated in patients with baseline HBV DNA &lt; 9log 10 copies/mL and baseline ALT ≥ 2x ULN. </w:t>
            </w:r>
          </w:p>
          <w:p w14:paraId="6AD14C9F" w14:textId="77777777" w:rsidR="003D50DD" w:rsidRPr="00A11E50" w:rsidRDefault="003D50DD" w:rsidP="0079641B">
            <w:pPr>
              <w:pStyle w:val="ListParagraph"/>
              <w:numPr>
                <w:ilvl w:val="0"/>
                <w:numId w:val="23"/>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 xml:space="preserve">For HBeAg-negative patients, Telbivudine treatment should only be initiated in patients with baseline HBV DNA &lt; 7log 10 copies/mL. </w:t>
            </w:r>
          </w:p>
        </w:tc>
        <w:tc>
          <w:tcPr>
            <w:tcW w:w="1559" w:type="dxa"/>
            <w:noWrap/>
            <w:hideMark/>
          </w:tcPr>
          <w:p w14:paraId="7A755BA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Jul-10</w:t>
            </w:r>
          </w:p>
        </w:tc>
      </w:tr>
      <w:tr w:rsidR="003D50DD" w:rsidRPr="00A11E50" w14:paraId="75EC7F11" w14:textId="77777777" w:rsidTr="006D4C10">
        <w:trPr>
          <w:trHeight w:val="571"/>
        </w:trPr>
        <w:tc>
          <w:tcPr>
            <w:tcW w:w="1418" w:type="dxa"/>
            <w:hideMark/>
          </w:tcPr>
          <w:p w14:paraId="4F71B88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Entecavir Monohydrate</w:t>
            </w:r>
          </w:p>
        </w:tc>
        <w:tc>
          <w:tcPr>
            <w:tcW w:w="4111" w:type="dxa"/>
            <w:hideMark/>
          </w:tcPr>
          <w:p w14:paraId="58C05C5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Chronic hepatitis B in a patient without cirrhosis who satisfies all of the following criteria: </w:t>
            </w:r>
          </w:p>
          <w:p w14:paraId="66A39C3E" w14:textId="77777777" w:rsidR="003D50DD" w:rsidRPr="00A11E50" w:rsidRDefault="003D50DD" w:rsidP="0079641B">
            <w:pPr>
              <w:pStyle w:val="ListParagraph"/>
              <w:numPr>
                <w:ilvl w:val="0"/>
                <w:numId w:val="24"/>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Elevated HBV DNA levels - greater than 20,000 IU/mL (100,000 copies/mL) if HBeAg positive, or greater than 2,000 IU/mL (10,000 copies/mL) if HBeAg negative - in conjunction with documented chronic hepatitis B infection; </w:t>
            </w:r>
          </w:p>
          <w:p w14:paraId="2DADF587" w14:textId="77777777" w:rsidR="003D50DD" w:rsidRPr="00A11E50" w:rsidRDefault="003D50DD" w:rsidP="0079641B">
            <w:pPr>
              <w:pStyle w:val="ListParagraph"/>
              <w:numPr>
                <w:ilvl w:val="0"/>
                <w:numId w:val="24"/>
              </w:numPr>
              <w:spacing w:before="60" w:after="60" w:line="240" w:lineRule="auto"/>
              <w:ind w:left="284" w:hanging="284"/>
              <w:rPr>
                <w:rFonts w:ascii="Arial Narrow" w:hAnsi="Arial Narrow" w:cs="Calibri"/>
                <w:color w:val="000000"/>
                <w:sz w:val="20"/>
                <w:lang w:eastAsia="en-AU"/>
              </w:rPr>
            </w:pPr>
            <w:r w:rsidRPr="00A11E50">
              <w:rPr>
                <w:rFonts w:ascii="Arial Narrow" w:hAnsi="Arial Narrow" w:cs="Calibri"/>
                <w:color w:val="000000"/>
                <w:sz w:val="20"/>
                <w:lang w:eastAsia="en-AU"/>
              </w:rPr>
              <w:t>Evidence of chronic liver injury as determined by:</w:t>
            </w:r>
            <w:r w:rsidRPr="00A11E50">
              <w:rPr>
                <w:rFonts w:ascii="Arial Narrow" w:hAnsi="Arial Narrow" w:cs="Calibri"/>
                <w:color w:val="000000"/>
                <w:sz w:val="20"/>
                <w:lang w:eastAsia="en-AU"/>
              </w:rPr>
              <w:br/>
              <w:t>(a) Confirmed elevated serum ALT; or</w:t>
            </w:r>
            <w:r w:rsidRPr="00A11E50">
              <w:rPr>
                <w:rFonts w:ascii="Arial Narrow" w:hAnsi="Arial Narrow" w:cs="Calibri"/>
                <w:color w:val="000000"/>
                <w:sz w:val="20"/>
                <w:lang w:eastAsia="en-AU"/>
              </w:rPr>
              <w:br/>
              <w:t>(b) Liver biopsy</w:t>
            </w:r>
          </w:p>
          <w:p w14:paraId="05B1115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Chronic hepatitis B in a patient with cirrhosis who has detectable HBV DNA. </w:t>
            </w:r>
          </w:p>
          <w:p w14:paraId="74F1F8A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Persons with Child's class B or C cirrhosis (ascites, variceal bleeding, encephalopathy, albumin less than 30 g per L, bilirubin greater than 30 micromoles per L) should have their treatment discussed with a transplant unit prior to initiating therapy.</w:t>
            </w:r>
          </w:p>
        </w:tc>
        <w:tc>
          <w:tcPr>
            <w:tcW w:w="1275" w:type="dxa"/>
            <w:hideMark/>
          </w:tcPr>
          <w:p w14:paraId="01DD59F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23D21CA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4EA1C8B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Yes</w:t>
            </w:r>
          </w:p>
        </w:tc>
        <w:tc>
          <w:tcPr>
            <w:tcW w:w="4192" w:type="dxa"/>
            <w:hideMark/>
          </w:tcPr>
          <w:p w14:paraId="2F9D54F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Entecavir Monohydrate is indicated for the treatment of chronic hepatitis B virus infection in adults 16 years or older with evidence of active liver inflammation.  This indication is based on histologic, virologic, biochemical and serological responses in nucleoside-treatment naïve and lamividine-resistant adult patients with HBeAg-positive or HBeAg-negative chronic HBV infection with compensated liver disease.</w:t>
            </w:r>
          </w:p>
        </w:tc>
        <w:tc>
          <w:tcPr>
            <w:tcW w:w="1559" w:type="dxa"/>
            <w:noWrap/>
            <w:hideMark/>
          </w:tcPr>
          <w:p w14:paraId="41D07A3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Apr-06</w:t>
            </w:r>
          </w:p>
        </w:tc>
      </w:tr>
      <w:tr w:rsidR="003D50DD" w:rsidRPr="00A11E50" w14:paraId="73D1ED0D" w14:textId="77777777" w:rsidTr="006D4C10">
        <w:trPr>
          <w:trHeight w:val="1240"/>
        </w:trPr>
        <w:tc>
          <w:tcPr>
            <w:tcW w:w="1418" w:type="dxa"/>
            <w:noWrap/>
            <w:hideMark/>
          </w:tcPr>
          <w:p w14:paraId="0CD3A42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Azithromycin</w:t>
            </w:r>
          </w:p>
        </w:tc>
        <w:tc>
          <w:tcPr>
            <w:tcW w:w="4111" w:type="dxa"/>
            <w:noWrap/>
            <w:hideMark/>
          </w:tcPr>
          <w:p w14:paraId="2E4CC16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Upper and lower respiratory tract infections</w:t>
            </w:r>
          </w:p>
        </w:tc>
        <w:tc>
          <w:tcPr>
            <w:tcW w:w="1275" w:type="dxa"/>
            <w:hideMark/>
          </w:tcPr>
          <w:p w14:paraId="51A3B14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Restricted Benefit</w:t>
            </w:r>
          </w:p>
        </w:tc>
        <w:tc>
          <w:tcPr>
            <w:tcW w:w="1134" w:type="dxa"/>
            <w:noWrap/>
            <w:hideMark/>
          </w:tcPr>
          <w:p w14:paraId="0FD5DBF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1A64A2B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21C4313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Community acquired pneumonia caused by susceptible organisms in patients who require initial intravenous therapy. In clinical studies efficacy has been demonstrated against Chlamydia pneumoniae, Haemophilus influenzae, Legionella pneumophilia,Moraxella catarrhalis, Mycoplasma pneumoniae, Staphylococcus aureus and Streptococcus pneumoniae.</w:t>
            </w:r>
          </w:p>
        </w:tc>
        <w:tc>
          <w:tcPr>
            <w:tcW w:w="1559" w:type="dxa"/>
            <w:noWrap/>
            <w:hideMark/>
          </w:tcPr>
          <w:p w14:paraId="7EA0A47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Apr-94</w:t>
            </w:r>
          </w:p>
        </w:tc>
      </w:tr>
      <w:tr w:rsidR="003D50DD" w:rsidRPr="00A11E50" w14:paraId="32AE0FEA" w14:textId="77777777" w:rsidTr="006D4C10">
        <w:trPr>
          <w:trHeight w:val="348"/>
        </w:trPr>
        <w:tc>
          <w:tcPr>
            <w:tcW w:w="1418" w:type="dxa"/>
            <w:noWrap/>
            <w:hideMark/>
          </w:tcPr>
          <w:p w14:paraId="577FEFC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Procaine Penicillin</w:t>
            </w:r>
          </w:p>
        </w:tc>
        <w:tc>
          <w:tcPr>
            <w:tcW w:w="4111" w:type="dxa"/>
            <w:noWrap/>
            <w:hideMark/>
          </w:tcPr>
          <w:p w14:paraId="621D857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Indications not listed</w:t>
            </w:r>
          </w:p>
        </w:tc>
        <w:tc>
          <w:tcPr>
            <w:tcW w:w="1275" w:type="dxa"/>
            <w:hideMark/>
          </w:tcPr>
          <w:p w14:paraId="21963BF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General Schedule</w:t>
            </w:r>
          </w:p>
        </w:tc>
        <w:tc>
          <w:tcPr>
            <w:tcW w:w="1134" w:type="dxa"/>
            <w:noWrap/>
            <w:hideMark/>
          </w:tcPr>
          <w:p w14:paraId="1B863CE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7DA63A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602D9DF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of moderately severe infections due to penicillin sensitive organisms. Therapy should be guided by bacteriological studies, including sensitivity tests and also by clinical response.</w:t>
            </w:r>
            <w:r w:rsidRPr="00A11E50">
              <w:rPr>
                <w:rFonts w:ascii="Arial Narrow" w:hAnsi="Arial Narrow" w:cs="Calibri"/>
                <w:color w:val="000000"/>
                <w:sz w:val="20"/>
                <w:lang w:eastAsia="en-AU"/>
              </w:rPr>
              <w:br/>
              <w:t>Infections which usually respond to adequate dosage are: Group A streptococcal infections including upper respiratory tract infections, skin and skin structure infections and scarlet fever; pneumococcal infections of the respiratory tract; susceptible staphylococcal infections, most gonococcal infections, syphilis, fusospirochaetosis (Vincent’s gingivitis and pharyngitis).</w:t>
            </w:r>
            <w:r w:rsidRPr="00A11E50">
              <w:rPr>
                <w:rFonts w:ascii="Arial Narrow" w:hAnsi="Arial Narrow" w:cs="Calibri"/>
                <w:color w:val="000000"/>
                <w:sz w:val="20"/>
                <w:lang w:eastAsia="en-AU"/>
              </w:rPr>
              <w:br/>
              <w:t>Procaine penicillin must be administered by the intramuscular route only</w:t>
            </w:r>
          </w:p>
        </w:tc>
        <w:tc>
          <w:tcPr>
            <w:tcW w:w="1559" w:type="dxa"/>
            <w:noWrap/>
            <w:hideMark/>
          </w:tcPr>
          <w:p w14:paraId="5111CB3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Jun-98</w:t>
            </w:r>
          </w:p>
        </w:tc>
      </w:tr>
      <w:tr w:rsidR="003D50DD" w:rsidRPr="00A11E50" w14:paraId="63CA23A1" w14:textId="77777777" w:rsidTr="006D4C10">
        <w:trPr>
          <w:trHeight w:val="1372"/>
        </w:trPr>
        <w:tc>
          <w:tcPr>
            <w:tcW w:w="1418" w:type="dxa"/>
            <w:hideMark/>
          </w:tcPr>
          <w:p w14:paraId="5AA5656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Benzathine Benzylpenicillin</w:t>
            </w:r>
          </w:p>
        </w:tc>
        <w:tc>
          <w:tcPr>
            <w:tcW w:w="4111" w:type="dxa"/>
            <w:hideMark/>
          </w:tcPr>
          <w:p w14:paraId="1630727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Indications not listed</w:t>
            </w:r>
          </w:p>
        </w:tc>
        <w:tc>
          <w:tcPr>
            <w:tcW w:w="1275" w:type="dxa"/>
            <w:hideMark/>
          </w:tcPr>
          <w:p w14:paraId="5BA3383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General Schedule</w:t>
            </w:r>
          </w:p>
        </w:tc>
        <w:tc>
          <w:tcPr>
            <w:tcW w:w="1134" w:type="dxa"/>
            <w:noWrap/>
            <w:hideMark/>
          </w:tcPr>
          <w:p w14:paraId="1FB03D5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472D342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2C35987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Intramuscular benzathine benzylpenicillin is indicated in the treatment of infections due to penicillin-sensitive micro-organisms that are susceptible to the low and very prolonged serum levels common to this particular dosage form. Therapy should be guided by bacteriological studies (including sensitivity tests) and by clinical response. </w:t>
            </w:r>
          </w:p>
          <w:p w14:paraId="1F26520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The following infections will usually respond to adequate dosage of intramuscular benzathine benzylpenicillin: S</w:t>
            </w:r>
            <w:r w:rsidRPr="00A11E50">
              <w:rPr>
                <w:rFonts w:ascii="Arial Narrow" w:hAnsi="Arial Narrow" w:cs="Calibri"/>
                <w:b/>
                <w:bCs/>
                <w:color w:val="000000"/>
                <w:sz w:val="20"/>
                <w:lang w:eastAsia="en-AU"/>
              </w:rPr>
              <w:t>treptococcal infections (Group A - without bacteraemia)</w:t>
            </w:r>
            <w:r w:rsidRPr="00A11E50">
              <w:rPr>
                <w:rFonts w:ascii="Arial Narrow" w:hAnsi="Arial Narrow" w:cs="Calibri"/>
                <w:color w:val="000000"/>
                <w:sz w:val="20"/>
                <w:lang w:eastAsia="en-AU"/>
              </w:rPr>
              <w:t>. Mild-to-moderate infections of the upper respiratory tract (eg. pharyngitis).</w:t>
            </w:r>
          </w:p>
          <w:p w14:paraId="1C26107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 xml:space="preserve">Venereal infections </w:t>
            </w:r>
            <w:r w:rsidRPr="00A11E50">
              <w:rPr>
                <w:rFonts w:ascii="Arial Narrow" w:hAnsi="Arial Narrow" w:cs="Calibri"/>
                <w:color w:val="000000"/>
                <w:sz w:val="20"/>
                <w:lang w:eastAsia="en-AU"/>
              </w:rPr>
              <w:t xml:space="preserve">- Syphilis, yaws, bejel and pinta. </w:t>
            </w:r>
          </w:p>
          <w:p w14:paraId="7B518B7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Medical conditions</w:t>
            </w:r>
            <w:r w:rsidRPr="00A11E50">
              <w:rPr>
                <w:rFonts w:ascii="Arial Narrow" w:hAnsi="Arial Narrow" w:cs="Calibri"/>
                <w:color w:val="000000"/>
                <w:sz w:val="20"/>
                <w:lang w:eastAsia="en-AU"/>
              </w:rPr>
              <w:t xml:space="preserve"> in which benzathine benzylpenicillin therapy is indicated as prophylaxis</w:t>
            </w:r>
          </w:p>
          <w:p w14:paraId="0260ABA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lastRenderedPageBreak/>
              <w:t>Rheumatic fever and/or chorea</w:t>
            </w:r>
            <w:r w:rsidRPr="00A11E50">
              <w:rPr>
                <w:rFonts w:ascii="Arial Narrow" w:hAnsi="Arial Narrow" w:cs="Calibri"/>
                <w:color w:val="000000"/>
                <w:sz w:val="20"/>
                <w:lang w:eastAsia="en-AU"/>
              </w:rPr>
              <w:t xml:space="preserve"> - Prophylaxis with benzathine benzylpenicillin has proven effective in preventing recurrence of these conditions. It has also been used as follow-up prophylactic therapy for rheumatic heart disease and acute glomerulonephritis.</w:t>
            </w:r>
          </w:p>
        </w:tc>
        <w:tc>
          <w:tcPr>
            <w:tcW w:w="1559" w:type="dxa"/>
            <w:noWrap/>
            <w:hideMark/>
          </w:tcPr>
          <w:p w14:paraId="51A5E18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Jul-96</w:t>
            </w:r>
          </w:p>
        </w:tc>
      </w:tr>
      <w:tr w:rsidR="003D50DD" w:rsidRPr="00A11E50" w14:paraId="7D204773" w14:textId="77777777" w:rsidTr="006D4C10">
        <w:trPr>
          <w:trHeight w:val="773"/>
        </w:trPr>
        <w:tc>
          <w:tcPr>
            <w:tcW w:w="1418" w:type="dxa"/>
            <w:noWrap/>
            <w:hideMark/>
          </w:tcPr>
          <w:p w14:paraId="5CC5C6A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Ceftriaxone</w:t>
            </w:r>
          </w:p>
        </w:tc>
        <w:tc>
          <w:tcPr>
            <w:tcW w:w="4111" w:type="dxa"/>
            <w:hideMark/>
          </w:tcPr>
          <w:p w14:paraId="2A63F05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Infections where positive bacteriological evidence confirms that this antibiotic is an appropriate therapeutic agent.</w:t>
            </w:r>
          </w:p>
          <w:p w14:paraId="5707AEA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Septicaemia, suspected.</w:t>
            </w:r>
          </w:p>
          <w:p w14:paraId="5CC49C0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Septicaemia, proven.</w:t>
            </w:r>
            <w:r w:rsidRPr="00A11E50">
              <w:rPr>
                <w:rFonts w:ascii="Arial Narrow" w:hAnsi="Arial Narrow" w:cs="Calibri"/>
                <w:color w:val="000000"/>
                <w:sz w:val="20"/>
                <w:lang w:eastAsia="en-AU"/>
              </w:rPr>
              <w:br/>
            </w:r>
          </w:p>
        </w:tc>
        <w:tc>
          <w:tcPr>
            <w:tcW w:w="1275" w:type="dxa"/>
            <w:hideMark/>
          </w:tcPr>
          <w:p w14:paraId="7DA2A47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Restricted Benefit</w:t>
            </w:r>
          </w:p>
        </w:tc>
        <w:tc>
          <w:tcPr>
            <w:tcW w:w="1134" w:type="dxa"/>
            <w:noWrap/>
            <w:hideMark/>
          </w:tcPr>
          <w:p w14:paraId="638B4C1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71F3858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2657084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Ceftriaxone Injection is indicated for the treatment of the following infections when caused by susceptible aerobic organisms.</w:t>
            </w:r>
          </w:p>
          <w:p w14:paraId="73E468A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 xml:space="preserve">Lower respiratory tract infections. </w:t>
            </w:r>
            <w:r w:rsidRPr="00A11E50">
              <w:rPr>
                <w:rFonts w:ascii="Arial Narrow" w:hAnsi="Arial Narrow" w:cs="Calibri"/>
                <w:color w:val="000000"/>
                <w:sz w:val="20"/>
                <w:lang w:eastAsia="en-AU"/>
              </w:rPr>
              <w:t xml:space="preserve">Caused by Strep. pneumoniae, Streptococcus sp. (excluding Enterococci), methicillin sensitive Staph. aureus, H. influenzae, H. parainfluenzae, Klebsiella sp. (including K. pneumoniae), E. coli, E. aerogenes, P. mirabilis and Serratia marcescens. </w:t>
            </w:r>
          </w:p>
          <w:p w14:paraId="1C907E21"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Skin and skin structure infections.</w:t>
            </w:r>
            <w:r w:rsidRPr="00A11E50">
              <w:rPr>
                <w:rFonts w:ascii="Arial Narrow" w:hAnsi="Arial Narrow" w:cs="Calibri"/>
                <w:color w:val="000000"/>
                <w:sz w:val="20"/>
                <w:lang w:eastAsia="en-AU"/>
              </w:rPr>
              <w:t xml:space="preserve"> Caused by methicillin sensitive Staph. aureus, methicillin sensitive Staph. epidermidis, Streptococcus group B, Streptococcus group G, Strep. pyogenes, Strep. viridans, Streptococcus sp. (excluding Enterococci), Peptostreptococcus sp., E. coli, E. cloacae, Klebsiella sp. (including K. pneumoniae and K. oxytoca), P. mirabilis, M. morganii and S. marcescens. </w:t>
            </w:r>
          </w:p>
          <w:p w14:paraId="6E43845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Urinary tract infections</w:t>
            </w:r>
            <w:r w:rsidRPr="00A11E50">
              <w:rPr>
                <w:rFonts w:ascii="Arial Narrow" w:hAnsi="Arial Narrow" w:cs="Calibri"/>
                <w:color w:val="000000"/>
                <w:sz w:val="20"/>
                <w:lang w:eastAsia="en-AU"/>
              </w:rPr>
              <w:t xml:space="preserve"> (complicated and uncomplicated). Caused by E. coli, P. mirabilis, P. vulgaris, M. morganii and Klebsiella sp. (including K. pneumoniae). </w:t>
            </w:r>
          </w:p>
          <w:p w14:paraId="2F38DAF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Uncomplicated gonorrhoea (</w:t>
            </w:r>
            <w:r w:rsidRPr="00A11E50">
              <w:rPr>
                <w:rFonts w:ascii="Arial Narrow" w:hAnsi="Arial Narrow" w:cs="Calibri"/>
                <w:color w:val="000000"/>
                <w:sz w:val="20"/>
                <w:lang w:eastAsia="en-AU"/>
              </w:rPr>
              <w:t xml:space="preserve">cervical/ urethral and rectal). Caused by N. gonorrhoeae, including both </w:t>
            </w:r>
            <w:r w:rsidRPr="00A11E50">
              <w:rPr>
                <w:rFonts w:ascii="Arial Narrow" w:hAnsi="Arial Narrow" w:cs="Calibri"/>
                <w:color w:val="000000"/>
                <w:sz w:val="20"/>
                <w:lang w:eastAsia="en-AU"/>
              </w:rPr>
              <w:lastRenderedPageBreak/>
              <w:t xml:space="preserve">pencillinase and nonpenicillinase producing strains. </w:t>
            </w:r>
          </w:p>
          <w:p w14:paraId="33351C2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Bacterial septicaemia.</w:t>
            </w:r>
            <w:r w:rsidRPr="00A11E50">
              <w:rPr>
                <w:rFonts w:ascii="Arial Narrow" w:hAnsi="Arial Narrow" w:cs="Calibri"/>
                <w:color w:val="000000"/>
                <w:sz w:val="20"/>
                <w:lang w:eastAsia="en-AU"/>
              </w:rPr>
              <w:t xml:space="preserve"> Caused by Strep. pneumoniae, E. coli and H. influenzae.</w:t>
            </w:r>
            <w:r w:rsidRPr="00A11E50">
              <w:rPr>
                <w:rFonts w:ascii="Arial Narrow" w:hAnsi="Arial Narrow" w:cs="Calibri"/>
                <w:color w:val="000000"/>
                <w:sz w:val="20"/>
                <w:lang w:eastAsia="en-AU"/>
              </w:rPr>
              <w:br/>
            </w:r>
            <w:r w:rsidRPr="00A11E50">
              <w:rPr>
                <w:rFonts w:ascii="Arial Narrow" w:hAnsi="Arial Narrow" w:cs="Calibri"/>
                <w:b/>
                <w:bCs/>
                <w:color w:val="000000"/>
                <w:sz w:val="20"/>
                <w:lang w:eastAsia="en-AU"/>
              </w:rPr>
              <w:t>Bone infections</w:t>
            </w:r>
            <w:r w:rsidRPr="00A11E50">
              <w:rPr>
                <w:rFonts w:ascii="Arial Narrow" w:hAnsi="Arial Narrow" w:cs="Calibri"/>
                <w:color w:val="000000"/>
                <w:sz w:val="20"/>
                <w:lang w:eastAsia="en-AU"/>
              </w:rPr>
              <w:t xml:space="preserve">. Caused by methicillin sensitive Staph. aureus, methicillin sensitive Staph. epidermidis, Streptococcus group B, Strep. pneumoniae, Streptococcus sp. (excluding Enterococci), E.coli, Enterobacter sp., P. mirabilis and K. pneumoniae. </w:t>
            </w:r>
          </w:p>
          <w:p w14:paraId="17860FF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Joint infections.</w:t>
            </w:r>
            <w:r w:rsidRPr="00A11E50">
              <w:rPr>
                <w:rFonts w:ascii="Arial Narrow" w:hAnsi="Arial Narrow" w:cs="Calibri"/>
                <w:color w:val="000000"/>
                <w:sz w:val="20"/>
                <w:lang w:eastAsia="en-AU"/>
              </w:rPr>
              <w:t xml:space="preserve"> Caused by methicillin sensitive Staph. aureus, Strep. pneumoniae, Streptococcus sp. (excluding Enterococci), E. coli, P. mirabilis, K. pneumoniae and Enterobacter sp.</w:t>
            </w:r>
          </w:p>
          <w:p w14:paraId="0D200E2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Meningitis.</w:t>
            </w:r>
            <w:r w:rsidRPr="00A11E50">
              <w:rPr>
                <w:rFonts w:ascii="Arial Narrow" w:hAnsi="Arial Narrow" w:cs="Calibri"/>
                <w:color w:val="000000"/>
                <w:sz w:val="20"/>
                <w:lang w:eastAsia="en-AU"/>
              </w:rPr>
              <w:t xml:space="preserve"> The initial treatment, as a single agent, of meningitis in children and immunocompetent adults when presumed or proven to be caused by H. influenzae type b, N. meningitidis, Strep. pneumoniae or Enterobacteriaceae pending culture and sensitivity results. </w:t>
            </w:r>
          </w:p>
          <w:p w14:paraId="21CB3B8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t xml:space="preserve">Surgical prophylaxis. </w:t>
            </w:r>
            <w:r w:rsidRPr="00A11E50">
              <w:rPr>
                <w:rFonts w:ascii="Arial Narrow" w:hAnsi="Arial Narrow" w:cs="Calibri"/>
                <w:color w:val="000000"/>
                <w:sz w:val="20"/>
                <w:lang w:eastAsia="en-AU"/>
              </w:rPr>
              <w:t xml:space="preserve">The preoperative administration of a single 1 g dose of ceftriaxone may reduce the incidence of postoperative infections in patients undergoing vaginal or abdominal hysterectomy or cholecystectomy in high risk patients, surgical procedures which are classified as contaminated or potentially contaminated, and patients undergoing coronary artery bypass surgery. Although ceftriaxone has been shown to have been as effective as cefazolin in the prevention of infection following coronary artery bypass surgery, no placebo controlled trials have been conducted. </w:t>
            </w:r>
          </w:p>
          <w:p w14:paraId="0CB718E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b/>
                <w:bCs/>
                <w:color w:val="000000"/>
                <w:sz w:val="20"/>
                <w:lang w:eastAsia="en-AU"/>
              </w:rPr>
              <w:lastRenderedPageBreak/>
              <w:t>Susceptibility testing</w:t>
            </w:r>
            <w:r w:rsidRPr="00A11E50">
              <w:rPr>
                <w:rFonts w:ascii="Arial Narrow" w:hAnsi="Arial Narrow" w:cs="Calibri"/>
                <w:color w:val="000000"/>
                <w:sz w:val="20"/>
                <w:lang w:eastAsia="en-AU"/>
              </w:rPr>
              <w:t>. Before instituting treatment with ceftriaxone, appropriate specimens should be obtained for isolation of the causative organism and for determination of its susceptibility to the drug. Therapy may be instituted prior to obtaining results of susceptibility testing.</w:t>
            </w:r>
          </w:p>
        </w:tc>
        <w:tc>
          <w:tcPr>
            <w:tcW w:w="1559" w:type="dxa"/>
            <w:noWrap/>
            <w:hideMark/>
          </w:tcPr>
          <w:p w14:paraId="67427F7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Aug-91</w:t>
            </w:r>
          </w:p>
        </w:tc>
      </w:tr>
      <w:tr w:rsidR="003D50DD" w:rsidRPr="00A11E50" w14:paraId="6F039755" w14:textId="77777777" w:rsidTr="006D4C10">
        <w:trPr>
          <w:trHeight w:val="2758"/>
        </w:trPr>
        <w:tc>
          <w:tcPr>
            <w:tcW w:w="1418" w:type="dxa"/>
            <w:noWrap/>
            <w:hideMark/>
          </w:tcPr>
          <w:p w14:paraId="5A61FD7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Doxycycline</w:t>
            </w:r>
          </w:p>
        </w:tc>
        <w:tc>
          <w:tcPr>
            <w:tcW w:w="4111" w:type="dxa"/>
            <w:hideMark/>
          </w:tcPr>
          <w:p w14:paraId="7C458D4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Urethritis</w:t>
            </w:r>
          </w:p>
        </w:tc>
        <w:tc>
          <w:tcPr>
            <w:tcW w:w="1275" w:type="dxa"/>
            <w:hideMark/>
          </w:tcPr>
          <w:p w14:paraId="1349CED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Restricted Benefit</w:t>
            </w:r>
          </w:p>
        </w:tc>
        <w:tc>
          <w:tcPr>
            <w:tcW w:w="1134" w:type="dxa"/>
            <w:hideMark/>
          </w:tcPr>
          <w:p w14:paraId="1190ACE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Not indicated in PI</w:t>
            </w:r>
          </w:p>
        </w:tc>
        <w:tc>
          <w:tcPr>
            <w:tcW w:w="765" w:type="dxa"/>
            <w:noWrap/>
            <w:hideMark/>
          </w:tcPr>
          <w:p w14:paraId="7645E67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72A8620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Infections caused by the following microorganisms: Mycoplasma pneumoniae (primary atypical pneumonia); Rickettsiae (Queensland tick typhus, epidemic typhus fever, Q fever, murine endemic typhus fever, Australo-Pacific endemic scrub typhus): Chlamydia psittaci (psittacosis); Chlamydia trachomatis (lymphogranuloma venereum, trachoma, inclusion conjunctivitis). </w:t>
            </w:r>
          </w:p>
          <w:p w14:paraId="40C5F39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(Doxycycline is indicated in the treatment of trachoma, although the infectious agent is not always eliminated, as judged by immunofluorescence. Inclusion conjunctivitis may be treated with oral doxycycline alone, or in combination with topical agents.) </w:t>
            </w:r>
          </w:p>
          <w:p w14:paraId="051FFA7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Borreliae (relapsing fever); Calymmatobacterium (Donovania) granulomatis (granuloma inguinale). </w:t>
            </w:r>
          </w:p>
          <w:p w14:paraId="36D7BF88" w14:textId="4E998769"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Infections caused by the following Gram-negative microorganisms: Vibrio sp. (cholera); Brucella sp. (Brucellosis; in conjunction with streptomycin); Yersinia pestis (plague); Francisella tularensis (tularaemia); Bartonella bacilliformis (Bartonellosis); Bacteroides sp. When penicillin is contraindicated, doxycycline is an alternative drug in the treatment of infections due to: Treponema pallidum (syphilis); </w:t>
            </w:r>
            <w:r w:rsidRPr="00A11E50">
              <w:rPr>
                <w:rFonts w:ascii="Arial Narrow" w:hAnsi="Arial Narrow" w:cs="Calibri"/>
                <w:color w:val="000000"/>
                <w:sz w:val="20"/>
                <w:lang w:eastAsia="en-AU"/>
              </w:rPr>
              <w:lastRenderedPageBreak/>
              <w:t>Treponema perenue (yaws); Neisseria gonorrhoea.</w:t>
            </w:r>
          </w:p>
          <w:p w14:paraId="0DDB8F4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Doxycycline is not the drug of choice in the treatment of any type of staphylococcal infection or infections caused by Streptococcus pneumoniae, Haemophilus influenzae, Streptococcus pyogenes, Streptococcus faecalis or any type of enteric bacteria because many strains of these organisms have been shown to be resistant to doxycycline. Doxycycline should not be used in these infections unless the organism has been shown to be sensitive. For upper respiratory infections due to group A b-haemolytic streptococci (including prophylaxis of rheumatic fever), penicillin is the usual drug of choice. </w:t>
            </w:r>
          </w:p>
          <w:p w14:paraId="3B13C26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 acute intestinal amoebiasis doxycycline may be a useful adjunct to amoebicides. </w:t>
            </w:r>
          </w:p>
          <w:p w14:paraId="0016953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 severe acne doxycycline may be a useful adjunctive therapy.</w:t>
            </w:r>
            <w:r w:rsidRPr="00A11E50">
              <w:rPr>
                <w:rFonts w:ascii="Arial Narrow" w:hAnsi="Arial Narrow" w:cs="Calibri"/>
                <w:color w:val="000000"/>
                <w:sz w:val="20"/>
                <w:lang w:eastAsia="en-AU"/>
              </w:rPr>
              <w:br/>
              <w:t>Doxycycline is indicated, in adults and children older than 10 years, as chemoprophylaxis for malaria caused by Plasmodium falciparum and, in combination with other antimalarial agents, against malaria caused by Plasmodium vivax. Doxycycline is only able to suppress malaria caused by P. vivax. As there are relatively few locations where P. vivax does not co-exist to some extent with P. falciparum, it is recommended that doxycycline should be used routinely with other agents, for example chloroquine.</w:t>
            </w:r>
          </w:p>
        </w:tc>
        <w:tc>
          <w:tcPr>
            <w:tcW w:w="1559" w:type="dxa"/>
            <w:noWrap/>
            <w:hideMark/>
          </w:tcPr>
          <w:p w14:paraId="7D66E24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Apr-93</w:t>
            </w:r>
          </w:p>
        </w:tc>
      </w:tr>
      <w:tr w:rsidR="003D50DD" w:rsidRPr="00A11E50" w14:paraId="76C510F1" w14:textId="77777777" w:rsidTr="006D4C10">
        <w:trPr>
          <w:trHeight w:val="3472"/>
        </w:trPr>
        <w:tc>
          <w:tcPr>
            <w:tcW w:w="1418" w:type="dxa"/>
            <w:noWrap/>
            <w:hideMark/>
          </w:tcPr>
          <w:p w14:paraId="77D181C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Valaciclovir</w:t>
            </w:r>
          </w:p>
        </w:tc>
        <w:tc>
          <w:tcPr>
            <w:tcW w:w="4111" w:type="dxa"/>
            <w:hideMark/>
          </w:tcPr>
          <w:p w14:paraId="3B6B95E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Suppressive therapy of moderate to severe recurrent genital herpes. Microbiological confirmation of diagnosis (viral culture, antigen detection or nucleic acid amplification by PCR) is required but need not delay treatment </w:t>
            </w:r>
          </w:p>
        </w:tc>
        <w:tc>
          <w:tcPr>
            <w:tcW w:w="1275" w:type="dxa"/>
            <w:hideMark/>
          </w:tcPr>
          <w:p w14:paraId="296312E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58D8895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619F0F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2C3E71E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Valaciclovir is indicated:</w:t>
            </w:r>
          </w:p>
          <w:p w14:paraId="72A45E8A" w14:textId="77777777" w:rsidR="003D50DD" w:rsidRPr="00A11E50" w:rsidRDefault="003D50DD" w:rsidP="0079641B">
            <w:pPr>
              <w:pStyle w:val="ListParagraph"/>
              <w:numPr>
                <w:ilvl w:val="0"/>
                <w:numId w:val="25"/>
              </w:numPr>
              <w:spacing w:before="60" w:after="60" w:line="240" w:lineRule="auto"/>
              <w:ind w:left="227" w:hanging="227"/>
              <w:rPr>
                <w:rFonts w:ascii="Arial Narrow" w:hAnsi="Arial Narrow" w:cs="Calibri"/>
                <w:color w:val="000000"/>
                <w:sz w:val="20"/>
                <w:lang w:eastAsia="en-AU"/>
              </w:rPr>
            </w:pPr>
            <w:r w:rsidRPr="00A11E50">
              <w:rPr>
                <w:rFonts w:ascii="Arial Narrow" w:hAnsi="Arial Narrow" w:cs="Calibri"/>
                <w:color w:val="000000"/>
                <w:sz w:val="20"/>
                <w:lang w:eastAsia="en-AU"/>
              </w:rPr>
              <w:t xml:space="preserve">For the treatment of herpes zoster (shingles) in adult patients who commence therapy within 72 hours of the onset of rash. </w:t>
            </w:r>
          </w:p>
          <w:p w14:paraId="26CBDA1B" w14:textId="77777777" w:rsidR="003D50DD" w:rsidRPr="00A11E50" w:rsidRDefault="003D50DD" w:rsidP="0079641B">
            <w:pPr>
              <w:pStyle w:val="ListParagraph"/>
              <w:numPr>
                <w:ilvl w:val="0"/>
                <w:numId w:val="25"/>
              </w:numPr>
              <w:spacing w:before="60" w:after="60" w:line="240" w:lineRule="auto"/>
              <w:ind w:left="227" w:hanging="227"/>
              <w:rPr>
                <w:rFonts w:ascii="Arial Narrow" w:hAnsi="Arial Narrow" w:cs="Calibri"/>
                <w:color w:val="000000"/>
                <w:sz w:val="20"/>
                <w:lang w:eastAsia="en-AU"/>
              </w:rPr>
            </w:pPr>
            <w:r w:rsidRPr="00A11E50">
              <w:rPr>
                <w:rFonts w:ascii="Arial Narrow" w:hAnsi="Arial Narrow" w:cs="Calibri"/>
                <w:color w:val="000000"/>
                <w:sz w:val="20"/>
                <w:lang w:eastAsia="en-AU"/>
              </w:rPr>
              <w:t>For the treatment of ophthalmic zoster.</w:t>
            </w:r>
          </w:p>
          <w:p w14:paraId="757B0EF4" w14:textId="77777777" w:rsidR="003D50DD" w:rsidRPr="00A11E50" w:rsidRDefault="003D50DD" w:rsidP="0079641B">
            <w:pPr>
              <w:pStyle w:val="ListParagraph"/>
              <w:numPr>
                <w:ilvl w:val="0"/>
                <w:numId w:val="25"/>
              </w:numPr>
              <w:spacing w:before="60" w:after="60" w:line="240" w:lineRule="auto"/>
              <w:ind w:left="227" w:hanging="227"/>
              <w:rPr>
                <w:rFonts w:ascii="Arial Narrow" w:hAnsi="Arial Narrow" w:cs="Calibri"/>
                <w:color w:val="000000"/>
                <w:sz w:val="20"/>
                <w:lang w:eastAsia="en-AU"/>
              </w:rPr>
            </w:pPr>
            <w:r w:rsidRPr="00A11E50">
              <w:rPr>
                <w:rFonts w:ascii="Arial Narrow" w:hAnsi="Arial Narrow" w:cs="Calibri"/>
                <w:color w:val="000000"/>
                <w:sz w:val="20"/>
                <w:lang w:eastAsia="en-AU"/>
              </w:rPr>
              <w:t>For the treatment of clinical episodes of genital herpes simplex infections.</w:t>
            </w:r>
          </w:p>
          <w:p w14:paraId="0CF99BFB" w14:textId="77777777" w:rsidR="003D50DD" w:rsidRPr="00A11E50" w:rsidRDefault="003D50DD" w:rsidP="0079641B">
            <w:pPr>
              <w:pStyle w:val="ListParagraph"/>
              <w:numPr>
                <w:ilvl w:val="0"/>
                <w:numId w:val="25"/>
              </w:numPr>
              <w:spacing w:before="60" w:after="60" w:line="240" w:lineRule="auto"/>
              <w:ind w:left="227" w:hanging="227"/>
              <w:rPr>
                <w:rFonts w:ascii="Arial Narrow" w:hAnsi="Arial Narrow" w:cs="Calibri"/>
                <w:color w:val="000000"/>
                <w:sz w:val="20"/>
                <w:lang w:eastAsia="en-AU"/>
              </w:rPr>
            </w:pPr>
            <w:r w:rsidRPr="00A11E50">
              <w:rPr>
                <w:rFonts w:ascii="Arial Narrow" w:hAnsi="Arial Narrow" w:cs="Calibri"/>
                <w:color w:val="000000"/>
                <w:sz w:val="20"/>
                <w:lang w:eastAsia="en-AU"/>
              </w:rPr>
              <w:t>For the prevention of recurrent genital herpes in immunocompromised patients with creatinine clearance of &gt;15 mL/min.</w:t>
            </w:r>
          </w:p>
          <w:p w14:paraId="5EE1B10B" w14:textId="77777777" w:rsidR="003D50DD" w:rsidRPr="00A11E50" w:rsidRDefault="003D50DD" w:rsidP="0079641B">
            <w:pPr>
              <w:pStyle w:val="ListParagraph"/>
              <w:numPr>
                <w:ilvl w:val="0"/>
                <w:numId w:val="25"/>
              </w:numPr>
              <w:spacing w:before="60" w:after="60" w:line="240" w:lineRule="auto"/>
              <w:ind w:left="227" w:hanging="227"/>
              <w:rPr>
                <w:rFonts w:ascii="Arial Narrow" w:hAnsi="Arial Narrow" w:cs="Calibri"/>
                <w:color w:val="000000"/>
                <w:sz w:val="20"/>
                <w:lang w:eastAsia="en-AU"/>
              </w:rPr>
            </w:pPr>
            <w:r w:rsidRPr="00A11E50">
              <w:rPr>
                <w:rFonts w:ascii="Arial Narrow" w:hAnsi="Arial Narrow" w:cs="Calibri"/>
                <w:color w:val="000000"/>
                <w:sz w:val="20"/>
                <w:lang w:eastAsia="en-AU"/>
              </w:rPr>
              <w:t>For reduction of transmission of genital herpes in patients suffering from recurrent genital herpes. In addition to therapy with VALACOR 500 (valaciclovir), it is recommended that patients use safer sex practices. (see PRECAUTIONS).</w:t>
            </w:r>
          </w:p>
          <w:p w14:paraId="1351CA11" w14:textId="77777777" w:rsidR="003D50DD" w:rsidRPr="00A11E50" w:rsidRDefault="003D50DD" w:rsidP="0079641B">
            <w:pPr>
              <w:pStyle w:val="ListParagraph"/>
              <w:numPr>
                <w:ilvl w:val="0"/>
                <w:numId w:val="25"/>
              </w:numPr>
              <w:spacing w:before="60" w:after="60" w:line="240" w:lineRule="auto"/>
              <w:ind w:left="227" w:hanging="227"/>
              <w:rPr>
                <w:rFonts w:ascii="Arial Narrow" w:hAnsi="Arial Narrow" w:cs="Calibri"/>
                <w:color w:val="000000"/>
                <w:sz w:val="20"/>
                <w:lang w:eastAsia="en-AU"/>
              </w:rPr>
            </w:pPr>
            <w:r w:rsidRPr="00A11E50">
              <w:rPr>
                <w:rFonts w:ascii="Arial Narrow" w:hAnsi="Arial Narrow" w:cs="Calibri"/>
                <w:color w:val="000000"/>
                <w:sz w:val="20"/>
                <w:lang w:eastAsia="en-AU"/>
              </w:rPr>
              <w:t>For prophylaxis of cytomegalovirus (CMV) infection and disease following solid organ transplantation in patients at risk of CMV disease.</w:t>
            </w:r>
          </w:p>
        </w:tc>
        <w:tc>
          <w:tcPr>
            <w:tcW w:w="1559" w:type="dxa"/>
            <w:noWrap/>
            <w:hideMark/>
          </w:tcPr>
          <w:p w14:paraId="43C1A43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Feb-11</w:t>
            </w:r>
          </w:p>
        </w:tc>
      </w:tr>
      <w:tr w:rsidR="003D50DD" w:rsidRPr="00A11E50" w14:paraId="20A4970F" w14:textId="77777777" w:rsidTr="006D4C10">
        <w:trPr>
          <w:trHeight w:val="2622"/>
        </w:trPr>
        <w:tc>
          <w:tcPr>
            <w:tcW w:w="1418" w:type="dxa"/>
            <w:noWrap/>
            <w:hideMark/>
          </w:tcPr>
          <w:p w14:paraId="0127D44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Aciclovir</w:t>
            </w:r>
          </w:p>
        </w:tc>
        <w:tc>
          <w:tcPr>
            <w:tcW w:w="4111" w:type="dxa"/>
            <w:hideMark/>
          </w:tcPr>
          <w:p w14:paraId="700782D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Herpes simplex keratitis</w:t>
            </w:r>
          </w:p>
        </w:tc>
        <w:tc>
          <w:tcPr>
            <w:tcW w:w="1275" w:type="dxa"/>
            <w:hideMark/>
          </w:tcPr>
          <w:p w14:paraId="6B32F374"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Restricted Benefit</w:t>
            </w:r>
          </w:p>
        </w:tc>
        <w:tc>
          <w:tcPr>
            <w:tcW w:w="1134" w:type="dxa"/>
            <w:noWrap/>
            <w:hideMark/>
          </w:tcPr>
          <w:p w14:paraId="1CB298D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A9F032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11495AE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first episode (primary or nonprimary) genital herpes and the management of recurrent episodes of genital herpes in certain patients.   Treatment of acute attacks of Herpes zoster (shingles) when the duration of rash is less than 72 hours.  The management of patients with advanced symptomatic HIV disease (CD4+ counts &lt; 150 x 106/L).  Genital herpes. Initial episodes. The duration of viral shedding is reduced very significantly; the duration of pain and time to healing are also reduced. The promptness of initiation of therapy and/or the patient’s prior exposure </w:t>
            </w:r>
            <w:r w:rsidRPr="00A11E50">
              <w:rPr>
                <w:rFonts w:ascii="Arial Narrow" w:hAnsi="Arial Narrow" w:cs="Calibri"/>
                <w:color w:val="000000"/>
                <w:sz w:val="20"/>
                <w:lang w:eastAsia="en-AU"/>
              </w:rPr>
              <w:lastRenderedPageBreak/>
              <w:t xml:space="preserve">to Herpes simplex virus may influence the degree of benefit from therapy.  </w:t>
            </w:r>
          </w:p>
          <w:p w14:paraId="4630C79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Intravenous aciclovir should be considered in patients in whom prostration, CNS involvement or inability to take oral medication requires hospitalisation and initiation of more aggressive management.  </w:t>
            </w:r>
          </w:p>
          <w:p w14:paraId="58663290" w14:textId="7C97E1D1"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Aciclovir does not prevent the establishment of latency in initial episodes.</w:t>
            </w:r>
            <w:r w:rsidR="00A119C3">
              <w:rPr>
                <w:rFonts w:ascii="Arial Narrow" w:hAnsi="Arial Narrow" w:cs="Calibri"/>
                <w:color w:val="000000"/>
                <w:sz w:val="20"/>
                <w:lang w:eastAsia="en-AU"/>
              </w:rPr>
              <w:t xml:space="preserve">  </w:t>
            </w:r>
            <w:r w:rsidRPr="00A11E50">
              <w:rPr>
                <w:rFonts w:ascii="Arial Narrow" w:hAnsi="Arial Narrow" w:cs="Calibri"/>
                <w:color w:val="000000"/>
                <w:sz w:val="20"/>
                <w:lang w:eastAsia="en-AU"/>
              </w:rPr>
              <w:t xml:space="preserve"> Recurrent episodes. Suppression. In patients with frequent recurrences, suppressive therapy prevents or reduces the frequency and/or severity of recurrences in a high proportion of patients. Abortive episodes (prodromal symptoms without vesicle formation) and occasional breakthrough episodes may, however, continue to occur during suppressive therapy.</w:t>
            </w:r>
          </w:p>
          <w:p w14:paraId="63AEB36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Suppressive therapy is not considered appropriate for patients in whom attacks are mild, last for short periods and/or occur infrequently (eg. less frequently than once a month).</w:t>
            </w:r>
          </w:p>
          <w:p w14:paraId="402632C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Aciclovir is effective only during the period of intake and has no residual beneficial effect. It does not eradicate the body viral pool. Following cessation of therapy, the time to onset of recurrences, their frequency, severity and duration remain generally unaffected. Some patients may experience increased severity of the first episode following cessation of therapy.</w:t>
            </w:r>
          </w:p>
          <w:p w14:paraId="14765EB3"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The risk of inducing viral resistance and of potential long-term adverse effects (see Precautions, Carcinogenesis, mutagenesis and impairment of </w:t>
            </w:r>
            <w:r w:rsidRPr="00A11E50">
              <w:rPr>
                <w:rFonts w:ascii="Arial Narrow" w:hAnsi="Arial Narrow" w:cs="Calibri"/>
                <w:color w:val="000000"/>
                <w:sz w:val="20"/>
                <w:lang w:eastAsia="en-AU"/>
              </w:rPr>
              <w:lastRenderedPageBreak/>
              <w:t>fertility) should be weighed carefully before initiating suppressive therapy.</w:t>
            </w:r>
            <w:r w:rsidRPr="00A11E50">
              <w:rPr>
                <w:rFonts w:ascii="Arial Narrow" w:hAnsi="Arial Narrow" w:cs="Calibri"/>
                <w:color w:val="000000"/>
                <w:sz w:val="20"/>
                <w:lang w:eastAsia="en-AU"/>
              </w:rPr>
              <w:br/>
              <w:t xml:space="preserve">Asymptomatic cases of genital herpes are known to shed the virus with a high frequency. However, at present only limited data are available on the extent and frequency of viral shedding in patients receiving suppressive therapy. Therefore, if therapy with aciclovir tablets is being used in the prenatal period (see Precautions, Use in pregnancy), it should not be assumed that viral shedding has ceased. Pregnancy should be managed according to considerations normally applicable to patients with genital herpes.  In view of the complex and variable natural history of genital herpes, suppressive therapy should be interrupted periodically to ascertain whether the disease has undergone spontaneous change in frequency or severity. </w:t>
            </w:r>
          </w:p>
          <w:p w14:paraId="1C1BB62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Intermittent treatment. For certain patients, intermittent short-term treatment of recurrences is effective. Although the average patient would derive limited benefits from such treatment, a minority of patients who have experienced severe, prolonged recurrent episodes or recurrences complicated by eczema, burns or immunosuppression may experience more appreciable benefits. In those patients, intermittent treatment may be more appropriate than suppressive therapy when recurrences are infrequent.</w:t>
            </w:r>
          </w:p>
        </w:tc>
        <w:tc>
          <w:tcPr>
            <w:tcW w:w="1559" w:type="dxa"/>
            <w:noWrap/>
            <w:hideMark/>
          </w:tcPr>
          <w:p w14:paraId="6E2871D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Aug-96</w:t>
            </w:r>
          </w:p>
        </w:tc>
      </w:tr>
      <w:tr w:rsidR="003D50DD" w:rsidRPr="00A11E50" w14:paraId="5615F66F" w14:textId="77777777" w:rsidTr="006D4C10">
        <w:trPr>
          <w:trHeight w:val="3614"/>
        </w:trPr>
        <w:tc>
          <w:tcPr>
            <w:tcW w:w="1418" w:type="dxa"/>
            <w:noWrap/>
            <w:hideMark/>
          </w:tcPr>
          <w:p w14:paraId="6543CC6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Famciclovir</w:t>
            </w:r>
          </w:p>
        </w:tc>
        <w:tc>
          <w:tcPr>
            <w:tcW w:w="4111" w:type="dxa"/>
            <w:hideMark/>
          </w:tcPr>
          <w:p w14:paraId="7506515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Episodic treatment of moderate to severe recurrent genital herpes. Microbiological confirmation of diagnosis (viral culture, antigen detection or nucleic acid amplification by PCR) is required but need not delay treatment </w:t>
            </w:r>
          </w:p>
        </w:tc>
        <w:tc>
          <w:tcPr>
            <w:tcW w:w="1275" w:type="dxa"/>
            <w:hideMark/>
          </w:tcPr>
          <w:p w14:paraId="0E6BEF2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5DC2253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7C1BD4A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52BAD52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Famciclovir is indicated for:</w:t>
            </w:r>
          </w:p>
          <w:p w14:paraId="64910194"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treatment of herpes zoster infection in adult patients who commence therapy within 72 hours of the onset of rash. Greatest benefit occurs if the drug is started within 48 hours. Efficacy has not been demonstrated in patients less than 50 years of age, although the occasional younger patient with severe herpes zoster may benefit from therapy with famciclovir. Herpes zoster infection is generally a milder condition in younger patients.</w:t>
            </w:r>
          </w:p>
          <w:p w14:paraId="29F669A0"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treatment of recurrent episodes of genital herpes in adults and adolescents 12 years of age and older.</w:t>
            </w:r>
          </w:p>
          <w:p w14:paraId="6D3EF750"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suppression of recurrent genital herpes.</w:t>
            </w:r>
          </w:p>
          <w:p w14:paraId="23A2B040" w14:textId="31766B06"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treatment of recurrent herpes labialis (cold sores) in immunocompetent adult patients.</w:t>
            </w:r>
          </w:p>
          <w:p w14:paraId="33504837"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Famciclovir is also indicated in immunocompromised patients for:</w:t>
            </w:r>
          </w:p>
          <w:p w14:paraId="29EF2BF7" w14:textId="77777777" w:rsidR="003D50DD" w:rsidRPr="00A11E50" w:rsidRDefault="003D50DD" w:rsidP="0079641B">
            <w:pPr>
              <w:pStyle w:val="ListParagraph"/>
              <w:numPr>
                <w:ilvl w:val="1"/>
                <w:numId w:val="26"/>
              </w:numPr>
              <w:spacing w:before="60" w:after="60" w:line="240" w:lineRule="auto"/>
              <w:ind w:left="652"/>
              <w:rPr>
                <w:rFonts w:ascii="Arial Narrow" w:hAnsi="Arial Narrow" w:cs="Calibri"/>
                <w:color w:val="000000"/>
                <w:sz w:val="20"/>
                <w:lang w:eastAsia="en-AU"/>
              </w:rPr>
            </w:pPr>
            <w:r w:rsidRPr="00A11E50">
              <w:rPr>
                <w:rFonts w:ascii="Arial Narrow" w:hAnsi="Arial Narrow" w:cs="Calibri"/>
                <w:color w:val="000000"/>
                <w:sz w:val="20"/>
                <w:lang w:eastAsia="en-AU"/>
              </w:rPr>
              <w:t>treatment of uncomplicated herpes zoster</w:t>
            </w:r>
          </w:p>
          <w:p w14:paraId="57766F3B" w14:textId="77777777" w:rsidR="003D50DD" w:rsidRPr="00A11E50" w:rsidRDefault="003D50DD" w:rsidP="0079641B">
            <w:pPr>
              <w:pStyle w:val="ListParagraph"/>
              <w:numPr>
                <w:ilvl w:val="1"/>
                <w:numId w:val="26"/>
              </w:numPr>
              <w:spacing w:before="60" w:after="60" w:line="240" w:lineRule="auto"/>
              <w:ind w:left="652"/>
              <w:rPr>
                <w:rFonts w:ascii="Arial Narrow" w:hAnsi="Arial Narrow" w:cs="Calibri"/>
                <w:color w:val="000000"/>
                <w:sz w:val="20"/>
                <w:lang w:eastAsia="en-AU"/>
              </w:rPr>
            </w:pPr>
            <w:r w:rsidRPr="00A11E50">
              <w:rPr>
                <w:rFonts w:ascii="Arial Narrow" w:hAnsi="Arial Narrow" w:cs="Calibri"/>
                <w:color w:val="000000"/>
                <w:sz w:val="20"/>
                <w:lang w:eastAsia="en-AU"/>
              </w:rPr>
              <w:t>treatment of recurrent herpes simplex</w:t>
            </w:r>
          </w:p>
          <w:p w14:paraId="759615BA" w14:textId="77777777" w:rsidR="003D50DD" w:rsidRPr="00A11E50" w:rsidRDefault="003D50DD" w:rsidP="0079641B">
            <w:pPr>
              <w:pStyle w:val="ListParagraph"/>
              <w:numPr>
                <w:ilvl w:val="1"/>
                <w:numId w:val="26"/>
              </w:numPr>
              <w:spacing w:before="60" w:after="60" w:line="240" w:lineRule="auto"/>
              <w:ind w:left="652"/>
              <w:rPr>
                <w:rFonts w:ascii="Arial Narrow" w:hAnsi="Arial Narrow" w:cs="Calibri"/>
                <w:color w:val="000000"/>
                <w:sz w:val="20"/>
                <w:lang w:eastAsia="en-AU"/>
              </w:rPr>
            </w:pPr>
            <w:r w:rsidRPr="00A11E50">
              <w:rPr>
                <w:rFonts w:ascii="Arial Narrow" w:hAnsi="Arial Narrow" w:cs="Calibri"/>
                <w:color w:val="000000"/>
                <w:sz w:val="20"/>
                <w:lang w:eastAsia="en-AU"/>
              </w:rPr>
              <w:t>suppression of recurrent herpes simplex.</w:t>
            </w:r>
          </w:p>
        </w:tc>
        <w:tc>
          <w:tcPr>
            <w:tcW w:w="1559" w:type="dxa"/>
            <w:noWrap/>
            <w:hideMark/>
          </w:tcPr>
          <w:p w14:paraId="19CC84F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May-95</w:t>
            </w:r>
          </w:p>
        </w:tc>
      </w:tr>
      <w:tr w:rsidR="003D50DD" w:rsidRPr="00A11E50" w14:paraId="5A2EB5FA" w14:textId="77777777" w:rsidTr="006D4C10">
        <w:trPr>
          <w:trHeight w:val="620"/>
        </w:trPr>
        <w:tc>
          <w:tcPr>
            <w:tcW w:w="1418" w:type="dxa"/>
            <w:noWrap/>
            <w:hideMark/>
          </w:tcPr>
          <w:p w14:paraId="239BE01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Podophyllotoxin</w:t>
            </w:r>
          </w:p>
        </w:tc>
        <w:tc>
          <w:tcPr>
            <w:tcW w:w="4111" w:type="dxa"/>
            <w:noWrap/>
            <w:hideMark/>
          </w:tcPr>
          <w:p w14:paraId="2DF064B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For the treatment of ano-genital warts</w:t>
            </w:r>
          </w:p>
        </w:tc>
        <w:tc>
          <w:tcPr>
            <w:tcW w:w="1275" w:type="dxa"/>
            <w:hideMark/>
          </w:tcPr>
          <w:p w14:paraId="7A54873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17D40E7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D3AC73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noWrap/>
            <w:hideMark/>
          </w:tcPr>
          <w:p w14:paraId="12F94B5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For the treatment of anogenital warts.</w:t>
            </w:r>
          </w:p>
        </w:tc>
        <w:tc>
          <w:tcPr>
            <w:tcW w:w="1559" w:type="dxa"/>
            <w:noWrap/>
            <w:hideMark/>
          </w:tcPr>
          <w:p w14:paraId="00CD2C7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Feb-92</w:t>
            </w:r>
          </w:p>
        </w:tc>
      </w:tr>
      <w:tr w:rsidR="003D50DD" w:rsidRPr="00A11E50" w14:paraId="40EEBDC8" w14:textId="77777777" w:rsidTr="006D4C10">
        <w:trPr>
          <w:trHeight w:val="1619"/>
        </w:trPr>
        <w:tc>
          <w:tcPr>
            <w:tcW w:w="1418" w:type="dxa"/>
            <w:noWrap/>
            <w:hideMark/>
          </w:tcPr>
          <w:p w14:paraId="4D082A3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Imiquimod</w:t>
            </w:r>
          </w:p>
        </w:tc>
        <w:tc>
          <w:tcPr>
            <w:tcW w:w="4111" w:type="dxa"/>
            <w:hideMark/>
          </w:tcPr>
          <w:p w14:paraId="4D49331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biopsy confirmed primary (previously untreated) superficial basal cell carcinoma (sBCC) in patients with normal immune function for whom surgical excision, cryotherapy, or curettage with diathermy are inappropriate and topical drug therapy is required. </w:t>
            </w:r>
          </w:p>
          <w:p w14:paraId="0C3AA7E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The date of the pathology report and name of the Approved Pathology Authority must be provided at the time of application</w:t>
            </w:r>
          </w:p>
        </w:tc>
        <w:tc>
          <w:tcPr>
            <w:tcW w:w="1275" w:type="dxa"/>
            <w:hideMark/>
          </w:tcPr>
          <w:p w14:paraId="4148A7A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1B5598B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DD0DB3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1077411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Imiquimod indicated for:</w:t>
            </w:r>
          </w:p>
          <w:p w14:paraId="4A092DAE"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solar (actinic) keratosis on the face and scalp (see Precautions), and </w:t>
            </w:r>
          </w:p>
          <w:p w14:paraId="5D2A3EA1"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 xml:space="preserve">primary treatment of confirmed superficial basal cell carcinoma where surgery is considered inappropriate, and </w:t>
            </w:r>
          </w:p>
          <w:p w14:paraId="38B19F33"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treatment of external genital and perianal warts/condyloma acuminata in adults</w:t>
            </w:r>
          </w:p>
        </w:tc>
        <w:tc>
          <w:tcPr>
            <w:tcW w:w="1559" w:type="dxa"/>
            <w:noWrap/>
            <w:hideMark/>
          </w:tcPr>
          <w:p w14:paraId="113532E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Aug-98</w:t>
            </w:r>
          </w:p>
        </w:tc>
      </w:tr>
      <w:tr w:rsidR="003D50DD" w:rsidRPr="00A11E50" w14:paraId="6EC3E7D1" w14:textId="77777777" w:rsidTr="006D4C10">
        <w:trPr>
          <w:trHeight w:val="1273"/>
        </w:trPr>
        <w:tc>
          <w:tcPr>
            <w:tcW w:w="1418" w:type="dxa"/>
            <w:hideMark/>
          </w:tcPr>
          <w:p w14:paraId="21F370C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Metronidazole</w:t>
            </w:r>
          </w:p>
        </w:tc>
        <w:tc>
          <w:tcPr>
            <w:tcW w:w="4111" w:type="dxa"/>
            <w:hideMark/>
          </w:tcPr>
          <w:p w14:paraId="133A7B4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of anaerobic infections</w:t>
            </w:r>
          </w:p>
        </w:tc>
        <w:tc>
          <w:tcPr>
            <w:tcW w:w="1275" w:type="dxa"/>
            <w:hideMark/>
          </w:tcPr>
          <w:p w14:paraId="4599203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Restricted Benefit</w:t>
            </w:r>
          </w:p>
        </w:tc>
        <w:tc>
          <w:tcPr>
            <w:tcW w:w="1134" w:type="dxa"/>
            <w:noWrap/>
            <w:hideMark/>
          </w:tcPr>
          <w:p w14:paraId="1E76101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253EC9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58A92DF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Oral treatment of urogenital trichomoniasis in the female (trichomonal vaginitis) and in the male, and for the treatment of bacterial vaginosis. The male consort of females suffering from urogenital trichomoniasis should be treated concurrently; all forms of amoebiasis (intestinal and extraintestinal disease and that of symptomless cyst passers); giardiasis; acute ulcerative gingivitis.</w:t>
            </w:r>
          </w:p>
        </w:tc>
        <w:tc>
          <w:tcPr>
            <w:tcW w:w="1559" w:type="dxa"/>
            <w:noWrap/>
            <w:hideMark/>
          </w:tcPr>
          <w:p w14:paraId="6D54F18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Oct-91</w:t>
            </w:r>
          </w:p>
        </w:tc>
      </w:tr>
      <w:tr w:rsidR="003D50DD" w:rsidRPr="00A11E50" w14:paraId="7D2CAD08" w14:textId="77777777" w:rsidTr="006D4C10">
        <w:trPr>
          <w:trHeight w:val="842"/>
        </w:trPr>
        <w:tc>
          <w:tcPr>
            <w:tcW w:w="1418" w:type="dxa"/>
            <w:noWrap/>
            <w:hideMark/>
          </w:tcPr>
          <w:p w14:paraId="6CA13A4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Fluconazonle</w:t>
            </w:r>
          </w:p>
        </w:tc>
        <w:tc>
          <w:tcPr>
            <w:tcW w:w="4111" w:type="dxa"/>
            <w:hideMark/>
          </w:tcPr>
          <w:p w14:paraId="0045B1A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of serious and life-threatening candida infections</w:t>
            </w:r>
          </w:p>
        </w:tc>
        <w:tc>
          <w:tcPr>
            <w:tcW w:w="1275" w:type="dxa"/>
            <w:hideMark/>
          </w:tcPr>
          <w:p w14:paraId="0CBD10E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4C3D974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71E24E1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noWrap/>
            <w:hideMark/>
          </w:tcPr>
          <w:p w14:paraId="11DA8CD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Vaginal candidiasis, when topical therapy has failed.</w:t>
            </w:r>
          </w:p>
        </w:tc>
        <w:tc>
          <w:tcPr>
            <w:tcW w:w="1559" w:type="dxa"/>
            <w:noWrap/>
            <w:hideMark/>
          </w:tcPr>
          <w:p w14:paraId="0859EED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June 2005.</w:t>
            </w:r>
          </w:p>
        </w:tc>
      </w:tr>
      <w:tr w:rsidR="003D50DD" w:rsidRPr="00A11E50" w14:paraId="1347D9F0" w14:textId="77777777" w:rsidTr="006D4C10">
        <w:trPr>
          <w:trHeight w:val="287"/>
        </w:trPr>
        <w:tc>
          <w:tcPr>
            <w:tcW w:w="1418" w:type="dxa"/>
            <w:noWrap/>
            <w:hideMark/>
          </w:tcPr>
          <w:p w14:paraId="35F7009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Ketcanazole</w:t>
            </w:r>
          </w:p>
        </w:tc>
        <w:tc>
          <w:tcPr>
            <w:tcW w:w="4111" w:type="dxa"/>
            <w:hideMark/>
          </w:tcPr>
          <w:p w14:paraId="5FDDB3D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Oral candidiasis in severely immunocompromised persons where topical therapy has failed.  Systemic or deep mycoses where other forms of therapy have failed.</w:t>
            </w:r>
          </w:p>
        </w:tc>
        <w:tc>
          <w:tcPr>
            <w:tcW w:w="1275" w:type="dxa"/>
            <w:hideMark/>
          </w:tcPr>
          <w:p w14:paraId="5748E79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22E882D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4CEF36EF"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101B52B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Ketoconazole 200 mg tablets are indicated for the treatment of:</w:t>
            </w:r>
          </w:p>
          <w:p w14:paraId="0340A21B" w14:textId="77777777" w:rsidR="003D50DD" w:rsidRPr="00A11E50" w:rsidRDefault="003D50DD" w:rsidP="0079641B">
            <w:pPr>
              <w:pStyle w:val="ListParagraph"/>
              <w:numPr>
                <w:ilvl w:val="0"/>
                <w:numId w:val="27"/>
              </w:numPr>
              <w:spacing w:before="60" w:after="60" w:line="240" w:lineRule="auto"/>
              <w:ind w:left="227" w:hanging="283"/>
              <w:rPr>
                <w:rFonts w:ascii="Arial Narrow" w:hAnsi="Arial Narrow" w:cs="Calibri"/>
                <w:color w:val="000000"/>
                <w:sz w:val="20"/>
                <w:lang w:eastAsia="en-AU"/>
              </w:rPr>
            </w:pPr>
            <w:r w:rsidRPr="00A11E50">
              <w:rPr>
                <w:rFonts w:ascii="Arial Narrow" w:hAnsi="Arial Narrow" w:cs="Calibri"/>
                <w:color w:val="000000"/>
                <w:sz w:val="20"/>
                <w:lang w:eastAsia="en-AU"/>
              </w:rPr>
              <w:t>Systemic and deep mycoses (due to susceptible fungi) where other available antifungal therapies have failed or are contraindicated. Ketoconazole does not penetrate well in the CNS. Therefore, fungal meningitis should not be treated with oral ketoconazole.</w:t>
            </w:r>
          </w:p>
          <w:p w14:paraId="619789B3" w14:textId="77777777" w:rsidR="003D50DD" w:rsidRPr="00A11E50" w:rsidRDefault="003D50DD" w:rsidP="0079641B">
            <w:pPr>
              <w:pStyle w:val="ListParagraph"/>
              <w:numPr>
                <w:ilvl w:val="0"/>
                <w:numId w:val="27"/>
              </w:numPr>
              <w:spacing w:before="60" w:after="60" w:line="240" w:lineRule="auto"/>
              <w:ind w:left="227" w:hanging="283"/>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Recalcitrant cases of superficial mycoses (due to susceptible fungi) which fail to respond to topical therapy and other conventional treatments.</w:t>
            </w:r>
          </w:p>
        </w:tc>
        <w:tc>
          <w:tcPr>
            <w:tcW w:w="1559" w:type="dxa"/>
            <w:noWrap/>
            <w:hideMark/>
          </w:tcPr>
          <w:p w14:paraId="0D8A721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May-11</w:t>
            </w:r>
          </w:p>
        </w:tc>
      </w:tr>
      <w:tr w:rsidR="003D50DD" w:rsidRPr="00A11E50" w14:paraId="573BA240" w14:textId="77777777" w:rsidTr="006D4C10">
        <w:trPr>
          <w:trHeight w:val="64"/>
        </w:trPr>
        <w:tc>
          <w:tcPr>
            <w:tcW w:w="1418" w:type="dxa"/>
            <w:noWrap/>
            <w:hideMark/>
          </w:tcPr>
          <w:p w14:paraId="4680902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Itraconazole</w:t>
            </w:r>
          </w:p>
        </w:tc>
        <w:tc>
          <w:tcPr>
            <w:tcW w:w="4111" w:type="dxa"/>
            <w:hideMark/>
          </w:tcPr>
          <w:p w14:paraId="4D26D1F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Systemic aspergillosis.  </w:t>
            </w:r>
          </w:p>
          <w:p w14:paraId="65524B4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Systemic sporotrichosis.  </w:t>
            </w:r>
          </w:p>
          <w:p w14:paraId="211F768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Systemic histoplasmosis.  </w:t>
            </w:r>
          </w:p>
          <w:p w14:paraId="4F1303AA"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and maintenance therapy in patients with AIDS who have disseminated pulmonary histoplasmosis infection.  </w:t>
            </w:r>
          </w:p>
          <w:p w14:paraId="27807CC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and maintenance therapy in patients with AIDS who have chronic pulmonary histoplasmosis infection.  </w:t>
            </w:r>
          </w:p>
          <w:p w14:paraId="0740C1D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Treatment of oropharyngeal candidiasis in immunosuppressed patients.  </w:t>
            </w:r>
          </w:p>
          <w:p w14:paraId="5A58B76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of oesophageal candidiasis in immunosuppressed patients.</w:t>
            </w:r>
          </w:p>
        </w:tc>
        <w:tc>
          <w:tcPr>
            <w:tcW w:w="1275" w:type="dxa"/>
            <w:hideMark/>
          </w:tcPr>
          <w:p w14:paraId="1881F9D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4D5B534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Not listed in PI</w:t>
            </w:r>
          </w:p>
        </w:tc>
        <w:tc>
          <w:tcPr>
            <w:tcW w:w="765" w:type="dxa"/>
            <w:noWrap/>
            <w:hideMark/>
          </w:tcPr>
          <w:p w14:paraId="439682E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002926B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Itraconazole is indicated for:</w:t>
            </w:r>
          </w:p>
          <w:p w14:paraId="45BF4745"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the treatment of oral and/or oesophageal candidiasis in HIV-positive or other immunocompromised patients.</w:t>
            </w:r>
          </w:p>
          <w:p w14:paraId="561E0785" w14:textId="77777777" w:rsidR="003D50DD" w:rsidRPr="00A11E50" w:rsidRDefault="003D50DD" w:rsidP="0079641B">
            <w:pPr>
              <w:pStyle w:val="ListParagraph"/>
              <w:numPr>
                <w:ilvl w:val="0"/>
                <w:numId w:val="26"/>
              </w:numPr>
              <w:spacing w:before="60" w:after="60" w:line="240" w:lineRule="auto"/>
              <w:ind w:left="369"/>
              <w:rPr>
                <w:rFonts w:ascii="Arial Narrow" w:hAnsi="Arial Narrow" w:cs="Calibri"/>
                <w:color w:val="000000"/>
                <w:sz w:val="20"/>
                <w:lang w:eastAsia="en-AU"/>
              </w:rPr>
            </w:pPr>
            <w:r w:rsidRPr="00A11E50">
              <w:rPr>
                <w:rFonts w:ascii="Arial Narrow" w:hAnsi="Arial Narrow" w:cs="Calibri"/>
                <w:color w:val="000000"/>
                <w:sz w:val="20"/>
                <w:lang w:eastAsia="en-AU"/>
              </w:rPr>
              <w:t>prophylaxis of fungal infections in neutropenic patients.</w:t>
            </w:r>
          </w:p>
        </w:tc>
        <w:tc>
          <w:tcPr>
            <w:tcW w:w="1559" w:type="dxa"/>
            <w:noWrap/>
            <w:hideMark/>
          </w:tcPr>
          <w:p w14:paraId="59135F4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Aug-08</w:t>
            </w:r>
          </w:p>
        </w:tc>
      </w:tr>
      <w:tr w:rsidR="003D50DD" w:rsidRPr="00A11E50" w14:paraId="332F308C" w14:textId="77777777" w:rsidTr="006D4C10">
        <w:trPr>
          <w:trHeight w:val="930"/>
        </w:trPr>
        <w:tc>
          <w:tcPr>
            <w:tcW w:w="1418" w:type="dxa"/>
            <w:noWrap/>
            <w:hideMark/>
          </w:tcPr>
          <w:p w14:paraId="25CC6192"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Nystatin</w:t>
            </w:r>
          </w:p>
        </w:tc>
        <w:tc>
          <w:tcPr>
            <w:tcW w:w="4111" w:type="dxa"/>
            <w:hideMark/>
          </w:tcPr>
          <w:p w14:paraId="2CC7DC3B"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of a fungal or a yeast infection in an Aboriginal or a Torres Strait Islander person</w:t>
            </w:r>
          </w:p>
        </w:tc>
        <w:tc>
          <w:tcPr>
            <w:tcW w:w="1275" w:type="dxa"/>
            <w:hideMark/>
          </w:tcPr>
          <w:p w14:paraId="0A58942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 (Streamlined)</w:t>
            </w:r>
          </w:p>
        </w:tc>
        <w:tc>
          <w:tcPr>
            <w:tcW w:w="1134" w:type="dxa"/>
            <w:noWrap/>
            <w:hideMark/>
          </w:tcPr>
          <w:p w14:paraId="0337A7E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930402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1B1AC53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Kenacomb is indicated for the relief of the inflammatory and pruritic manifestations of dermatoses likely to become or which are already infected.</w:t>
            </w:r>
          </w:p>
        </w:tc>
        <w:tc>
          <w:tcPr>
            <w:tcW w:w="1559" w:type="dxa"/>
            <w:noWrap/>
            <w:hideMark/>
          </w:tcPr>
          <w:p w14:paraId="6D0D52D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May-94</w:t>
            </w:r>
          </w:p>
        </w:tc>
      </w:tr>
      <w:tr w:rsidR="003D50DD" w:rsidRPr="00A11E50" w14:paraId="0B8761B0" w14:textId="77777777" w:rsidTr="006D4C10">
        <w:trPr>
          <w:trHeight w:val="2764"/>
        </w:trPr>
        <w:tc>
          <w:tcPr>
            <w:tcW w:w="1418" w:type="dxa"/>
            <w:noWrap/>
            <w:hideMark/>
          </w:tcPr>
          <w:p w14:paraId="34663C75"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Tinidazole</w:t>
            </w:r>
          </w:p>
        </w:tc>
        <w:tc>
          <w:tcPr>
            <w:tcW w:w="4111" w:type="dxa"/>
            <w:hideMark/>
          </w:tcPr>
          <w:p w14:paraId="512A26E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Indications not listed</w:t>
            </w:r>
          </w:p>
        </w:tc>
        <w:tc>
          <w:tcPr>
            <w:tcW w:w="1275" w:type="dxa"/>
            <w:hideMark/>
          </w:tcPr>
          <w:p w14:paraId="5924247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General Schedule</w:t>
            </w:r>
          </w:p>
        </w:tc>
        <w:tc>
          <w:tcPr>
            <w:tcW w:w="1134" w:type="dxa"/>
            <w:noWrap/>
            <w:hideMark/>
          </w:tcPr>
          <w:p w14:paraId="5A96F4C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6C39DF3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0336430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Tinidazole is indicated for the oral treatment of:</w:t>
            </w:r>
          </w:p>
          <w:p w14:paraId="53B59CBC" w14:textId="77777777" w:rsidR="003D50DD" w:rsidRPr="00A11E50" w:rsidRDefault="003D50DD" w:rsidP="0079641B">
            <w:pPr>
              <w:pStyle w:val="ListParagraph"/>
              <w:numPr>
                <w:ilvl w:val="0"/>
                <w:numId w:val="28"/>
              </w:numPr>
              <w:spacing w:before="60" w:after="60" w:line="240" w:lineRule="auto"/>
              <w:ind w:left="369" w:hanging="369"/>
              <w:rPr>
                <w:rFonts w:ascii="Arial Narrow" w:hAnsi="Arial Narrow" w:cs="Calibri"/>
                <w:color w:val="000000"/>
                <w:sz w:val="20"/>
                <w:lang w:eastAsia="en-AU"/>
              </w:rPr>
            </w:pPr>
            <w:r w:rsidRPr="00A11E50">
              <w:rPr>
                <w:rFonts w:ascii="Arial Narrow" w:hAnsi="Arial Narrow" w:cs="Calibri"/>
                <w:color w:val="000000"/>
                <w:sz w:val="20"/>
                <w:lang w:eastAsia="en-AU"/>
              </w:rPr>
              <w:t>Trichomonas vaginalis infections of the genito-urinary tract in both female and male patients. When infection with Trichomonas vaginalis has been confirmed or is suspected, simultaneous treatment of the consort is recommended.</w:t>
            </w:r>
          </w:p>
          <w:p w14:paraId="794ABF8C" w14:textId="77777777" w:rsidR="003D50DD" w:rsidRPr="00A11E50" w:rsidRDefault="003D50DD" w:rsidP="0079641B">
            <w:pPr>
              <w:pStyle w:val="ListParagraph"/>
              <w:numPr>
                <w:ilvl w:val="0"/>
                <w:numId w:val="28"/>
              </w:numPr>
              <w:spacing w:before="60" w:after="60" w:line="240" w:lineRule="auto"/>
              <w:ind w:left="369" w:hanging="369"/>
              <w:rPr>
                <w:rFonts w:ascii="Arial Narrow" w:hAnsi="Arial Narrow" w:cs="Calibri"/>
                <w:color w:val="000000"/>
                <w:sz w:val="20"/>
                <w:lang w:eastAsia="en-AU"/>
              </w:rPr>
            </w:pPr>
            <w:r w:rsidRPr="00A11E50">
              <w:rPr>
                <w:rFonts w:ascii="Arial Narrow" w:hAnsi="Arial Narrow" w:cs="Calibri"/>
                <w:color w:val="000000"/>
                <w:sz w:val="20"/>
                <w:lang w:eastAsia="en-AU"/>
              </w:rPr>
              <w:t>Giardiasis</w:t>
            </w:r>
          </w:p>
          <w:p w14:paraId="43A35A3E" w14:textId="77777777" w:rsidR="003D50DD" w:rsidRPr="00A11E50" w:rsidRDefault="003D50DD" w:rsidP="0079641B">
            <w:pPr>
              <w:pStyle w:val="ListParagraph"/>
              <w:numPr>
                <w:ilvl w:val="0"/>
                <w:numId w:val="28"/>
              </w:numPr>
              <w:spacing w:before="60" w:after="60" w:line="240" w:lineRule="auto"/>
              <w:ind w:left="369" w:hanging="369"/>
              <w:rPr>
                <w:rFonts w:ascii="Arial Narrow" w:hAnsi="Arial Narrow" w:cs="Calibri"/>
                <w:color w:val="000000"/>
                <w:sz w:val="20"/>
                <w:lang w:eastAsia="en-AU"/>
              </w:rPr>
            </w:pPr>
            <w:r w:rsidRPr="00A11E50">
              <w:rPr>
                <w:rFonts w:ascii="Arial Narrow" w:hAnsi="Arial Narrow" w:cs="Calibri"/>
                <w:color w:val="000000"/>
                <w:sz w:val="20"/>
                <w:lang w:eastAsia="en-AU"/>
              </w:rPr>
              <w:t>Amoebic Dysentery and Amoebic Liver Abscess</w:t>
            </w:r>
          </w:p>
          <w:p w14:paraId="6CC9C414" w14:textId="77777777" w:rsidR="003D50DD" w:rsidRPr="00A11E50" w:rsidRDefault="003D50DD" w:rsidP="0079641B">
            <w:pPr>
              <w:pStyle w:val="ListParagraph"/>
              <w:numPr>
                <w:ilvl w:val="0"/>
                <w:numId w:val="28"/>
              </w:numPr>
              <w:spacing w:before="60" w:after="60" w:line="240" w:lineRule="auto"/>
              <w:ind w:left="369" w:hanging="369"/>
              <w:rPr>
                <w:rFonts w:ascii="Arial Narrow" w:hAnsi="Arial Narrow" w:cs="Calibri"/>
                <w:color w:val="000000"/>
                <w:sz w:val="20"/>
                <w:lang w:eastAsia="en-AU"/>
              </w:rPr>
            </w:pPr>
            <w:r w:rsidRPr="00A11E50">
              <w:rPr>
                <w:rFonts w:ascii="Arial Narrow" w:hAnsi="Arial Narrow" w:cs="Calibri"/>
                <w:color w:val="000000"/>
                <w:sz w:val="20"/>
                <w:lang w:eastAsia="en-AU"/>
              </w:rPr>
              <w:t>Acute Giardiasis and Acute Amoebic Dysentery and Amoebic Liver disease in children.</w:t>
            </w:r>
          </w:p>
          <w:p w14:paraId="13741F04" w14:textId="77777777" w:rsidR="003D50DD" w:rsidRPr="00A11E50" w:rsidRDefault="003D50DD" w:rsidP="0079641B">
            <w:pPr>
              <w:pStyle w:val="ListParagraph"/>
              <w:numPr>
                <w:ilvl w:val="0"/>
                <w:numId w:val="28"/>
              </w:numPr>
              <w:spacing w:before="60" w:after="60" w:line="240" w:lineRule="auto"/>
              <w:ind w:left="369" w:hanging="369"/>
              <w:rPr>
                <w:rFonts w:ascii="Arial Narrow" w:hAnsi="Arial Narrow" w:cs="Calibri"/>
                <w:color w:val="000000"/>
                <w:sz w:val="20"/>
                <w:lang w:eastAsia="en-AU"/>
              </w:rPr>
            </w:pPr>
            <w:r w:rsidRPr="00A11E50">
              <w:rPr>
                <w:rFonts w:ascii="Arial Narrow" w:hAnsi="Arial Narrow" w:cs="Calibri"/>
                <w:color w:val="000000"/>
                <w:sz w:val="20"/>
                <w:lang w:eastAsia="en-AU"/>
              </w:rPr>
              <w:t>The prevention of infection of the surgical site which may be contaminated or potentially contaminated with anaerobic organisms, for example during colonic, gastro-intestinal and gynaecological surgery.</w:t>
            </w:r>
          </w:p>
        </w:tc>
        <w:tc>
          <w:tcPr>
            <w:tcW w:w="1559" w:type="dxa"/>
            <w:noWrap/>
            <w:hideMark/>
          </w:tcPr>
          <w:p w14:paraId="68D697B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Sep-06</w:t>
            </w:r>
          </w:p>
        </w:tc>
      </w:tr>
      <w:tr w:rsidR="003D50DD" w:rsidRPr="00A11E50" w14:paraId="14957B96" w14:textId="77777777" w:rsidTr="006D4C10">
        <w:trPr>
          <w:trHeight w:val="1550"/>
        </w:trPr>
        <w:tc>
          <w:tcPr>
            <w:tcW w:w="1418" w:type="dxa"/>
            <w:hideMark/>
          </w:tcPr>
          <w:p w14:paraId="63BB495E"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Betamethasone Dipropionate (As Diprosone Ov)</w:t>
            </w:r>
          </w:p>
        </w:tc>
        <w:tc>
          <w:tcPr>
            <w:tcW w:w="4111" w:type="dxa"/>
            <w:hideMark/>
          </w:tcPr>
          <w:p w14:paraId="22FA905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Treatment of corticosteroid-responsive dermatoses</w:t>
            </w:r>
          </w:p>
        </w:tc>
        <w:tc>
          <w:tcPr>
            <w:tcW w:w="1275" w:type="dxa"/>
            <w:hideMark/>
          </w:tcPr>
          <w:p w14:paraId="01801062"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Restricted Benefit</w:t>
            </w:r>
          </w:p>
        </w:tc>
        <w:tc>
          <w:tcPr>
            <w:tcW w:w="1134" w:type="dxa"/>
            <w:noWrap/>
            <w:hideMark/>
          </w:tcPr>
          <w:p w14:paraId="29012A9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2CCC868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3D52B96F"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DIPROSONE OV Cream, Ointment and Lotion are indicated for the relief of the inflammatory and pruritic manifestations of resistant or severe corticosteroid-responsive dermatoses. These include atopic eczema, nummular eczema, contact dermatitis, neurodermatitis, anogenital and senile pruritus, lichen planus and psoriasis. DIPROSONE OV Ointment is also indicated for the maintenance of remission in chronic psoriasis.</w:t>
            </w:r>
          </w:p>
        </w:tc>
        <w:tc>
          <w:tcPr>
            <w:tcW w:w="1559" w:type="dxa"/>
            <w:noWrap/>
            <w:hideMark/>
          </w:tcPr>
          <w:p w14:paraId="29A0B03A"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Not indicated in PI</w:t>
            </w:r>
          </w:p>
        </w:tc>
      </w:tr>
      <w:tr w:rsidR="003D50DD" w:rsidRPr="00A11E50" w14:paraId="53AA7474" w14:textId="77777777" w:rsidTr="006D4C10">
        <w:trPr>
          <w:trHeight w:val="620"/>
        </w:trPr>
        <w:tc>
          <w:tcPr>
            <w:tcW w:w="1418" w:type="dxa"/>
            <w:noWrap/>
            <w:hideMark/>
          </w:tcPr>
          <w:p w14:paraId="45B2ED2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Sildenafil (Viagra)</w:t>
            </w:r>
          </w:p>
        </w:tc>
        <w:tc>
          <w:tcPr>
            <w:tcW w:w="4111" w:type="dxa"/>
            <w:hideMark/>
          </w:tcPr>
          <w:p w14:paraId="7C40CBD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Specific accepted war-caused or service-related disabilities for males with vasculogenic, psychogenic or neurogenic erectile dysfunction. </w:t>
            </w:r>
          </w:p>
        </w:tc>
        <w:tc>
          <w:tcPr>
            <w:tcW w:w="1275" w:type="dxa"/>
            <w:hideMark/>
          </w:tcPr>
          <w:p w14:paraId="5CD87BF9"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7818F850"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70FB14B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6B57844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Sildenafil is indicated for the treatment of erectile dysfunction in adult males.</w:t>
            </w:r>
          </w:p>
        </w:tc>
        <w:tc>
          <w:tcPr>
            <w:tcW w:w="1559" w:type="dxa"/>
            <w:noWrap/>
            <w:hideMark/>
          </w:tcPr>
          <w:p w14:paraId="177A8E1C"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Feb-03</w:t>
            </w:r>
          </w:p>
        </w:tc>
      </w:tr>
      <w:tr w:rsidR="003D50DD" w:rsidRPr="00A11E50" w14:paraId="60E725E2" w14:textId="77777777" w:rsidTr="006D4C10">
        <w:trPr>
          <w:trHeight w:val="631"/>
        </w:trPr>
        <w:tc>
          <w:tcPr>
            <w:tcW w:w="1418" w:type="dxa"/>
            <w:noWrap/>
            <w:hideMark/>
          </w:tcPr>
          <w:p w14:paraId="4D426D64"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Tadalifil</w:t>
            </w:r>
          </w:p>
        </w:tc>
        <w:tc>
          <w:tcPr>
            <w:tcW w:w="4111" w:type="dxa"/>
            <w:hideMark/>
          </w:tcPr>
          <w:p w14:paraId="086B7AB6"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 xml:space="preserve">Application for initial PBS-subsidised treatment with tadalafil of patients who have not received prior PBS-subsidised treatment with a PAH agent and who have been assessed by a physician from a designated hospital to have: </w:t>
            </w:r>
          </w:p>
          <w:p w14:paraId="1E4F4261" w14:textId="77777777" w:rsidR="003D50DD" w:rsidRPr="00A11E50" w:rsidRDefault="003D50DD" w:rsidP="0079641B">
            <w:pPr>
              <w:pStyle w:val="ListParagraph"/>
              <w:numPr>
                <w:ilvl w:val="0"/>
                <w:numId w:val="29"/>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WHO Functional Class III primary pulmonary hypertension and a mean right atrial pressure of 8 mmHg or less, as measured by RHC, or, where a RHC cannot be performed on clinical grounds, right ventricular function as assessed by ECHO; OR</w:t>
            </w:r>
          </w:p>
          <w:p w14:paraId="61B247CC" w14:textId="77777777" w:rsidR="003D50DD" w:rsidRPr="00A11E50" w:rsidRDefault="003D50DD" w:rsidP="0079641B">
            <w:pPr>
              <w:pStyle w:val="ListParagraph"/>
              <w:numPr>
                <w:ilvl w:val="0"/>
                <w:numId w:val="29"/>
              </w:numPr>
              <w:spacing w:before="60" w:after="60" w:line="240" w:lineRule="auto"/>
              <w:ind w:left="284"/>
              <w:rPr>
                <w:rFonts w:ascii="Arial Narrow" w:hAnsi="Arial Narrow" w:cs="Calibri"/>
                <w:color w:val="000000"/>
                <w:sz w:val="20"/>
                <w:lang w:eastAsia="en-AU"/>
              </w:rPr>
            </w:pPr>
            <w:r w:rsidRPr="00A11E50">
              <w:rPr>
                <w:rFonts w:ascii="Arial Narrow" w:hAnsi="Arial Narrow" w:cs="Calibri"/>
                <w:color w:val="000000"/>
                <w:sz w:val="20"/>
                <w:lang w:eastAsia="en-AU"/>
              </w:rPr>
              <w:t xml:space="preserve">WHO Functional Class III pulmonary arterial hypertension secondary to connective tissue disease and a mean right atrial pressure of 8 mmHg or less, as measured by RHC, or, where a RHC cannot be performed on clinical grounds, right ventricular function as assessed by ECHO. </w:t>
            </w:r>
          </w:p>
          <w:p w14:paraId="0F793EAB" w14:textId="77777777" w:rsidR="003D50DD" w:rsidRPr="00A11E50" w:rsidRDefault="003D50DD" w:rsidP="00D270B7">
            <w:pPr>
              <w:spacing w:before="60" w:after="60" w:line="240" w:lineRule="auto"/>
              <w:ind w:left="-76"/>
              <w:rPr>
                <w:rFonts w:ascii="Arial Narrow" w:hAnsi="Arial Narrow" w:cs="Calibri"/>
                <w:color w:val="000000"/>
                <w:sz w:val="20"/>
                <w:lang w:eastAsia="en-AU"/>
              </w:rPr>
            </w:pPr>
            <w:r w:rsidRPr="00A11E50">
              <w:rPr>
                <w:rFonts w:ascii="Arial Narrow" w:hAnsi="Arial Narrow" w:cs="Calibri"/>
                <w:color w:val="000000"/>
                <w:sz w:val="20"/>
                <w:lang w:eastAsia="en-AU"/>
              </w:rPr>
              <w:t xml:space="preserve">Patients must have failed to respond [see Note for definition of response] to 6 or more weeks of appropriate vasodilator treatment unless intolerance or a contraindication to such treatment exists. </w:t>
            </w:r>
          </w:p>
        </w:tc>
        <w:tc>
          <w:tcPr>
            <w:tcW w:w="1275" w:type="dxa"/>
            <w:hideMark/>
          </w:tcPr>
          <w:p w14:paraId="3965ECA1"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1633B368"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58766B3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51FC971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ADCIRCA is indicated in adults for the treatment of pulmonary arterial hypertension (PAH) classified as WHO functional class II and III, to improve exercise capacity. Efficacy has been shown in idiopathic PAH (IPAH) and in PAH related to collagen vascular disease.</w:t>
            </w:r>
          </w:p>
        </w:tc>
        <w:tc>
          <w:tcPr>
            <w:tcW w:w="1559" w:type="dxa"/>
            <w:noWrap/>
            <w:hideMark/>
          </w:tcPr>
          <w:p w14:paraId="623D335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Aug-11</w:t>
            </w:r>
          </w:p>
        </w:tc>
      </w:tr>
      <w:tr w:rsidR="003D50DD" w:rsidRPr="00A11E50" w14:paraId="5CFD8D1B" w14:textId="77777777" w:rsidTr="006D4C10">
        <w:trPr>
          <w:trHeight w:val="620"/>
        </w:trPr>
        <w:tc>
          <w:tcPr>
            <w:tcW w:w="1418" w:type="dxa"/>
            <w:noWrap/>
            <w:hideMark/>
          </w:tcPr>
          <w:p w14:paraId="1EA53F6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Vardenafil</w:t>
            </w:r>
          </w:p>
        </w:tc>
        <w:tc>
          <w:tcPr>
            <w:tcW w:w="4111" w:type="dxa"/>
            <w:hideMark/>
          </w:tcPr>
          <w:p w14:paraId="447ED06D"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Specific accepted war-caused or service-related disabilities for males with vasculogenic, psychogenic or neurogenic erectile dysfunction.</w:t>
            </w:r>
          </w:p>
        </w:tc>
        <w:tc>
          <w:tcPr>
            <w:tcW w:w="1275" w:type="dxa"/>
            <w:hideMark/>
          </w:tcPr>
          <w:p w14:paraId="500EB64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5F744D23"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0BC01527"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62F8400C"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Levitra is indicated for the treatment of erectile dysfunction in adult males (inability to achieve or maintain penile erection sufficient for satisfactory sexual performance).</w:t>
            </w:r>
          </w:p>
        </w:tc>
        <w:tc>
          <w:tcPr>
            <w:tcW w:w="1559" w:type="dxa"/>
            <w:noWrap/>
            <w:hideMark/>
          </w:tcPr>
          <w:p w14:paraId="68BE061E"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Apr-03</w:t>
            </w:r>
          </w:p>
        </w:tc>
      </w:tr>
      <w:tr w:rsidR="003D50DD" w:rsidRPr="00A11E50" w14:paraId="72C33B5E" w14:textId="77777777" w:rsidTr="006D4C10">
        <w:trPr>
          <w:trHeight w:val="1993"/>
        </w:trPr>
        <w:tc>
          <w:tcPr>
            <w:tcW w:w="1418" w:type="dxa"/>
            <w:noWrap/>
            <w:hideMark/>
          </w:tcPr>
          <w:p w14:paraId="061B2758"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lastRenderedPageBreak/>
              <w:t>Testosterone</w:t>
            </w:r>
          </w:p>
        </w:tc>
        <w:tc>
          <w:tcPr>
            <w:tcW w:w="4111" w:type="dxa"/>
            <w:hideMark/>
          </w:tcPr>
          <w:p w14:paraId="5AC108F9"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Androgen deficiency in males with established pituitary or testicular disorders.  Androgen deficiency in males 40 years and older who do not have established pituitary or testicular disorders other than aging, confirmed by at least 2 morning blood samples taken on different mornings. Androgen deficiency is confirmed by testosterone less than 8 nmol per L, or 8-15 nmol per L with high LH (greater than 1.5 times the upper limit of the eugonadal reference range for young men).</w:t>
            </w:r>
          </w:p>
          <w:p w14:paraId="3A822687"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Micropenis, pubertal induction, or constitutional delay of growth or puberty, in males under 18 years of age.</w:t>
            </w:r>
          </w:p>
        </w:tc>
        <w:tc>
          <w:tcPr>
            <w:tcW w:w="1275" w:type="dxa"/>
            <w:hideMark/>
          </w:tcPr>
          <w:p w14:paraId="2E0CDC5D"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Authority Required</w:t>
            </w:r>
          </w:p>
        </w:tc>
        <w:tc>
          <w:tcPr>
            <w:tcW w:w="1134" w:type="dxa"/>
            <w:noWrap/>
            <w:hideMark/>
          </w:tcPr>
          <w:p w14:paraId="3E6EB506"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S4</w:t>
            </w:r>
          </w:p>
        </w:tc>
        <w:tc>
          <w:tcPr>
            <w:tcW w:w="765" w:type="dxa"/>
            <w:noWrap/>
            <w:hideMark/>
          </w:tcPr>
          <w:p w14:paraId="38238DD5"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No</w:t>
            </w:r>
          </w:p>
        </w:tc>
        <w:tc>
          <w:tcPr>
            <w:tcW w:w="4192" w:type="dxa"/>
            <w:hideMark/>
          </w:tcPr>
          <w:p w14:paraId="4704F860" w14:textId="77777777" w:rsidR="003D50DD" w:rsidRPr="00A11E50" w:rsidRDefault="003D50DD" w:rsidP="00D270B7">
            <w:pPr>
              <w:spacing w:before="60" w:after="60" w:line="240" w:lineRule="auto"/>
              <w:rPr>
                <w:rFonts w:ascii="Arial Narrow" w:hAnsi="Arial Narrow" w:cs="Calibri"/>
                <w:color w:val="000000"/>
                <w:sz w:val="20"/>
                <w:lang w:eastAsia="en-AU"/>
              </w:rPr>
            </w:pPr>
            <w:r w:rsidRPr="00A11E50">
              <w:rPr>
                <w:rFonts w:ascii="Arial Narrow" w:hAnsi="Arial Narrow" w:cs="Calibri"/>
                <w:color w:val="000000"/>
                <w:sz w:val="20"/>
                <w:lang w:eastAsia="en-AU"/>
              </w:rPr>
              <w:t>Testosterone is indicated for testosterone replacement therapy for confirmed testosterone deficiency in</w:t>
            </w:r>
            <w:r w:rsidRPr="00A11E50">
              <w:rPr>
                <w:rFonts w:ascii="Arial Narrow" w:hAnsi="Arial Narrow" w:cs="Calibri"/>
                <w:color w:val="000000"/>
                <w:sz w:val="20"/>
                <w:lang w:eastAsia="en-AU"/>
              </w:rPr>
              <w:br/>
              <w:t>males.</w:t>
            </w:r>
          </w:p>
        </w:tc>
        <w:tc>
          <w:tcPr>
            <w:tcW w:w="1559" w:type="dxa"/>
            <w:noWrap/>
            <w:hideMark/>
          </w:tcPr>
          <w:p w14:paraId="24B9461B" w14:textId="77777777" w:rsidR="003D50DD" w:rsidRPr="00A11E50" w:rsidRDefault="003D50DD" w:rsidP="00D270B7">
            <w:pPr>
              <w:spacing w:before="60" w:after="60" w:line="240" w:lineRule="auto"/>
              <w:jc w:val="center"/>
              <w:rPr>
                <w:rFonts w:ascii="Arial Narrow" w:hAnsi="Arial Narrow" w:cs="Calibri"/>
                <w:color w:val="000000"/>
                <w:sz w:val="20"/>
                <w:lang w:eastAsia="en-AU"/>
              </w:rPr>
            </w:pPr>
            <w:r w:rsidRPr="00A11E50">
              <w:rPr>
                <w:rFonts w:ascii="Arial Narrow" w:hAnsi="Arial Narrow" w:cs="Calibri"/>
                <w:color w:val="000000"/>
                <w:sz w:val="20"/>
                <w:lang w:eastAsia="en-AU"/>
              </w:rPr>
              <w:t>Aug-91</w:t>
            </w:r>
          </w:p>
        </w:tc>
      </w:tr>
    </w:tbl>
    <w:p w14:paraId="46C982E1" w14:textId="77777777" w:rsidR="00265697" w:rsidRDefault="00265697" w:rsidP="003D50DD">
      <w:pPr>
        <w:pStyle w:val="AspexBodyStandard"/>
        <w:sectPr w:rsidR="00265697" w:rsidSect="003D50DD">
          <w:headerReference w:type="default" r:id="rId110"/>
          <w:pgSz w:w="16838" w:h="11906" w:orient="landscape" w:code="9"/>
          <w:pgMar w:top="1616" w:right="2835" w:bottom="1276" w:left="1134" w:header="709" w:footer="709" w:gutter="0"/>
          <w:cols w:space="708"/>
          <w:docGrid w:linePitch="360"/>
        </w:sectPr>
      </w:pPr>
    </w:p>
    <w:p w14:paraId="3BAEC3C9" w14:textId="77777777" w:rsidR="00956797" w:rsidRDefault="00956797" w:rsidP="00956797">
      <w:pPr>
        <w:pStyle w:val="AspexAppendixlevel1"/>
      </w:pPr>
      <w:r>
        <w:lastRenderedPageBreak/>
        <w:t>References for clinical effectiveness</w:t>
      </w:r>
    </w:p>
    <w:p w14:paraId="3A99CBE3" w14:textId="77777777" w:rsidR="00956797" w:rsidRDefault="00956797" w:rsidP="00956797">
      <w:pPr>
        <w:pStyle w:val="AspexBullet1"/>
        <w:numPr>
          <w:ilvl w:val="0"/>
          <w:numId w:val="0"/>
        </w:numPr>
        <w:rPr>
          <w:lang w:val="en-GB"/>
        </w:rPr>
      </w:pPr>
    </w:p>
    <w:p w14:paraId="392FA373" w14:textId="77777777" w:rsidR="00956797" w:rsidRDefault="00956797" w:rsidP="0079641B">
      <w:pPr>
        <w:pStyle w:val="AspexNumberedbullet1"/>
        <w:numPr>
          <w:ilvl w:val="0"/>
          <w:numId w:val="12"/>
        </w:numPr>
      </w:pPr>
      <w:r>
        <w:t>Altice FL, Kamarulzaman A, Soriano VV, Schechter M, Friedland GH. Treatment of medical, psychiatric, and substance-use comorbidities in people infected with HIV who use drugs. Lancet. 2010 Jul 31;376(9738):367-87.</w:t>
      </w:r>
    </w:p>
    <w:p w14:paraId="739E4066" w14:textId="77777777" w:rsidR="00C34C76" w:rsidRDefault="00C34C76" w:rsidP="0079641B">
      <w:pPr>
        <w:pStyle w:val="AspexNumberedbullet1"/>
        <w:numPr>
          <w:ilvl w:val="0"/>
          <w:numId w:val="12"/>
        </w:numPr>
      </w:pPr>
      <w:r>
        <w:t xml:space="preserve">ACT Hepatitis Resource Centre. </w:t>
      </w:r>
      <w:r w:rsidRPr="00C34C76">
        <w:rPr>
          <w:i/>
        </w:rPr>
        <w:t>Submission to the 2013-14 Budget Consultation.</w:t>
      </w:r>
      <w:r w:rsidRPr="008B5ED5">
        <w:t xml:space="preserve"> Canberra: Author, 2013</w:t>
      </w:r>
      <w:r>
        <w:t>.</w:t>
      </w:r>
    </w:p>
    <w:p w14:paraId="19199027" w14:textId="77777777" w:rsidR="00C34C76" w:rsidRPr="00C34C76" w:rsidRDefault="00C34C76" w:rsidP="0079641B">
      <w:pPr>
        <w:pStyle w:val="AspexNumberedbullet1"/>
        <w:numPr>
          <w:ilvl w:val="0"/>
          <w:numId w:val="12"/>
        </w:numPr>
        <w:rPr>
          <w:lang w:val="en"/>
        </w:rPr>
      </w:pPr>
      <w:r w:rsidRPr="00C34C76">
        <w:rPr>
          <w:lang w:val="en"/>
        </w:rPr>
        <w:t>AIHW. Cancer incidence projections, Australia 2011 to 2020. Cancer series no. 66. Cat. no. CAN 62. Canberra: AIHW, 2012.</w:t>
      </w:r>
    </w:p>
    <w:p w14:paraId="04BBEED4" w14:textId="77777777" w:rsidR="00C34C76" w:rsidRDefault="00C34C76" w:rsidP="0079641B">
      <w:pPr>
        <w:pStyle w:val="AspexNumberedbullet1"/>
        <w:numPr>
          <w:ilvl w:val="0"/>
          <w:numId w:val="12"/>
        </w:numPr>
      </w:pPr>
      <w:r>
        <w:t xml:space="preserve">Australasian Chapter of Sexual Health Medicine. </w:t>
      </w:r>
      <w:r w:rsidRPr="00C34C76">
        <w:rPr>
          <w:i/>
        </w:rPr>
        <w:t>Submission to Australian Medical Council</w:t>
      </w:r>
      <w:r>
        <w:t xml:space="preserve">. Sydney: Author, 2006. </w:t>
      </w:r>
    </w:p>
    <w:p w14:paraId="38C5F982" w14:textId="77777777" w:rsidR="00C34C76" w:rsidRPr="008415CA" w:rsidRDefault="00C34C76" w:rsidP="0079641B">
      <w:pPr>
        <w:pStyle w:val="AspexNumberedbullet1"/>
        <w:numPr>
          <w:ilvl w:val="0"/>
          <w:numId w:val="12"/>
        </w:numPr>
      </w:pPr>
      <w:r w:rsidRPr="00C34C76">
        <w:rPr>
          <w:bCs/>
        </w:rPr>
        <w:t>Australian Department of Health and Ageing.</w:t>
      </w:r>
      <w:r w:rsidRPr="008415CA">
        <w:t xml:space="preserve"> </w:t>
      </w:r>
      <w:r w:rsidRPr="00C34C76">
        <w:rPr>
          <w:i/>
        </w:rPr>
        <w:t>Second national sexually transmissible infections strategy 2010 - 2013</w:t>
      </w:r>
      <w:r w:rsidRPr="008415CA">
        <w:t xml:space="preserve">. Canberra: </w:t>
      </w:r>
      <w:r>
        <w:t>Author</w:t>
      </w:r>
      <w:r w:rsidRPr="008415CA">
        <w:t>, 2010.</w:t>
      </w:r>
    </w:p>
    <w:p w14:paraId="1E01B670" w14:textId="77777777" w:rsidR="00C34C76" w:rsidRPr="005104A2" w:rsidRDefault="00C34C76" w:rsidP="0079641B">
      <w:pPr>
        <w:pStyle w:val="AspexNumberedbullet1"/>
        <w:numPr>
          <w:ilvl w:val="0"/>
          <w:numId w:val="12"/>
        </w:numPr>
      </w:pPr>
      <w:r w:rsidRPr="005104A2">
        <w:t xml:space="preserve">Australian Institute of Health and Welfare. </w:t>
      </w:r>
      <w:r w:rsidRPr="00C34C76">
        <w:rPr>
          <w:i/>
        </w:rPr>
        <w:t>Australia's health 2004</w:t>
      </w:r>
      <w:r w:rsidRPr="005104A2">
        <w:t>. Canberra: AIHW, 2004. (AIHW Cat. No. AUS-44.)</w:t>
      </w:r>
    </w:p>
    <w:p w14:paraId="42C0A1BB" w14:textId="77777777" w:rsidR="00C34C76" w:rsidRPr="009B2710" w:rsidRDefault="00C34C76" w:rsidP="0079641B">
      <w:pPr>
        <w:pStyle w:val="AspexNumberedbullet1"/>
        <w:numPr>
          <w:ilvl w:val="0"/>
          <w:numId w:val="12"/>
        </w:numPr>
      </w:pPr>
      <w:r>
        <w:t xml:space="preserve">Australian Medical Council. </w:t>
      </w:r>
      <w:r w:rsidRPr="00C34C76">
        <w:rPr>
          <w:i/>
        </w:rPr>
        <w:t>Assessment of Sexual Health Medicine as a medical specialty : Recognition of Medical Specialties Advisory Committee report, July 2007</w:t>
      </w:r>
      <w:r>
        <w:t>. Kingston, A.C.T.: AMC, 2007.</w:t>
      </w:r>
    </w:p>
    <w:p w14:paraId="730961DD" w14:textId="77777777" w:rsidR="00C34C76" w:rsidRDefault="00C34C76" w:rsidP="0079641B">
      <w:pPr>
        <w:pStyle w:val="AspexNumberedbullet1"/>
        <w:numPr>
          <w:ilvl w:val="0"/>
          <w:numId w:val="12"/>
        </w:numPr>
      </w:pPr>
      <w:r>
        <w:t xml:space="preserve">Bai ZG, Bao XJ, Cheng WD, Yang KH, Li YP. Efficacy and safety of ceftriaxone for uncomplicated gonorrhoea: a meta-analysis of randomized controlled trials. </w:t>
      </w:r>
      <w:r w:rsidRPr="00C34C76">
        <w:rPr>
          <w:i/>
        </w:rPr>
        <w:t>Int J STD AIDS</w:t>
      </w:r>
      <w:r>
        <w:t>. 2012 Feb;23(2):126-32.</w:t>
      </w:r>
    </w:p>
    <w:p w14:paraId="49FC60CF" w14:textId="77777777" w:rsidR="00C34C76" w:rsidRDefault="00C34C76" w:rsidP="0079641B">
      <w:pPr>
        <w:pStyle w:val="AspexNumberedbullet1"/>
        <w:numPr>
          <w:ilvl w:val="0"/>
          <w:numId w:val="12"/>
        </w:numPr>
      </w:pPr>
      <w:r>
        <w:t xml:space="preserve">Bai ZG, Yang KH, Liu YL, Tian JH, Ma B, Mi DH, Jiang L, Tan JY, Gai QY. Azithromycin vs. benzathine penicillin G for early syphilis: a meta-analysis of randomized clinical trials. </w:t>
      </w:r>
      <w:r w:rsidRPr="00C34C76">
        <w:rPr>
          <w:i/>
        </w:rPr>
        <w:t>Int J STD AIDS</w:t>
      </w:r>
      <w:r>
        <w:t>. 2008 Apr;19(4):217-21.</w:t>
      </w:r>
    </w:p>
    <w:p w14:paraId="721AB30C" w14:textId="77777777" w:rsidR="00C34C76" w:rsidRDefault="00C34C76" w:rsidP="0079641B">
      <w:pPr>
        <w:pStyle w:val="AspexNumberedbullet1"/>
        <w:numPr>
          <w:ilvl w:val="0"/>
          <w:numId w:val="12"/>
        </w:numPr>
      </w:pPr>
      <w:r>
        <w:t xml:space="preserve">Bangor-Jones RD. Sexual health in general practice: do practitioners comply with the sexually transmitted infections guidelines for management of suspected chlamydial infections? </w:t>
      </w:r>
      <w:r w:rsidRPr="00C34C76">
        <w:rPr>
          <w:i/>
        </w:rPr>
        <w:t>Int J STD AIDS</w:t>
      </w:r>
      <w:r>
        <w:t>. 2011 Sep;22(9):523-4.</w:t>
      </w:r>
    </w:p>
    <w:p w14:paraId="0553C900" w14:textId="4938C440" w:rsidR="00C34C76" w:rsidRDefault="00C34C76" w:rsidP="0079641B">
      <w:pPr>
        <w:pStyle w:val="AspexNumberedbullet1"/>
        <w:numPr>
          <w:ilvl w:val="0"/>
          <w:numId w:val="12"/>
        </w:numPr>
      </w:pPr>
      <w:r>
        <w:t xml:space="preserve">Boston Consulting Group 2012. </w:t>
      </w:r>
      <w:r w:rsidRPr="00C34C76">
        <w:rPr>
          <w:i/>
        </w:rPr>
        <w:t>The Economic Impact of Hepatitis C in Australia</w:t>
      </w:r>
      <w:r>
        <w:br/>
      </w:r>
      <w:hyperlink r:id="rId111" w:history="1">
        <w:r w:rsidR="0033254C">
          <w:t>http://www.hepatitisaustralia.com/__data/assets/pdf_file/0003/3945/the-economic-impact-of-hepatitis-c-in-australia_final-3.pdf (website publication)</w:t>
        </w:r>
      </w:hyperlink>
    </w:p>
    <w:p w14:paraId="7A52BF5E" w14:textId="77777777" w:rsidR="00C34C76" w:rsidRPr="00EC46BC" w:rsidRDefault="00C34C76" w:rsidP="0079641B">
      <w:pPr>
        <w:pStyle w:val="AspexNumberedbullet1"/>
        <w:numPr>
          <w:ilvl w:val="0"/>
          <w:numId w:val="12"/>
        </w:numPr>
      </w:pPr>
      <w:r>
        <w:t>Bowden FJ</w:t>
      </w:r>
      <w:r w:rsidRPr="00EC46BC">
        <w:t>, Pater</w:t>
      </w:r>
      <w:r>
        <w:t>son BA, Mein J, Savage J</w:t>
      </w:r>
      <w:r w:rsidRPr="00EC46BC">
        <w:t>, F</w:t>
      </w:r>
      <w:r>
        <w:t>airley CK, Garland SM,</w:t>
      </w:r>
      <w:r w:rsidRPr="00EC46BC">
        <w:t xml:space="preserve"> </w:t>
      </w:r>
      <w:r>
        <w:t>Tabrizi S</w:t>
      </w:r>
      <w:r w:rsidRPr="00EC46BC">
        <w:t xml:space="preserve">N. Estimating the prevalence of Trichomonas vaginalis, Chlamydia trachomatis, Neisseria gonorrhoeae, and human papillomavirus infection in indigenous women in northern Australia. </w:t>
      </w:r>
      <w:r w:rsidRPr="00C34C76">
        <w:rPr>
          <w:i/>
        </w:rPr>
        <w:t>Sex Transm Infect.</w:t>
      </w:r>
      <w:r>
        <w:t xml:space="preserve">  1999; </w:t>
      </w:r>
      <w:r w:rsidRPr="00EC46BC">
        <w:t>75</w:t>
      </w:r>
      <w:r>
        <w:t>(6):</w:t>
      </w:r>
      <w:r w:rsidRPr="00EC46BC">
        <w:t xml:space="preserve"> 431-434.</w:t>
      </w:r>
    </w:p>
    <w:p w14:paraId="53846618" w14:textId="77777777" w:rsidR="00C34C76" w:rsidRDefault="00C34C76" w:rsidP="0079641B">
      <w:pPr>
        <w:pStyle w:val="AspexNumberedbullet1"/>
        <w:numPr>
          <w:ilvl w:val="0"/>
          <w:numId w:val="12"/>
        </w:numPr>
      </w:pPr>
      <w:r>
        <w:t xml:space="preserve">Brison D, Seftel A, Sadeghi-Nejad H. The Resurgence of the Vacuum Erection Device (VED) for Treatment of Erectile Dysfunction. </w:t>
      </w:r>
      <w:r w:rsidRPr="00C34C76">
        <w:rPr>
          <w:i/>
        </w:rPr>
        <w:t>J Sex Med.</w:t>
      </w:r>
      <w:r>
        <w:t xml:space="preserve"> 2013 Jan 24. doi:  10.1111/jsm.12046.</w:t>
      </w:r>
    </w:p>
    <w:p w14:paraId="194D84C2" w14:textId="77777777" w:rsidR="00C34C76" w:rsidRDefault="00C34C76" w:rsidP="0079641B">
      <w:pPr>
        <w:pStyle w:val="AspexNumberedbullet1"/>
        <w:numPr>
          <w:ilvl w:val="0"/>
          <w:numId w:val="12"/>
        </w:numPr>
      </w:pPr>
      <w:r>
        <w:t xml:space="preserve">Butler JR, Pianko S, Korda RJ, Nguyen S, Gow PJ, Roberts SK, Strasser SI, Sievert W. The direct cost of managing patients with chronic hepatitis B infection in Australia. </w:t>
      </w:r>
      <w:r w:rsidRPr="00C34C76">
        <w:rPr>
          <w:i/>
        </w:rPr>
        <w:t>J Clin Gastroenterol</w:t>
      </w:r>
      <w:r>
        <w:t>. 2004 Nov-Dec;38(10 Suppl 3):S187-92.</w:t>
      </w:r>
    </w:p>
    <w:p w14:paraId="4DEAB861" w14:textId="77777777" w:rsidR="00C34C76" w:rsidRDefault="00C34C76" w:rsidP="0079641B">
      <w:pPr>
        <w:pStyle w:val="AspexNumberedbullet1"/>
        <w:numPr>
          <w:ilvl w:val="0"/>
          <w:numId w:val="12"/>
        </w:numPr>
      </w:pPr>
      <w:r>
        <w:lastRenderedPageBreak/>
        <w:t>C</w:t>
      </w:r>
      <w:r w:rsidRPr="001B283E">
        <w:t>andy B, Jones L, Williams R, Tookman A, King M. Phosphodiesterase type 5</w:t>
      </w:r>
      <w:r>
        <w:t xml:space="preserve"> </w:t>
      </w:r>
      <w:r w:rsidRPr="001B283E">
        <w:t xml:space="preserve">inhibitors in the management of erectile dysfunction secondary to treatments for </w:t>
      </w:r>
      <w:r>
        <w:t xml:space="preserve"> </w:t>
      </w:r>
      <w:r w:rsidRPr="001B283E">
        <w:t xml:space="preserve">prostate cancer: findings from a Cochrane systematic review. </w:t>
      </w:r>
      <w:r w:rsidRPr="00C34C76">
        <w:rPr>
          <w:i/>
        </w:rPr>
        <w:t>BJU Int</w:t>
      </w:r>
      <w:r w:rsidRPr="001B283E">
        <w:t>. 2008</w:t>
      </w:r>
      <w:r>
        <w:t xml:space="preserve"> </w:t>
      </w:r>
      <w:r w:rsidRPr="001B283E">
        <w:t>Aug;102(4):426-31.</w:t>
      </w:r>
    </w:p>
    <w:p w14:paraId="40B03A07" w14:textId="77777777" w:rsidR="00C34C76" w:rsidRDefault="00C34C76" w:rsidP="0079641B">
      <w:pPr>
        <w:pStyle w:val="AspexNumberedbullet1"/>
        <w:numPr>
          <w:ilvl w:val="0"/>
          <w:numId w:val="12"/>
        </w:numPr>
      </w:pPr>
      <w:r w:rsidRPr="00BB4D9E">
        <w:t xml:space="preserve">Cherpes TL, Wiesenfeld HC, Melan MA, et al. The associations between pelvic inflammatory disease, Trichomonas vaginalis infection and positive herpes simplex virus type 2 serology. </w:t>
      </w:r>
      <w:r w:rsidRPr="00C34C76">
        <w:rPr>
          <w:i/>
        </w:rPr>
        <w:t>Sex Transm Dis</w:t>
      </w:r>
      <w:r w:rsidRPr="00BB4D9E">
        <w:t xml:space="preserve"> 2006;12:</w:t>
      </w:r>
      <w:r>
        <w:t xml:space="preserve"> </w:t>
      </w:r>
      <w:r w:rsidRPr="00BB4D9E">
        <w:t>747e52.</w:t>
      </w:r>
    </w:p>
    <w:p w14:paraId="43AF01C0" w14:textId="77777777" w:rsidR="00C34C76" w:rsidRPr="00247372" w:rsidRDefault="00C34C76" w:rsidP="0079641B">
      <w:pPr>
        <w:pStyle w:val="AspexNumberedbullet1"/>
        <w:numPr>
          <w:ilvl w:val="0"/>
          <w:numId w:val="12"/>
        </w:numPr>
      </w:pPr>
      <w:r>
        <w:t xml:space="preserve">Conrad S, Garrett L, Cooksley W, Dunne M, &amp; MacDonald G. Living with chronic hepatitis C </w:t>
      </w:r>
      <w:r w:rsidRPr="00247372">
        <w:t xml:space="preserve">means ‘you just haven’t got a normal life any more’. </w:t>
      </w:r>
      <w:r w:rsidRPr="00C34C76">
        <w:rPr>
          <w:i/>
        </w:rPr>
        <w:t>Chronic Illness</w:t>
      </w:r>
      <w:r>
        <w:t xml:space="preserve"> 2006; </w:t>
      </w:r>
      <w:r w:rsidRPr="00247372">
        <w:t>2</w:t>
      </w:r>
      <w:r>
        <w:t>(2):</w:t>
      </w:r>
      <w:r w:rsidRPr="00247372">
        <w:t xml:space="preserve"> 121-131.</w:t>
      </w:r>
    </w:p>
    <w:p w14:paraId="2BE2E91C" w14:textId="77777777" w:rsidR="00C34C76" w:rsidRPr="00247372" w:rsidRDefault="00C34C76" w:rsidP="0079641B">
      <w:pPr>
        <w:pStyle w:val="AspexNumberedbullet1"/>
        <w:numPr>
          <w:ilvl w:val="0"/>
          <w:numId w:val="12"/>
        </w:numPr>
      </w:pPr>
      <w:r>
        <w:t>Coughlan B, Sheehan J, Hickey A, &amp; Crowe</w:t>
      </w:r>
      <w:r w:rsidRPr="00247372">
        <w:t xml:space="preserve"> J. </w:t>
      </w:r>
      <w:r>
        <w:t xml:space="preserve">Psychological </w:t>
      </w:r>
      <w:r w:rsidRPr="00247372">
        <w:t>well-being and quality of l</w:t>
      </w:r>
      <w:r>
        <w:t xml:space="preserve">ife in women with an iatrogenic </w:t>
      </w:r>
      <w:r w:rsidRPr="00247372">
        <w:t xml:space="preserve">hepatitis C virus infection. </w:t>
      </w:r>
      <w:r w:rsidRPr="00C34C76">
        <w:rPr>
          <w:i/>
        </w:rPr>
        <w:t>British Journal of Health Psychology</w:t>
      </w:r>
      <w:r>
        <w:t xml:space="preserve"> 2002; </w:t>
      </w:r>
      <w:r w:rsidRPr="00247372">
        <w:t>7</w:t>
      </w:r>
      <w:r>
        <w:t>:</w:t>
      </w:r>
      <w:r w:rsidRPr="00247372">
        <w:t xml:space="preserve"> 105-116.</w:t>
      </w:r>
    </w:p>
    <w:p w14:paraId="3B15A027" w14:textId="77777777" w:rsidR="00C34C76" w:rsidRDefault="00C34C76" w:rsidP="0079641B">
      <w:pPr>
        <w:pStyle w:val="AspexNumberedbullet1"/>
        <w:numPr>
          <w:ilvl w:val="0"/>
          <w:numId w:val="12"/>
        </w:numPr>
      </w:pPr>
      <w:r>
        <w:t xml:space="preserve">Cunningham AL, Taylor R, Taylor J, Marks C, Shaw J, Mindel A. Prevalence of infection with herpes simplex virus types 1 and 2 in Australia: a nationwide population based survey. </w:t>
      </w:r>
      <w:r w:rsidRPr="00C34C76">
        <w:rPr>
          <w:i/>
        </w:rPr>
        <w:t>Sex Transm Infect</w:t>
      </w:r>
      <w:r>
        <w:t>. 2006 Apr;82(2):164-8.</w:t>
      </w:r>
    </w:p>
    <w:p w14:paraId="47ADCEDC" w14:textId="77777777" w:rsidR="00C34C76" w:rsidRDefault="00C34C76" w:rsidP="0079641B">
      <w:pPr>
        <w:pStyle w:val="AspexNumberedbullet1"/>
        <w:numPr>
          <w:ilvl w:val="0"/>
          <w:numId w:val="12"/>
        </w:numPr>
      </w:pPr>
      <w:r>
        <w:t xml:space="preserve">Cysique LA, Bain MP, Brew BJ, Murray JM. The burden of HIV-associated neurocognitive impairment in Australia and its estimates for the future. </w:t>
      </w:r>
      <w:r w:rsidRPr="00C34C76">
        <w:rPr>
          <w:i/>
        </w:rPr>
        <w:t>Sex Health</w:t>
      </w:r>
      <w:r>
        <w:t>. 2011 Dec;8(4):541-50.</w:t>
      </w:r>
    </w:p>
    <w:p w14:paraId="71E5ADD4" w14:textId="77777777" w:rsidR="00C34C76" w:rsidRPr="00DC1055" w:rsidRDefault="00C34C76" w:rsidP="0079641B">
      <w:pPr>
        <w:pStyle w:val="AspexNumberedbullet1"/>
        <w:numPr>
          <w:ilvl w:val="0"/>
          <w:numId w:val="12"/>
        </w:numPr>
      </w:pPr>
      <w:r w:rsidRPr="00DC1055">
        <w:t>Dayan L. Pelvic Inflammatory Disease.</w:t>
      </w:r>
      <w:r>
        <w:t xml:space="preserve"> </w:t>
      </w:r>
      <w:r w:rsidRPr="00C34C76">
        <w:rPr>
          <w:i/>
        </w:rPr>
        <w:t>Australian Family Physician</w:t>
      </w:r>
      <w:r w:rsidRPr="00DC1055">
        <w:t xml:space="preserve"> </w:t>
      </w:r>
      <w:r>
        <w:t xml:space="preserve">2006; </w:t>
      </w:r>
      <w:r w:rsidRPr="00DC1055">
        <w:t>35</w:t>
      </w:r>
      <w:r>
        <w:t xml:space="preserve">(11): </w:t>
      </w:r>
      <w:r w:rsidRPr="00DC1055">
        <w:t>858-862</w:t>
      </w:r>
    </w:p>
    <w:p w14:paraId="134A8B0A" w14:textId="77777777" w:rsidR="00C34C76" w:rsidRDefault="00C34C76" w:rsidP="0079641B">
      <w:pPr>
        <w:pStyle w:val="AspexNumberedbullet1"/>
        <w:numPr>
          <w:ilvl w:val="0"/>
          <w:numId w:val="12"/>
        </w:numPr>
      </w:pPr>
      <w:r>
        <w:t xml:space="preserve">Defty H, Smith H, Kennedy M, Perry N, Fisher M. GPs' perceived barriers to their involvement in caring for patients with HIV: a questionnaire-based study. </w:t>
      </w:r>
      <w:r w:rsidRPr="00C34C76">
        <w:rPr>
          <w:i/>
        </w:rPr>
        <w:t>Br J Gen Pract</w:t>
      </w:r>
      <w:r>
        <w:t>. 2010 May;60(574):348-51.</w:t>
      </w:r>
    </w:p>
    <w:p w14:paraId="2DC4BD33" w14:textId="77777777" w:rsidR="00C34C76" w:rsidRDefault="00C34C76" w:rsidP="0079641B">
      <w:pPr>
        <w:pStyle w:val="AspexNumberedbullet1"/>
        <w:numPr>
          <w:ilvl w:val="0"/>
          <w:numId w:val="12"/>
        </w:numPr>
      </w:pPr>
      <w:r>
        <w:t xml:space="preserve">Dev A, Nguyen JH, Munafo L, Hardie E, Iacono L. Chronic hepatitis B – a clinical audit of GP management. </w:t>
      </w:r>
      <w:r w:rsidRPr="00C34C76">
        <w:rPr>
          <w:i/>
        </w:rPr>
        <w:t>Aust Fam Physician</w:t>
      </w:r>
      <w:r>
        <w:t>. 2011 Jul;40(7):533-8.</w:t>
      </w:r>
    </w:p>
    <w:p w14:paraId="6F9B1AB3" w14:textId="77777777" w:rsidR="00C34C76" w:rsidRDefault="00C34C76" w:rsidP="0079641B">
      <w:pPr>
        <w:pStyle w:val="AspexNumberedbullet1"/>
        <w:numPr>
          <w:ilvl w:val="0"/>
          <w:numId w:val="12"/>
        </w:numPr>
      </w:pPr>
      <w:r>
        <w:t xml:space="preserve">Dhir RR, Lin HC, Canfield SE, Wang R. Combination therapy for erectile dysfunction: an update review. </w:t>
      </w:r>
      <w:r w:rsidRPr="00C34C76">
        <w:rPr>
          <w:i/>
        </w:rPr>
        <w:t>Asian J Androl</w:t>
      </w:r>
      <w:r>
        <w:t>. 2011 May;13(3):382-90.</w:t>
      </w:r>
    </w:p>
    <w:p w14:paraId="2C5C48AE" w14:textId="77777777" w:rsidR="00C34C76" w:rsidRDefault="00C34C76" w:rsidP="0079641B">
      <w:pPr>
        <w:pStyle w:val="AspexNumberedbullet1"/>
        <w:numPr>
          <w:ilvl w:val="0"/>
          <w:numId w:val="12"/>
        </w:numPr>
      </w:pPr>
      <w:r w:rsidRPr="00A75F7A">
        <w:t>Fink HA, Mac Donald R, Rutks IR, Nelson DB, Wilt TJ. Sildenafil for male</w:t>
      </w:r>
      <w:r>
        <w:t xml:space="preserve"> </w:t>
      </w:r>
      <w:r w:rsidRPr="00A75F7A">
        <w:t xml:space="preserve">erectile dysfunction: a systematic review and meta-analysis. </w:t>
      </w:r>
      <w:r w:rsidRPr="00C34C76">
        <w:rPr>
          <w:i/>
        </w:rPr>
        <w:t>Arch Intern Med</w:t>
      </w:r>
      <w:r w:rsidRPr="00A75F7A">
        <w:t>.</w:t>
      </w:r>
      <w:r>
        <w:t xml:space="preserve"> </w:t>
      </w:r>
      <w:r w:rsidRPr="00A75F7A">
        <w:t>2002 Jun 24;162(12):1349-60.</w:t>
      </w:r>
    </w:p>
    <w:p w14:paraId="6B5CF43B" w14:textId="77777777" w:rsidR="00C34C76" w:rsidRDefault="00C34C76" w:rsidP="0079641B">
      <w:pPr>
        <w:pStyle w:val="AspexNumberedbullet1"/>
        <w:numPr>
          <w:ilvl w:val="0"/>
          <w:numId w:val="12"/>
        </w:numPr>
      </w:pPr>
      <w:r>
        <w:t xml:space="preserve">Freedman E, Britt H, Harrison CM, Mindel A. Sexual health problems managed in  Australian general practice: a national, cross sectional survey. </w:t>
      </w:r>
      <w:r w:rsidRPr="00C34C76">
        <w:rPr>
          <w:i/>
        </w:rPr>
        <w:t>Sex Transm Infect</w:t>
      </w:r>
      <w:r>
        <w:t>. 2006 Feb;82(1):61-6.</w:t>
      </w:r>
    </w:p>
    <w:p w14:paraId="68125E09" w14:textId="77777777" w:rsidR="00C34C76" w:rsidRDefault="00C34C76" w:rsidP="0079641B">
      <w:pPr>
        <w:pStyle w:val="AspexNumberedbullet1"/>
        <w:numPr>
          <w:ilvl w:val="0"/>
          <w:numId w:val="12"/>
        </w:numPr>
      </w:pPr>
      <w:r>
        <w:t xml:space="preserve">Gott M, Galena E, Hinchliff S, Elford H. "Opening a can of worms": GP and practice nurse barriers to talking about sexual health in primary care. </w:t>
      </w:r>
      <w:r w:rsidRPr="00C34C76">
        <w:rPr>
          <w:i/>
        </w:rPr>
        <w:t>Fam Pract</w:t>
      </w:r>
      <w:r>
        <w:t>. 2004 Oct;21(5):528-36.</w:t>
      </w:r>
    </w:p>
    <w:p w14:paraId="23AE80F9" w14:textId="77777777" w:rsidR="00C34C76" w:rsidRDefault="00C34C76" w:rsidP="0079641B">
      <w:pPr>
        <w:pStyle w:val="AspexNumberedbullet1"/>
        <w:numPr>
          <w:ilvl w:val="0"/>
          <w:numId w:val="12"/>
        </w:numPr>
      </w:pPr>
      <w:r>
        <w:t xml:space="preserve">Gott M, Hinchliff S. Barriers to seeking treatment for sexual problems in primary care: a qualitative study with older people. </w:t>
      </w:r>
      <w:r w:rsidRPr="00C34C76">
        <w:rPr>
          <w:i/>
        </w:rPr>
        <w:t>Fam Pract</w:t>
      </w:r>
      <w:r>
        <w:t>. 2003 Dec;20(6):690-5.</w:t>
      </w:r>
    </w:p>
    <w:p w14:paraId="7896940A" w14:textId="77777777" w:rsidR="00C34C76" w:rsidRDefault="00C34C76" w:rsidP="0079641B">
      <w:pPr>
        <w:pStyle w:val="AspexNumberedbullet1"/>
        <w:numPr>
          <w:ilvl w:val="0"/>
          <w:numId w:val="12"/>
        </w:numPr>
      </w:pPr>
      <w:r>
        <w:t xml:space="preserve">Handford CD, Tynan AM, Rackal JM, Glazier RH. Setting and organization of care for persons living with HIV/AIDS. </w:t>
      </w:r>
      <w:r w:rsidRPr="00C34C76">
        <w:rPr>
          <w:i/>
        </w:rPr>
        <w:t>Cochrane Database Syst Rev</w:t>
      </w:r>
      <w:r>
        <w:t>. 2006 Jul 19;(3):CD004348.</w:t>
      </w:r>
    </w:p>
    <w:p w14:paraId="43BA3DB1" w14:textId="0E7B2E07" w:rsidR="00C34C76" w:rsidRDefault="00C34C76" w:rsidP="0079641B">
      <w:pPr>
        <w:pStyle w:val="AspexNumberedbullet1"/>
        <w:numPr>
          <w:ilvl w:val="0"/>
          <w:numId w:val="12"/>
        </w:numPr>
      </w:pPr>
      <w:r>
        <w:t xml:space="preserve">Harris M, Richters J. Psychosocial aspects of living with Hepatitis C. </w:t>
      </w:r>
      <w:r w:rsidRPr="00C34C76">
        <w:rPr>
          <w:i/>
        </w:rPr>
        <w:t>Social Research Briefs</w:t>
      </w:r>
      <w:r>
        <w:t xml:space="preserve">, 2006; 8: 1-4. </w:t>
      </w:r>
      <w:hyperlink r:id="rId112" w:history="1">
        <w:r w:rsidR="0033254C">
          <w:rPr>
            <w:rStyle w:val="Hyperlink"/>
            <w:rFonts w:cs="Times New Roman"/>
            <w:szCs w:val="20"/>
          </w:rPr>
          <w:t>http://nchsr.arts.unsw.edu.au/media/File/SRB08.pdf (website publication)</w:t>
        </w:r>
      </w:hyperlink>
    </w:p>
    <w:p w14:paraId="5ADD8518" w14:textId="77777777" w:rsidR="00C34C76" w:rsidRDefault="00C34C76" w:rsidP="0079641B">
      <w:pPr>
        <w:pStyle w:val="AspexNumberedbullet1"/>
        <w:numPr>
          <w:ilvl w:val="0"/>
          <w:numId w:val="12"/>
        </w:numPr>
      </w:pPr>
      <w:r>
        <w:lastRenderedPageBreak/>
        <w:t xml:space="preserve">Hinchliff S, Gott M, Galena E. 'I daresay I might find it embarrassing': general practitioners' perspectives on discussing sexual health issues with lesbian and gay patients. </w:t>
      </w:r>
      <w:r w:rsidRPr="00C34C76">
        <w:rPr>
          <w:i/>
        </w:rPr>
        <w:t>Health Soc Care Community</w:t>
      </w:r>
      <w:r>
        <w:t>. 2005 Jul;13(4):345-53.</w:t>
      </w:r>
    </w:p>
    <w:p w14:paraId="7F47C2BB" w14:textId="77777777" w:rsidR="00C34C76" w:rsidRPr="00D97DB4" w:rsidRDefault="00C34C76" w:rsidP="0079641B">
      <w:pPr>
        <w:pStyle w:val="AspexNumberedbullet1"/>
        <w:numPr>
          <w:ilvl w:val="0"/>
          <w:numId w:val="12"/>
        </w:numPr>
      </w:pPr>
      <w:r w:rsidRPr="00D97DB4">
        <w:t>Horner P, Thomas B, Gilroy CB, et al. Role of Mycoplasma genitalium and</w:t>
      </w:r>
      <w:r>
        <w:t xml:space="preserve"> </w:t>
      </w:r>
      <w:r w:rsidRPr="00D97DB4">
        <w:t xml:space="preserve">Ureaplasma urealyticum in acute and chronic nongonococcal urethritis. </w:t>
      </w:r>
      <w:r w:rsidRPr="00C34C76">
        <w:rPr>
          <w:i/>
        </w:rPr>
        <w:t>Clin Infect Dis</w:t>
      </w:r>
      <w:r w:rsidRPr="00D97DB4">
        <w:t xml:space="preserve"> 2001;32:995–1003.</w:t>
      </w:r>
    </w:p>
    <w:p w14:paraId="7F06780A" w14:textId="77777777" w:rsidR="00C34C76" w:rsidRPr="00D97DB4" w:rsidRDefault="00C34C76" w:rsidP="0079641B">
      <w:pPr>
        <w:pStyle w:val="AspexNumberedbullet1"/>
        <w:numPr>
          <w:ilvl w:val="0"/>
          <w:numId w:val="12"/>
        </w:numPr>
      </w:pPr>
      <w:r w:rsidRPr="00D97DB4">
        <w:t>Horner PJ, Thomas B, Gilroy CB, et al. Do all men attending departments of</w:t>
      </w:r>
      <w:r>
        <w:t xml:space="preserve"> </w:t>
      </w:r>
      <w:r w:rsidRPr="00D97DB4">
        <w:t>genitourinary medicine need to be screened for non-gonococcal urethritis?</w:t>
      </w:r>
      <w:r>
        <w:t xml:space="preserve"> </w:t>
      </w:r>
      <w:r w:rsidRPr="00C34C76">
        <w:rPr>
          <w:i/>
        </w:rPr>
        <w:t>Int J STD AIDS</w:t>
      </w:r>
      <w:r w:rsidRPr="00D97DB4">
        <w:t xml:space="preserve"> 2002;13:667–73.</w:t>
      </w:r>
    </w:p>
    <w:p w14:paraId="36381E6E" w14:textId="77777777" w:rsidR="00C34C76" w:rsidRPr="00DC2FA8" w:rsidRDefault="00C34C76" w:rsidP="0079641B">
      <w:pPr>
        <w:pStyle w:val="AspexNumberedbullet1"/>
        <w:numPr>
          <w:ilvl w:val="0"/>
          <w:numId w:val="12"/>
        </w:numPr>
      </w:pPr>
      <w:r>
        <w:t xml:space="preserve">Iser P, Read TH, Tabrizi S, Bradshaw C, Lee D, Horvarth L, Garland S, Denham I, Fairley CK. Symptoms of non-gonococcal urethritis in heterosexual men: a case control study. </w:t>
      </w:r>
      <w:r w:rsidRPr="00C34C76">
        <w:rPr>
          <w:i/>
        </w:rPr>
        <w:t>Sex Transm Infect</w:t>
      </w:r>
      <w:r>
        <w:t>. 2005 Apr;81(2):163-5.</w:t>
      </w:r>
    </w:p>
    <w:p w14:paraId="21F4331C" w14:textId="77777777" w:rsidR="00C34C76" w:rsidRDefault="00C34C76" w:rsidP="0079641B">
      <w:pPr>
        <w:pStyle w:val="AspexNumberedbullet1"/>
        <w:numPr>
          <w:ilvl w:val="0"/>
          <w:numId w:val="12"/>
        </w:numPr>
      </w:pPr>
      <w:r>
        <w:t xml:space="preserve">Jacob BC. Testosterone replacement therapy in males with erectile dysfunction. </w:t>
      </w:r>
      <w:r w:rsidRPr="00C34C76">
        <w:rPr>
          <w:i/>
        </w:rPr>
        <w:t>J Pharm Pract.</w:t>
      </w:r>
      <w:r>
        <w:t xml:space="preserve"> 2011 Jun;24(3):298-306.</w:t>
      </w:r>
    </w:p>
    <w:p w14:paraId="30598826" w14:textId="77777777" w:rsidR="00C34C76" w:rsidRPr="008B3D7C" w:rsidRDefault="00C34C76" w:rsidP="0079641B">
      <w:pPr>
        <w:pStyle w:val="AspexNumberedbullet1"/>
        <w:numPr>
          <w:ilvl w:val="0"/>
          <w:numId w:val="12"/>
        </w:numPr>
      </w:pPr>
      <w:r>
        <w:t xml:space="preserve">Jin F, Prestage GP, Matthews G, Zablotska I, Rawstorne P, Kippax SC, Kaldor JM, Grulich AE. Prevalence, incidence and risk factors for hepatitis C in homosexual men: data from two cohorts of HIV-negative and HIV-positive men in Sydney, Australia. </w:t>
      </w:r>
      <w:r w:rsidRPr="00C34C76">
        <w:rPr>
          <w:i/>
        </w:rPr>
        <w:t>Sex Transm Infect.</w:t>
      </w:r>
      <w:r>
        <w:t xml:space="preserve"> 2010; 86(1):25-8.</w:t>
      </w:r>
    </w:p>
    <w:p w14:paraId="75C8DE83" w14:textId="77777777" w:rsidR="00C34C76" w:rsidRPr="000A779B" w:rsidRDefault="00C34C76" w:rsidP="0079641B">
      <w:pPr>
        <w:pStyle w:val="AspexNumberedbullet1"/>
        <w:numPr>
          <w:ilvl w:val="0"/>
          <w:numId w:val="12"/>
        </w:numPr>
      </w:pPr>
      <w:r w:rsidRPr="000A779B">
        <w:t>Keiser O, Orrell C, Egger M, Wood R, Brinkhof MWG, Furrer H, et al.</w:t>
      </w:r>
      <w:r>
        <w:t xml:space="preserve"> </w:t>
      </w:r>
      <w:r w:rsidRPr="000A779B">
        <w:t>Public-health and individual approaches to antiretroviral therapy:</w:t>
      </w:r>
      <w:r>
        <w:t xml:space="preserve"> </w:t>
      </w:r>
      <w:r w:rsidRPr="000A779B">
        <w:t xml:space="preserve">township South Africa and Switzerland compared. </w:t>
      </w:r>
      <w:r w:rsidRPr="00C34C76">
        <w:rPr>
          <w:i/>
        </w:rPr>
        <w:t>PLoS Med</w:t>
      </w:r>
      <w:r>
        <w:t xml:space="preserve"> </w:t>
      </w:r>
      <w:r w:rsidRPr="000A779B">
        <w:t>2008; 5(7): 1102–11.</w:t>
      </w:r>
    </w:p>
    <w:p w14:paraId="360D3716" w14:textId="77777777" w:rsidR="00C34C76" w:rsidRDefault="00C34C76" w:rsidP="0079641B">
      <w:pPr>
        <w:pStyle w:val="AspexNumberedbullet1"/>
        <w:numPr>
          <w:ilvl w:val="0"/>
          <w:numId w:val="12"/>
        </w:numPr>
      </w:pPr>
      <w:r>
        <w:t>Khan A, Hussain R, &amp; Schofield M. Correlates of sexually transmitted infections in young Australian women.</w:t>
      </w:r>
      <w:r w:rsidRPr="00C34C76">
        <w:rPr>
          <w:i/>
          <w:iCs/>
        </w:rPr>
        <w:t xml:space="preserve"> International Journal of STD &amp; AIDS 2005; </w:t>
      </w:r>
      <w:r w:rsidRPr="00C34C76">
        <w:rPr>
          <w:iCs/>
        </w:rPr>
        <w:t>16</w:t>
      </w:r>
      <w:r>
        <w:t>(7): 482-7.</w:t>
      </w:r>
    </w:p>
    <w:p w14:paraId="34070542" w14:textId="77777777" w:rsidR="00C34C76" w:rsidRDefault="00C34C76" w:rsidP="0079641B">
      <w:pPr>
        <w:pStyle w:val="AspexNumberedbullet1"/>
        <w:numPr>
          <w:ilvl w:val="0"/>
          <w:numId w:val="12"/>
        </w:numPr>
      </w:pPr>
      <w:r>
        <w:t>Khan A, Plummer D, Hussain R, Minichiello V. Does physician bias affect the quality of care they deliver? Evidence in the care of sexually transmitted infections</w:t>
      </w:r>
      <w:r w:rsidRPr="00C34C76">
        <w:rPr>
          <w:i/>
        </w:rPr>
        <w:t>. Sex Transm Infect</w:t>
      </w:r>
      <w:r>
        <w:t>. 2008 Apr;84(2):150-1.</w:t>
      </w:r>
    </w:p>
    <w:p w14:paraId="0C618CA5" w14:textId="77777777" w:rsidR="00C34C76" w:rsidRDefault="00C34C76" w:rsidP="0079641B">
      <w:pPr>
        <w:pStyle w:val="AspexNumberedbullet1"/>
        <w:numPr>
          <w:ilvl w:val="0"/>
          <w:numId w:val="12"/>
        </w:numPr>
      </w:pPr>
      <w:r>
        <w:t xml:space="preserve">Khan A, Plummer D, Hussain R, Minichiello V. Preventing sexually transmissible infections in Australian general practice. </w:t>
      </w:r>
      <w:r w:rsidRPr="00C34C76">
        <w:rPr>
          <w:i/>
        </w:rPr>
        <w:t>Int J STD AIDS</w:t>
      </w:r>
      <w:r>
        <w:t>. 2008 Jul;19(7):459-63.</w:t>
      </w:r>
    </w:p>
    <w:p w14:paraId="155D5D5A" w14:textId="77777777" w:rsidR="00C34C76" w:rsidRDefault="00C34C76" w:rsidP="0079641B">
      <w:pPr>
        <w:pStyle w:val="AspexNumberedbullet1"/>
        <w:numPr>
          <w:ilvl w:val="0"/>
          <w:numId w:val="12"/>
        </w:numPr>
      </w:pPr>
      <w:r>
        <w:t xml:space="preserve">Khan A, Plummer D, Hussain R, Minichiello V. Sexual risk assessment in general practice: evidence from a New South Wales survey. </w:t>
      </w:r>
      <w:r w:rsidRPr="00C34C76">
        <w:rPr>
          <w:i/>
        </w:rPr>
        <w:t>Sex Health</w:t>
      </w:r>
      <w:r>
        <w:t>. 2007 Mar;4(1):1-8.</w:t>
      </w:r>
    </w:p>
    <w:p w14:paraId="39D2FD25" w14:textId="77777777" w:rsidR="00C34C76" w:rsidRDefault="00C34C76" w:rsidP="0079641B">
      <w:pPr>
        <w:pStyle w:val="AspexNumberedbullet1"/>
        <w:numPr>
          <w:ilvl w:val="0"/>
          <w:numId w:val="12"/>
        </w:numPr>
      </w:pPr>
      <w:r>
        <w:t xml:space="preserve">Lau CY, Qureshi AK. Azithromycin versus doxycycline for genital chlamydial infections: a meta-analysis of randomized clinical trials. </w:t>
      </w:r>
      <w:r w:rsidRPr="00C34C76">
        <w:rPr>
          <w:i/>
        </w:rPr>
        <w:t>Sex Transm Dis</w:t>
      </w:r>
      <w:r>
        <w:t>. 2002 Sep;29(9):497-502.</w:t>
      </w:r>
    </w:p>
    <w:p w14:paraId="6E4637CD" w14:textId="77777777" w:rsidR="00C34C76" w:rsidRDefault="00C34C76" w:rsidP="0079641B">
      <w:pPr>
        <w:pStyle w:val="AspexNumberedbullet1"/>
        <w:numPr>
          <w:ilvl w:val="0"/>
          <w:numId w:val="12"/>
        </w:numPr>
      </w:pPr>
      <w:r>
        <w:t xml:space="preserve">Lea AP, Lamb HM. Azithromycin. A pharmacoeconomic review of its use as a single-dose regimen in the treatment of uncomplicated urogenital Chlamydia trachomatis infections in women. </w:t>
      </w:r>
      <w:r w:rsidRPr="00C34C76">
        <w:rPr>
          <w:i/>
        </w:rPr>
        <w:t>Pharmacoeconomics.</w:t>
      </w:r>
      <w:r>
        <w:t xml:space="preserve"> 1997 Nov;12(5):596-611.</w:t>
      </w:r>
    </w:p>
    <w:p w14:paraId="16D798A1" w14:textId="77777777" w:rsidR="00C34C76" w:rsidRDefault="00C34C76" w:rsidP="0079641B">
      <w:pPr>
        <w:pStyle w:val="AspexNumberedbullet1"/>
        <w:numPr>
          <w:ilvl w:val="0"/>
          <w:numId w:val="12"/>
        </w:numPr>
      </w:pPr>
      <w:r>
        <w:t xml:space="preserve">Lewis D, Newton DC, Guy RJ, Ali H, Chen MY, Fairley CK, Hocking JS. The prevalence of Chlamydia trachomatis infection in Australia: a systematic review and meta-analysis. </w:t>
      </w:r>
      <w:r w:rsidRPr="00C34C76">
        <w:rPr>
          <w:i/>
        </w:rPr>
        <w:t>BMC Infect Dis</w:t>
      </w:r>
      <w:r>
        <w:t>. 2012;12:113.</w:t>
      </w:r>
    </w:p>
    <w:p w14:paraId="6807145B" w14:textId="77777777" w:rsidR="00C34C76" w:rsidRDefault="00C34C76" w:rsidP="0079641B">
      <w:pPr>
        <w:pStyle w:val="AspexNumberedbullet1"/>
        <w:numPr>
          <w:ilvl w:val="0"/>
          <w:numId w:val="12"/>
        </w:numPr>
      </w:pPr>
      <w:r>
        <w:t>Liang J, Tang YF, Wu FS, Deng X. Entecavir versus lamivudine for the treatment of chronic hepatitis B: a systematic review</w:t>
      </w:r>
      <w:r w:rsidRPr="00C34C76">
        <w:rPr>
          <w:i/>
        </w:rPr>
        <w:t>. Pharmazie</w:t>
      </w:r>
      <w:r>
        <w:t>. 2012 Nov;67(11):883-90.</w:t>
      </w:r>
    </w:p>
    <w:p w14:paraId="72A4C5EA" w14:textId="77777777" w:rsidR="00C34C76" w:rsidRDefault="00C34C76" w:rsidP="0079641B">
      <w:pPr>
        <w:pStyle w:val="AspexNumberedbullet1"/>
        <w:numPr>
          <w:ilvl w:val="0"/>
          <w:numId w:val="12"/>
        </w:numPr>
      </w:pPr>
      <w:r>
        <w:t xml:space="preserve">Lofrisco BM. Female sexual pain disorders and cognitive behavioral therapy. </w:t>
      </w:r>
      <w:r w:rsidRPr="00C34C76">
        <w:rPr>
          <w:i/>
        </w:rPr>
        <w:t>J  Sex Res</w:t>
      </w:r>
      <w:r>
        <w:t>. 2011 Nov-Dec;48(6):573-9.</w:t>
      </w:r>
    </w:p>
    <w:p w14:paraId="3649A090" w14:textId="77777777" w:rsidR="00C34C76" w:rsidRPr="00736B4B" w:rsidRDefault="00C34C76" w:rsidP="0079641B">
      <w:pPr>
        <w:pStyle w:val="AspexNumberedbullet1"/>
        <w:numPr>
          <w:ilvl w:val="0"/>
          <w:numId w:val="12"/>
        </w:numPr>
      </w:pPr>
      <w:r>
        <w:lastRenderedPageBreak/>
        <w:t>Lusk MJ, Naing Z, Rayner B, Rismanto N, McIver CJ, Cumming RG</w:t>
      </w:r>
      <w:r w:rsidRPr="00736B4B">
        <w:t xml:space="preserve">, </w:t>
      </w:r>
      <w:r>
        <w:t xml:space="preserve">et al. </w:t>
      </w:r>
      <w:r w:rsidRPr="00736B4B">
        <w:t xml:space="preserve">Trichomonas vaginalis: underdiagnosis in urban Australia could facilitate re-emergence. </w:t>
      </w:r>
      <w:r w:rsidRPr="00C34C76">
        <w:rPr>
          <w:i/>
        </w:rPr>
        <w:t>Sex Transm Infect.</w:t>
      </w:r>
      <w:r>
        <w:t xml:space="preserve">  2010; </w:t>
      </w:r>
      <w:r w:rsidRPr="00736B4B">
        <w:t>86</w:t>
      </w:r>
      <w:r>
        <w:t>(3);</w:t>
      </w:r>
      <w:r w:rsidRPr="00736B4B">
        <w:t xml:space="preserve"> 227-230.</w:t>
      </w:r>
    </w:p>
    <w:p w14:paraId="41A18636" w14:textId="77777777" w:rsidR="00C34C76" w:rsidRDefault="00C34C76" w:rsidP="0079641B">
      <w:pPr>
        <w:pStyle w:val="AspexNumberedbullet1"/>
        <w:numPr>
          <w:ilvl w:val="0"/>
          <w:numId w:val="12"/>
        </w:numPr>
      </w:pPr>
      <w:r>
        <w:t xml:space="preserve">Macleod J, Salisbury C, Low N, McCarthy A, Sterne JAC, Holloway A, et al. Coverage and uptake of systematic postal screening for genital Chlamydia trachomatis and prevalence of infection in the United Kingdom general population: cross sectional study. </w:t>
      </w:r>
      <w:r w:rsidRPr="00C34C76">
        <w:rPr>
          <w:rStyle w:val="ref-journal"/>
          <w:i/>
        </w:rPr>
        <w:t>BMJ</w:t>
      </w:r>
      <w:r>
        <w:rPr>
          <w:rStyle w:val="ref-journal"/>
        </w:rPr>
        <w:t xml:space="preserve">. </w:t>
      </w:r>
      <w:r>
        <w:t xml:space="preserve">2005; </w:t>
      </w:r>
      <w:r>
        <w:rPr>
          <w:rStyle w:val="ref-vol"/>
        </w:rPr>
        <w:t>330</w:t>
      </w:r>
      <w:r>
        <w:t>:940–942.</w:t>
      </w:r>
    </w:p>
    <w:p w14:paraId="6CA68D8C" w14:textId="77777777" w:rsidR="00C34C76" w:rsidRDefault="00C34C76" w:rsidP="0079641B">
      <w:pPr>
        <w:pStyle w:val="AspexNumberedbullet1"/>
        <w:numPr>
          <w:ilvl w:val="0"/>
          <w:numId w:val="12"/>
        </w:numPr>
      </w:pPr>
      <w:r w:rsidRPr="003E2CE8">
        <w:t xml:space="preserve">Maio G, Saraeb S, Marchiori A. Physical activity and PDE5 inhibitors in the treatment of erectile dysfunction: results of a randomized controlled study. </w:t>
      </w:r>
      <w:r w:rsidRPr="00C34C76">
        <w:rPr>
          <w:i/>
        </w:rPr>
        <w:t>J Sex Med</w:t>
      </w:r>
      <w:r w:rsidRPr="003E2CE8">
        <w:t xml:space="preserve"> 2010; 7: 2201</w:t>
      </w:r>
      <w:r w:rsidRPr="003E2CE8">
        <w:rPr>
          <w:rFonts w:hint="eastAsia"/>
        </w:rPr>
        <w:t>–</w:t>
      </w:r>
      <w:r w:rsidRPr="003E2CE8">
        <w:t>08.</w:t>
      </w:r>
    </w:p>
    <w:p w14:paraId="4C911C16" w14:textId="77777777" w:rsidR="00C34C76" w:rsidRPr="0084124E" w:rsidRDefault="00C34C76" w:rsidP="0079641B">
      <w:pPr>
        <w:pStyle w:val="AspexNumberedbullet1"/>
        <w:numPr>
          <w:ilvl w:val="0"/>
          <w:numId w:val="12"/>
        </w:numPr>
      </w:pPr>
      <w:r>
        <w:t xml:space="preserve">Mallitt KA, Jansson J, Crooks L, McGuigan D, Wand H, Wilson DP. Demand for HIV clinical services is increasing in Australia but supply is decreasing. </w:t>
      </w:r>
      <w:r w:rsidRPr="00C34C76">
        <w:rPr>
          <w:i/>
        </w:rPr>
        <w:t>Sex Health</w:t>
      </w:r>
      <w:r>
        <w:t>. 2012 Nov 19. doi: 10.1071/SH12051.</w:t>
      </w:r>
    </w:p>
    <w:p w14:paraId="75EF44F1" w14:textId="77777777" w:rsidR="00C34C76" w:rsidRDefault="00C34C76" w:rsidP="0079641B">
      <w:pPr>
        <w:pStyle w:val="AspexNumberedbullet1"/>
        <w:numPr>
          <w:ilvl w:val="0"/>
          <w:numId w:val="12"/>
        </w:numPr>
      </w:pPr>
      <w:r>
        <w:t xml:space="preserve">Masheb RM, Kerns RD, Lozano C, Minkin MJ, Richman S. A randomized clinical trial for women with vulvodynia: Cognitive-behavioral therapy vs. supportive psychotherapy. </w:t>
      </w:r>
      <w:r w:rsidRPr="00C34C76">
        <w:rPr>
          <w:i/>
        </w:rPr>
        <w:t>Pain</w:t>
      </w:r>
      <w:r>
        <w:t>. 2009 Jan;141(1-2):31-40.</w:t>
      </w:r>
    </w:p>
    <w:p w14:paraId="7734C04B" w14:textId="77777777" w:rsidR="00C34C76" w:rsidRDefault="00C34C76" w:rsidP="0079641B">
      <w:pPr>
        <w:pStyle w:val="AspexNumberedbullet1"/>
        <w:numPr>
          <w:ilvl w:val="0"/>
          <w:numId w:val="12"/>
        </w:numPr>
      </w:pPr>
      <w:r w:rsidRPr="00A75F7A">
        <w:t>Melnik T, Soares BG, Nasselo AG. Psychoso</w:t>
      </w:r>
      <w:r>
        <w:t xml:space="preserve">cial interventions for erectile </w:t>
      </w:r>
      <w:r w:rsidRPr="00A75F7A">
        <w:t xml:space="preserve">dysfunction. </w:t>
      </w:r>
      <w:r w:rsidRPr="00C34C76">
        <w:rPr>
          <w:i/>
        </w:rPr>
        <w:t>Cochrane Database Syst Rev</w:t>
      </w:r>
      <w:r w:rsidRPr="00A75F7A">
        <w:t>. 2007 Jul 18;(3):CD004825.</w:t>
      </w:r>
    </w:p>
    <w:p w14:paraId="3DC1E912" w14:textId="77777777" w:rsidR="00C34C76" w:rsidRDefault="00C34C76" w:rsidP="0079641B">
      <w:pPr>
        <w:pStyle w:val="AspexNumberedbullet1"/>
        <w:numPr>
          <w:ilvl w:val="0"/>
          <w:numId w:val="12"/>
        </w:numPr>
      </w:pPr>
      <w:r>
        <w:t xml:space="preserve">Messiaen P, Wensing AM, Fun A, Nijhuis M, Brusselaers N, Vandekerckhove L. Clinical Use of HIV Integrase Inhibitors: A Systematic Review and Meta-Analysis.  </w:t>
      </w:r>
      <w:r w:rsidRPr="00C34C76">
        <w:rPr>
          <w:i/>
        </w:rPr>
        <w:t>PLoS One</w:t>
      </w:r>
      <w:r>
        <w:t>. 2013;8(1):e52562.</w:t>
      </w:r>
    </w:p>
    <w:p w14:paraId="531719B3" w14:textId="77777777" w:rsidR="00C34C76" w:rsidRDefault="00C34C76" w:rsidP="0079641B">
      <w:pPr>
        <w:pStyle w:val="AspexNumberedbullet1"/>
        <w:numPr>
          <w:ilvl w:val="0"/>
          <w:numId w:val="12"/>
        </w:numPr>
      </w:pPr>
      <w:r>
        <w:t xml:space="preserve">Naim M, Ende D. A new approach to the treatment of non-specific male genital pain. </w:t>
      </w:r>
      <w:r w:rsidRPr="00C34C76">
        <w:rPr>
          <w:i/>
        </w:rPr>
        <w:t>BJU Int</w:t>
      </w:r>
      <w:r>
        <w:t>. 2011 Apr;107 Suppl 3:34-7.</w:t>
      </w:r>
    </w:p>
    <w:p w14:paraId="3841D0C7" w14:textId="77777777" w:rsidR="00C34C76" w:rsidRDefault="00C34C76" w:rsidP="0079641B">
      <w:pPr>
        <w:pStyle w:val="AspexNumberedbullet1"/>
        <w:numPr>
          <w:ilvl w:val="0"/>
          <w:numId w:val="12"/>
        </w:numPr>
      </w:pPr>
      <w:r w:rsidRPr="00473430">
        <w:t xml:space="preserve">National Centre for HIV </w:t>
      </w:r>
      <w:r w:rsidRPr="00C34C76">
        <w:rPr>
          <w:i/>
        </w:rPr>
        <w:t xml:space="preserve">Epidemiology and Clinical Research. Annual Surveillance Report. </w:t>
      </w:r>
      <w:r>
        <w:t>Sydney:</w:t>
      </w:r>
      <w:r w:rsidRPr="00473430">
        <w:t xml:space="preserve"> University of New South Wales</w:t>
      </w:r>
      <w:r>
        <w:t>, 2009</w:t>
      </w:r>
      <w:r w:rsidRPr="00473430">
        <w:t>.</w:t>
      </w:r>
    </w:p>
    <w:p w14:paraId="4FF33995" w14:textId="77777777" w:rsidR="00C34C76" w:rsidRDefault="00C34C76" w:rsidP="0079641B">
      <w:pPr>
        <w:pStyle w:val="AspexNumberedbullet1"/>
        <w:numPr>
          <w:ilvl w:val="0"/>
          <w:numId w:val="12"/>
        </w:numPr>
      </w:pPr>
      <w:r w:rsidRPr="00BB4C78">
        <w:t>Newman L, Stirzaker S, Knuckey D, Robinson K, Hood J,</w:t>
      </w:r>
      <w:r>
        <w:t xml:space="preserve"> </w:t>
      </w:r>
      <w:r w:rsidRPr="00BB4C78">
        <w:t>Knope K et al. Australia's notifiable disease status, 2008: Annual</w:t>
      </w:r>
      <w:r>
        <w:t xml:space="preserve"> </w:t>
      </w:r>
      <w:r w:rsidRPr="00BB4C78">
        <w:t>Report of the National Notifiable Diseases Surveillance System.</w:t>
      </w:r>
      <w:r>
        <w:t xml:space="preserve"> </w:t>
      </w:r>
      <w:r w:rsidRPr="00C34C76">
        <w:rPr>
          <w:i/>
        </w:rPr>
        <w:t>Communicable Diseases Intelligence</w:t>
      </w:r>
      <w:r w:rsidRPr="00BB4C78">
        <w:t xml:space="preserve"> 2010; 34(3): 157-224.</w:t>
      </w:r>
    </w:p>
    <w:p w14:paraId="40F4FA6C" w14:textId="77777777" w:rsidR="00C34C76" w:rsidRDefault="00C34C76" w:rsidP="0079641B">
      <w:pPr>
        <w:pStyle w:val="AspexNumberedbullet1"/>
        <w:numPr>
          <w:ilvl w:val="0"/>
          <w:numId w:val="12"/>
        </w:numPr>
      </w:pPr>
      <w:r>
        <w:t xml:space="preserve">Newman L, Stirzaker S, Knuckey D, Robinson K, Hood J, Knope K et al. Australia’s notifiable disease status, 2008: annual report of the National Notifiable Diseases Surveillance System. </w:t>
      </w:r>
      <w:r w:rsidRPr="00C34C76">
        <w:rPr>
          <w:rStyle w:val="ref-journal"/>
          <w:i/>
        </w:rPr>
        <w:t>Commun Dis Intell.</w:t>
      </w:r>
      <w:r>
        <w:rPr>
          <w:rStyle w:val="ref-journal"/>
        </w:rPr>
        <w:t xml:space="preserve"> </w:t>
      </w:r>
      <w:r>
        <w:t xml:space="preserve">2010; </w:t>
      </w:r>
      <w:r>
        <w:rPr>
          <w:rStyle w:val="ref-vol"/>
        </w:rPr>
        <w:t>34</w:t>
      </w:r>
      <w:r>
        <w:t>:157–224.</w:t>
      </w:r>
    </w:p>
    <w:p w14:paraId="1137CD4A" w14:textId="77777777" w:rsidR="00C34C76" w:rsidRDefault="00C34C76" w:rsidP="0079641B">
      <w:pPr>
        <w:pStyle w:val="AspexNumberedbullet1"/>
        <w:numPr>
          <w:ilvl w:val="0"/>
          <w:numId w:val="12"/>
        </w:numPr>
      </w:pPr>
      <w:r>
        <w:t xml:space="preserve">Olsen A, Banwell C, Dance P. Reinforced biographies among women living with hepatitis C. </w:t>
      </w:r>
      <w:r w:rsidRPr="00C34C76">
        <w:rPr>
          <w:i/>
        </w:rPr>
        <w:t>Qual Health Res</w:t>
      </w:r>
      <w:r>
        <w:t>. 2013 Apr;23(4):531-40.</w:t>
      </w:r>
    </w:p>
    <w:p w14:paraId="24CB515F" w14:textId="77777777" w:rsidR="00C34C76" w:rsidRDefault="00C34C76" w:rsidP="0079641B">
      <w:pPr>
        <w:pStyle w:val="AspexNumberedbullet1"/>
        <w:numPr>
          <w:ilvl w:val="0"/>
          <w:numId w:val="12"/>
        </w:numPr>
      </w:pPr>
      <w:r>
        <w:t xml:space="preserve">Owusu-Edusei K Jr, Chesson HW, Gift TL, Tao G, Mahajan R, Ocfemia MC, Kent CK. The estimated direct medical cost of selected sexually transmitted infections in  the United States, 2008. </w:t>
      </w:r>
      <w:r w:rsidRPr="00C34C76">
        <w:rPr>
          <w:i/>
        </w:rPr>
        <w:t>Sex Transm Dis</w:t>
      </w:r>
      <w:r>
        <w:t>. 2013 Mar;40(3):197-201.</w:t>
      </w:r>
    </w:p>
    <w:p w14:paraId="26FD79E9" w14:textId="77777777" w:rsidR="00C34C76" w:rsidRPr="00F05091" w:rsidRDefault="00C34C76" w:rsidP="0079641B">
      <w:pPr>
        <w:pStyle w:val="AspexNumberedbullet1"/>
        <w:numPr>
          <w:ilvl w:val="0"/>
          <w:numId w:val="12"/>
        </w:numPr>
      </w:pPr>
      <w:r>
        <w:t>Poljski C, Atkin L, Williams</w:t>
      </w:r>
      <w:r w:rsidRPr="00F05091">
        <w:t xml:space="preserve"> H. </w:t>
      </w:r>
      <w:r w:rsidRPr="00C34C76">
        <w:rPr>
          <w:i/>
        </w:rPr>
        <w:t>Review of Sexual Health Clinical Services in Victoria</w:t>
      </w:r>
      <w:r w:rsidRPr="00F05091">
        <w:t>. Family Planning Victoria: Melbourne, 2004.</w:t>
      </w:r>
    </w:p>
    <w:p w14:paraId="653AB5A9" w14:textId="77777777" w:rsidR="00C34C76" w:rsidRDefault="00C34C76" w:rsidP="0079641B">
      <w:pPr>
        <w:pStyle w:val="AspexNumberedbullet1"/>
        <w:numPr>
          <w:ilvl w:val="0"/>
          <w:numId w:val="12"/>
        </w:numPr>
      </w:pPr>
      <w:r>
        <w:t xml:space="preserve">Poterucha TJ, Murphy SL, Rho RH, Sandroni P, Warndahl RA, Weiss WT, Davis MD.  Topical amitriptyline-ketamine for treatment of rectal, genital, and perineal pain and discomfort. </w:t>
      </w:r>
      <w:r w:rsidRPr="00C34C76">
        <w:rPr>
          <w:i/>
        </w:rPr>
        <w:t>Pain Physician</w:t>
      </w:r>
      <w:r>
        <w:t>. 2012 Nov-Dec;15(6):485-8.</w:t>
      </w:r>
    </w:p>
    <w:p w14:paraId="18580251" w14:textId="77777777" w:rsidR="00C34C76" w:rsidRDefault="00C34C76" w:rsidP="0079641B">
      <w:pPr>
        <w:pStyle w:val="AspexNumberedbullet1"/>
        <w:numPr>
          <w:ilvl w:val="0"/>
          <w:numId w:val="12"/>
        </w:numPr>
      </w:pPr>
      <w:r>
        <w:lastRenderedPageBreak/>
        <w:t xml:space="preserve">Rackal JM, Tynan AM, Handford CD, Rzeznikiewiz D, Agha A, Glazier R. Provider training and experience for people living with HIV/AIDS. </w:t>
      </w:r>
      <w:r w:rsidRPr="00C34C76">
        <w:rPr>
          <w:i/>
        </w:rPr>
        <w:t>Cochrane Database Syst Rev</w:t>
      </w:r>
      <w:r>
        <w:t>. 2011 Jun 15;(6):CD003938.</w:t>
      </w:r>
    </w:p>
    <w:p w14:paraId="035DA2D0" w14:textId="77777777" w:rsidR="00C34C76" w:rsidRDefault="00C34C76" w:rsidP="0079641B">
      <w:pPr>
        <w:pStyle w:val="AspexNumberedbullet1"/>
        <w:numPr>
          <w:ilvl w:val="0"/>
          <w:numId w:val="12"/>
        </w:numPr>
      </w:pPr>
      <w:r>
        <w:t xml:space="preserve">Reese JB. Results from an RCT testing a psychosocial treatment for vulvodynia: Methodological strengths and future directions. </w:t>
      </w:r>
      <w:r w:rsidRPr="00C34C76">
        <w:rPr>
          <w:i/>
        </w:rPr>
        <w:t>Pain</w:t>
      </w:r>
      <w:r>
        <w:t>. 2009 Jan;141(1-2):8-9.</w:t>
      </w:r>
    </w:p>
    <w:p w14:paraId="3A3BC0AE" w14:textId="77777777" w:rsidR="00C34C76" w:rsidRPr="00B50DDC" w:rsidRDefault="00C34C76" w:rsidP="0079641B">
      <w:pPr>
        <w:pStyle w:val="AspexNumberedbullet1"/>
        <w:numPr>
          <w:ilvl w:val="0"/>
          <w:numId w:val="12"/>
        </w:numPr>
      </w:pPr>
      <w:r>
        <w:t xml:space="preserve">Rosenbaum TY. Pelvic floor involvement in male and female sexual dysfunction and the role of pelvic floor rehabilitation in treatment: a literature review. </w:t>
      </w:r>
      <w:r w:rsidRPr="00C34C76">
        <w:rPr>
          <w:i/>
        </w:rPr>
        <w:t>J Sex Med</w:t>
      </w:r>
      <w:r>
        <w:t>. 2007 Jan;4(1):4-13.</w:t>
      </w:r>
    </w:p>
    <w:p w14:paraId="215BB91E" w14:textId="77777777" w:rsidR="00C34C76" w:rsidRDefault="00C34C76" w:rsidP="0079641B">
      <w:pPr>
        <w:pStyle w:val="AspexNumberedbullet1"/>
        <w:numPr>
          <w:ilvl w:val="0"/>
          <w:numId w:val="12"/>
        </w:numPr>
      </w:pPr>
      <w:r>
        <w:t>Sator-Katzenschlager SM, Scharbert G, Kress HG, Frickey N, Ellend A, Gleiss A, Kozek-Langenecker SA. Chronic pelvic pain treated with gabapentin and amitriptyline: a randomized controlled pilot study. Wien Klin Wochenschr. 2005 Nov;117(21-22):761-8.</w:t>
      </w:r>
    </w:p>
    <w:p w14:paraId="56D96892" w14:textId="77777777" w:rsidR="00C34C76" w:rsidRDefault="00C34C76" w:rsidP="0079641B">
      <w:pPr>
        <w:pStyle w:val="AspexNumberedbullet1"/>
        <w:numPr>
          <w:ilvl w:val="0"/>
          <w:numId w:val="12"/>
        </w:numPr>
      </w:pPr>
      <w:r>
        <w:t xml:space="preserve">Scheinfeld N, Lehman DS. An evidence-based review of medical and surgical treatments of genital warts. </w:t>
      </w:r>
      <w:r w:rsidRPr="00C34C76">
        <w:rPr>
          <w:i/>
        </w:rPr>
        <w:t>Dermatol Online J.</w:t>
      </w:r>
      <w:r>
        <w:t xml:space="preserve"> 2006 Mar 30;12(3):5.</w:t>
      </w:r>
    </w:p>
    <w:p w14:paraId="6D8D9D7A" w14:textId="77777777" w:rsidR="00C34C76" w:rsidRDefault="00C34C76" w:rsidP="0079641B">
      <w:pPr>
        <w:pStyle w:val="AspexNumberedbullet1"/>
        <w:numPr>
          <w:ilvl w:val="0"/>
          <w:numId w:val="12"/>
        </w:numPr>
      </w:pPr>
      <w:r>
        <w:t>Schneider H, Chabikuli N, Blaauw D, Funani I, Brugha R. Sexually transmitted infections -- factors associated with quality of care among private general practitioners. S Afr Med J. 2005 Oct;95(10):782-5.</w:t>
      </w:r>
    </w:p>
    <w:p w14:paraId="6CDF357F" w14:textId="77777777" w:rsidR="00C34C76" w:rsidRDefault="00C34C76" w:rsidP="0079641B">
      <w:pPr>
        <w:pStyle w:val="AspexNumberedbullet1"/>
        <w:numPr>
          <w:ilvl w:val="0"/>
          <w:numId w:val="12"/>
        </w:numPr>
      </w:pPr>
      <w:r w:rsidRPr="008B3D7C">
        <w:t xml:space="preserve">Sena AC, William CM, Hobbs MM, et al. Trichomonas vaginalis infection in male sexual partners: implications for diagnosis, treatment and prevention. </w:t>
      </w:r>
      <w:r w:rsidRPr="00C34C76">
        <w:rPr>
          <w:i/>
        </w:rPr>
        <w:t>Clin Infect Dis</w:t>
      </w:r>
      <w:r w:rsidRPr="008B3D7C">
        <w:t xml:space="preserve"> 2007;</w:t>
      </w:r>
      <w:r>
        <w:t xml:space="preserve"> </w:t>
      </w:r>
      <w:r w:rsidRPr="008B3D7C">
        <w:t>44:13e22.</w:t>
      </w:r>
    </w:p>
    <w:p w14:paraId="4A1443CB" w14:textId="77777777" w:rsidR="00C34C76" w:rsidRPr="00473430" w:rsidRDefault="00C34C76" w:rsidP="0079641B">
      <w:pPr>
        <w:pStyle w:val="AspexNumberedbullet1"/>
        <w:numPr>
          <w:ilvl w:val="0"/>
          <w:numId w:val="12"/>
        </w:numPr>
      </w:pPr>
      <w:r w:rsidRPr="003B58CC">
        <w:t xml:space="preserve">Sexual Health Society of Victoria. </w:t>
      </w:r>
      <w:r w:rsidRPr="00C34C76">
        <w:rPr>
          <w:i/>
        </w:rPr>
        <w:t>The National Management Guidelines for Sexually Transmissible Infections 7th Edition</w:t>
      </w:r>
      <w:r w:rsidRPr="003B58CC">
        <w:t>. Melbourne: Author, 2008.</w:t>
      </w:r>
    </w:p>
    <w:p w14:paraId="0679A9ED" w14:textId="77777777" w:rsidR="00C34C76" w:rsidRDefault="00C34C76" w:rsidP="0079641B">
      <w:pPr>
        <w:pStyle w:val="AspexNumberedbullet1"/>
        <w:numPr>
          <w:ilvl w:val="0"/>
          <w:numId w:val="12"/>
        </w:numPr>
      </w:pPr>
      <w:r w:rsidRPr="005E4703">
        <w:t>Shamloul R, Ghanem H. Erectil</w:t>
      </w:r>
      <w:r>
        <w:t xml:space="preserve">e dysfunction. </w:t>
      </w:r>
      <w:r w:rsidRPr="00C34C76">
        <w:rPr>
          <w:i/>
        </w:rPr>
        <w:t>Lancet</w:t>
      </w:r>
      <w:r>
        <w:t xml:space="preserve">. 2013 Jan </w:t>
      </w:r>
      <w:r w:rsidRPr="005E4703">
        <w:t xml:space="preserve">12;381(9861):153-65. </w:t>
      </w:r>
      <w:r>
        <w:t xml:space="preserve"> </w:t>
      </w:r>
    </w:p>
    <w:p w14:paraId="0478A126" w14:textId="77777777" w:rsidR="00C34C76" w:rsidRPr="00D97DB4" w:rsidRDefault="00C34C76" w:rsidP="0079641B">
      <w:pPr>
        <w:pStyle w:val="AspexNumberedbullet1"/>
        <w:numPr>
          <w:ilvl w:val="0"/>
          <w:numId w:val="12"/>
        </w:numPr>
      </w:pPr>
      <w:r w:rsidRPr="00D97DB4">
        <w:t xml:space="preserve">Taylor-Robinson D. Mycoplasma genitalium—an up-date. </w:t>
      </w:r>
      <w:r w:rsidRPr="00C34C76">
        <w:rPr>
          <w:i/>
        </w:rPr>
        <w:t>Int J STD AIDS</w:t>
      </w:r>
      <w:r w:rsidRPr="00D97DB4">
        <w:t xml:space="preserve"> 2002;13:145–51.</w:t>
      </w:r>
    </w:p>
    <w:p w14:paraId="22CADD30" w14:textId="77777777" w:rsidR="00C34C76" w:rsidRDefault="00C34C76" w:rsidP="0079641B">
      <w:pPr>
        <w:pStyle w:val="AspexNumberedbullet1"/>
        <w:numPr>
          <w:ilvl w:val="0"/>
          <w:numId w:val="12"/>
        </w:numPr>
      </w:pPr>
      <w:r>
        <w:t xml:space="preserve">Temple-Smith MJ, Mak D, Watson J, Bastian L, Smith A, Pitts M. Conversant or clueless? Chlamydia-related knowledge and practice of general practitioners in Western Australia. </w:t>
      </w:r>
      <w:r w:rsidRPr="00C34C76">
        <w:rPr>
          <w:i/>
        </w:rPr>
        <w:t>BMC Fam Pract</w:t>
      </w:r>
      <w:r>
        <w:t>. 2008 Feb 29;9:17.</w:t>
      </w:r>
    </w:p>
    <w:p w14:paraId="5B943E9F" w14:textId="77777777" w:rsidR="00C34C76" w:rsidRDefault="00C34C76" w:rsidP="0079641B">
      <w:pPr>
        <w:pStyle w:val="AspexNumberedbullet1"/>
        <w:numPr>
          <w:ilvl w:val="0"/>
          <w:numId w:val="12"/>
        </w:numPr>
      </w:pPr>
      <w:r>
        <w:t xml:space="preserve">Temple-Smith MJ, Mulvey G, Keogh L. Attitudes to taking a sexual history in general practice in Victoria, Australia. </w:t>
      </w:r>
      <w:r w:rsidRPr="00C34C76">
        <w:rPr>
          <w:i/>
        </w:rPr>
        <w:t>Sex Transm Infect</w:t>
      </w:r>
      <w:r>
        <w:t>. 1999 Feb;75(1):41-4.</w:t>
      </w:r>
    </w:p>
    <w:p w14:paraId="61333ED7" w14:textId="77777777" w:rsidR="00C34C76" w:rsidRPr="00811E61" w:rsidRDefault="00C34C76" w:rsidP="0079641B">
      <w:pPr>
        <w:pStyle w:val="AspexNumberedbullet1"/>
        <w:numPr>
          <w:ilvl w:val="0"/>
          <w:numId w:val="12"/>
        </w:numPr>
      </w:pPr>
      <w:r w:rsidRPr="00811E61">
        <w:t>Temp</w:t>
      </w:r>
      <w:r>
        <w:t>leton DJ, Jin F, McNally LP, Imrie JC, Prestage GP</w:t>
      </w:r>
      <w:r w:rsidRPr="00811E61">
        <w:t>,</w:t>
      </w:r>
      <w:r>
        <w:t xml:space="preserve"> Donovan B, et al</w:t>
      </w:r>
      <w:r w:rsidRPr="00811E61">
        <w:t xml:space="preserve">. Prevalence, incidence and risk factors for pharyngeal gonorrhoea in a community-based HIV-negative cohort of homosexual men in Sydney, Australia. </w:t>
      </w:r>
      <w:r w:rsidRPr="00C34C76">
        <w:rPr>
          <w:i/>
        </w:rPr>
        <w:t>Sex Transm Infect.</w:t>
      </w:r>
      <w:r>
        <w:t xml:space="preserve"> 2010;</w:t>
      </w:r>
      <w:r w:rsidRPr="00811E61">
        <w:t xml:space="preserve"> 86(2), 90-96.</w:t>
      </w:r>
    </w:p>
    <w:p w14:paraId="05FE9939" w14:textId="77777777" w:rsidR="00C34C76" w:rsidRDefault="00C34C76" w:rsidP="0079641B">
      <w:pPr>
        <w:pStyle w:val="AspexNumberedbullet1"/>
        <w:numPr>
          <w:ilvl w:val="0"/>
          <w:numId w:val="12"/>
        </w:numPr>
      </w:pPr>
      <w:r w:rsidRPr="00953308">
        <w:t xml:space="preserve">The Kirby Institute. </w:t>
      </w:r>
      <w:r w:rsidRPr="00C34C76">
        <w:rPr>
          <w:i/>
        </w:rPr>
        <w:t xml:space="preserve">HIV, viral hepatitis and sexually transmissible infections in Australia: Annual surveillance report, </w:t>
      </w:r>
      <w:r w:rsidRPr="0082076E">
        <w:t>Sydney:</w:t>
      </w:r>
      <w:r>
        <w:t xml:space="preserve"> </w:t>
      </w:r>
      <w:r w:rsidRPr="0082076E">
        <w:t>Author</w:t>
      </w:r>
      <w:r>
        <w:t xml:space="preserve"> (UNSW)</w:t>
      </w:r>
      <w:r w:rsidRPr="0082076E">
        <w:t>,</w:t>
      </w:r>
      <w:r w:rsidRPr="00953308">
        <w:t xml:space="preserve"> 2012</w:t>
      </w:r>
    </w:p>
    <w:p w14:paraId="1348CE64" w14:textId="77777777" w:rsidR="00C34C76" w:rsidRDefault="00C34C76" w:rsidP="0079641B">
      <w:pPr>
        <w:pStyle w:val="AspexNumberedbullet1"/>
        <w:numPr>
          <w:ilvl w:val="0"/>
          <w:numId w:val="12"/>
        </w:numPr>
      </w:pPr>
      <w:r w:rsidRPr="00A567F1">
        <w:t xml:space="preserve">The Kirby Institute. </w:t>
      </w:r>
      <w:r w:rsidRPr="00C34C76">
        <w:rPr>
          <w:i/>
        </w:rPr>
        <w:t>HIV, viral hepatitis and sexually transmissible infections in Australia Annual Surveillance Report 2012</w:t>
      </w:r>
      <w:r w:rsidRPr="00A567F1">
        <w:t xml:space="preserve">. </w:t>
      </w:r>
      <w:r>
        <w:t>Sydney: The Kirby Institute (UNSW)</w:t>
      </w:r>
      <w:r w:rsidRPr="00A567F1">
        <w:t xml:space="preserve">, </w:t>
      </w:r>
      <w:r>
        <w:t>2012.</w:t>
      </w:r>
    </w:p>
    <w:p w14:paraId="6B228C05" w14:textId="77777777" w:rsidR="00C34C76" w:rsidRDefault="00C34C76" w:rsidP="0079641B">
      <w:pPr>
        <w:pStyle w:val="AspexNumberedbullet1"/>
        <w:numPr>
          <w:ilvl w:val="0"/>
          <w:numId w:val="12"/>
        </w:numPr>
      </w:pPr>
      <w:r w:rsidRPr="00E955AD">
        <w:t>Wagner G, Claes H, Costa P, Cricelli C, De Boer J, Debruyne FM, Dean J,</w:t>
      </w:r>
      <w:r>
        <w:t xml:space="preserve"> </w:t>
      </w:r>
      <w:r w:rsidRPr="00E955AD">
        <w:t>Dinsmore WW, Fitzpatrick JM, Ralph DJ, Hackett G</w:t>
      </w:r>
      <w:r>
        <w:t xml:space="preserve">I, Heaton JP, Hatzichristou DG, </w:t>
      </w:r>
      <w:r w:rsidRPr="00E955AD">
        <w:t>Mendive J, Meuleman EJ, Mirone V, Montorsi F, Raineri F, Schulman CC, Stief CG,</w:t>
      </w:r>
      <w:r>
        <w:t xml:space="preserve"> </w:t>
      </w:r>
      <w:r w:rsidRPr="00E955AD">
        <w:t>Von Keitz AT, Wright PJ; Lygon Arms Group. A shared care approach to the</w:t>
      </w:r>
      <w:r>
        <w:t xml:space="preserve"> </w:t>
      </w:r>
      <w:r w:rsidRPr="00E955AD">
        <w:t xml:space="preserve">management of erectile dysfunction in the community. </w:t>
      </w:r>
      <w:r w:rsidRPr="00C34C76">
        <w:rPr>
          <w:i/>
        </w:rPr>
        <w:t>Int J Impot Res</w:t>
      </w:r>
      <w:r w:rsidRPr="00E955AD">
        <w:t>. 2002</w:t>
      </w:r>
      <w:r>
        <w:t xml:space="preserve"> </w:t>
      </w:r>
      <w:r w:rsidRPr="00E955AD">
        <w:t>Jun;14(3):189-94.</w:t>
      </w:r>
    </w:p>
    <w:p w14:paraId="276296C7" w14:textId="77777777" w:rsidR="00C34C76" w:rsidRDefault="00C34C76" w:rsidP="0079641B">
      <w:pPr>
        <w:pStyle w:val="AspexNumberedbullet1"/>
        <w:numPr>
          <w:ilvl w:val="0"/>
          <w:numId w:val="12"/>
        </w:numPr>
      </w:pPr>
      <w:r>
        <w:lastRenderedPageBreak/>
        <w:t xml:space="preserve">Wong WC, Luk CW, Kidd MR. Is there a role for primary care clinicians in providing shared care in HIV treatment? A systematic literature review. </w:t>
      </w:r>
      <w:r w:rsidRPr="00C34C76">
        <w:rPr>
          <w:i/>
        </w:rPr>
        <w:t>Sex Transm Infect</w:t>
      </w:r>
      <w:r>
        <w:t>. 2012 Mar;88(2):125-31.</w:t>
      </w:r>
    </w:p>
    <w:p w14:paraId="0C3F069F" w14:textId="77777777" w:rsidR="00C34C76" w:rsidRDefault="00C34C76" w:rsidP="0079641B">
      <w:pPr>
        <w:pStyle w:val="AspexNumberedbullet1"/>
        <w:numPr>
          <w:ilvl w:val="0"/>
          <w:numId w:val="12"/>
        </w:numPr>
      </w:pPr>
      <w:r>
        <w:t xml:space="preserve">Woo G, Tomlinson G, Nishikawa Y, Kowgier M, Sherman M, Wong DK, Pham B, Ungar  WJ, Einarson TR, Heathcote EJ, Krahn M. Tenofovir and entecavir are the most effective antiviral agents for chronic hepatitis B: a systematic review and Bayesian meta-analyses. </w:t>
      </w:r>
      <w:r w:rsidRPr="00C34C76">
        <w:rPr>
          <w:i/>
        </w:rPr>
        <w:t>Gastroenterology.</w:t>
      </w:r>
      <w:r>
        <w:t xml:space="preserve"> 2010 Oct;139(4):1218-29.</w:t>
      </w:r>
    </w:p>
    <w:p w14:paraId="68EDA952" w14:textId="77777777" w:rsidR="00C34C76" w:rsidRDefault="00C34C76" w:rsidP="0079641B">
      <w:pPr>
        <w:pStyle w:val="AspexNumberedbullet1"/>
        <w:numPr>
          <w:ilvl w:val="0"/>
          <w:numId w:val="12"/>
        </w:numPr>
      </w:pPr>
      <w:r w:rsidRPr="0084124E">
        <w:t>World Health Organization</w:t>
      </w:r>
      <w:r>
        <w:t xml:space="preserve">. </w:t>
      </w:r>
      <w:r w:rsidRPr="00C34C76">
        <w:rPr>
          <w:i/>
        </w:rPr>
        <w:t>Global strategy for the prevention and control of sexually transmitted infection 2006–2015</w:t>
      </w:r>
      <w:r>
        <w:t>. Author: Geneva, 2006.</w:t>
      </w:r>
      <w:r w:rsidRPr="0084124E">
        <w:t xml:space="preserve"> </w:t>
      </w:r>
    </w:p>
    <w:p w14:paraId="0085AB66" w14:textId="77777777" w:rsidR="00C34C76" w:rsidRDefault="00C34C76" w:rsidP="0079641B">
      <w:pPr>
        <w:pStyle w:val="AspexNumberedbullet1"/>
        <w:numPr>
          <w:ilvl w:val="0"/>
          <w:numId w:val="12"/>
        </w:numPr>
      </w:pPr>
      <w:r w:rsidRPr="00616B1D">
        <w:t>World Health Organization</w:t>
      </w:r>
      <w:r>
        <w:t xml:space="preserve">. </w:t>
      </w:r>
      <w:r w:rsidRPr="00C34C76">
        <w:rPr>
          <w:i/>
        </w:rPr>
        <w:t>The World health report: 2004: changing history</w:t>
      </w:r>
      <w:r w:rsidRPr="00616B1D">
        <w:t>. Geneva</w:t>
      </w:r>
      <w:r>
        <w:t>: WHO, 2004</w:t>
      </w:r>
      <w:r w:rsidRPr="00616B1D">
        <w:t>.</w:t>
      </w:r>
    </w:p>
    <w:p w14:paraId="230D1E28" w14:textId="77777777" w:rsidR="00C34C76" w:rsidRDefault="00C34C76" w:rsidP="0079641B">
      <w:pPr>
        <w:pStyle w:val="AspexNumberedbullet1"/>
        <w:numPr>
          <w:ilvl w:val="0"/>
          <w:numId w:val="12"/>
        </w:numPr>
      </w:pPr>
      <w:r>
        <w:t xml:space="preserve">Yanofsky VR, Patel RV, Goldenberg G. Genital warts: a comprehensive review. </w:t>
      </w:r>
      <w:r w:rsidRPr="00C34C76">
        <w:rPr>
          <w:i/>
        </w:rPr>
        <w:t>J  Clin Aesthet Dermatol.</w:t>
      </w:r>
      <w:r>
        <w:t xml:space="preserve"> 2012 Jun;5(6):25-36.</w:t>
      </w:r>
    </w:p>
    <w:p w14:paraId="494A9D8D" w14:textId="77777777" w:rsidR="00C34C76" w:rsidRDefault="00C34C76" w:rsidP="0079641B">
      <w:pPr>
        <w:pStyle w:val="AspexNumberedbullet1"/>
        <w:numPr>
          <w:ilvl w:val="0"/>
          <w:numId w:val="12"/>
        </w:numPr>
      </w:pPr>
      <w:r>
        <w:t xml:space="preserve">Yuan J, Hoang AN, Romero CA, Lin H, Dai Y, Wang R. Vacuum therapy in erectile  dysfunction--science and clinical evidence. </w:t>
      </w:r>
      <w:r w:rsidRPr="00C34C76">
        <w:rPr>
          <w:i/>
        </w:rPr>
        <w:t>Int J Impot Res</w:t>
      </w:r>
      <w:r>
        <w:t>. 2010 Jul-Aug;22(4):211-9.</w:t>
      </w:r>
    </w:p>
    <w:p w14:paraId="4E8B1854" w14:textId="77777777" w:rsidR="00C34C76" w:rsidRPr="00247372" w:rsidRDefault="00C34C76" w:rsidP="0079641B">
      <w:pPr>
        <w:pStyle w:val="AspexNumberedbullet1"/>
        <w:numPr>
          <w:ilvl w:val="0"/>
          <w:numId w:val="12"/>
        </w:numPr>
      </w:pPr>
      <w:r w:rsidRPr="00247372">
        <w:t xml:space="preserve">Zickmund S, Ho EY, Masuda, M, Ippolito L, &amp; LaBrecque DR. </w:t>
      </w:r>
      <w:r>
        <w:t xml:space="preserve">“They treated me like a leper”: </w:t>
      </w:r>
      <w:r w:rsidRPr="00247372">
        <w:t xml:space="preserve">Stigmatization and the quality of life of patients with hepatitis C. </w:t>
      </w:r>
      <w:r w:rsidRPr="00C34C76">
        <w:rPr>
          <w:i/>
        </w:rPr>
        <w:t>Journal of General Internal Medicine</w:t>
      </w:r>
      <w:r w:rsidRPr="00247372">
        <w:t>, 2003; 18: 835-844.</w:t>
      </w:r>
    </w:p>
    <w:p w14:paraId="49313877" w14:textId="77777777" w:rsidR="00C34C76" w:rsidRDefault="00C34C76" w:rsidP="0079641B">
      <w:pPr>
        <w:pStyle w:val="AspexNumberedbullet1"/>
        <w:numPr>
          <w:ilvl w:val="0"/>
          <w:numId w:val="12"/>
        </w:numPr>
      </w:pPr>
      <w:r w:rsidRPr="00E36C56">
        <w:t>Britt H, Miller GC, Charles J, Bayram C, Pan Y, Henderson J et</w:t>
      </w:r>
      <w:r>
        <w:t xml:space="preserve"> al. </w:t>
      </w:r>
      <w:r w:rsidRPr="00C34C76">
        <w:rPr>
          <w:i/>
        </w:rPr>
        <w:t xml:space="preserve">General practice activity in Australia 2006–07. </w:t>
      </w:r>
      <w:r w:rsidRPr="00E36C56">
        <w:t>General practice series no.</w:t>
      </w:r>
      <w:r>
        <w:t xml:space="preserve"> 21. Cat. no. GEP 21. Canberra: </w:t>
      </w:r>
      <w:r w:rsidRPr="00E36C56">
        <w:t>Australian Institute of Health and Welfare</w:t>
      </w:r>
      <w:r>
        <w:t xml:space="preserve"> 2008</w:t>
      </w:r>
      <w:r w:rsidRPr="00E36C56">
        <w:t>.</w:t>
      </w:r>
    </w:p>
    <w:p w14:paraId="005000EE" w14:textId="77777777" w:rsidR="00C34C76" w:rsidRPr="00E36C56" w:rsidRDefault="00C34C76" w:rsidP="0079641B">
      <w:pPr>
        <w:pStyle w:val="AspexNumberedbullet1"/>
        <w:numPr>
          <w:ilvl w:val="0"/>
          <w:numId w:val="12"/>
        </w:numPr>
      </w:pPr>
      <w:r w:rsidRPr="00E36C56">
        <w:t>Holden CA, McLachlan RI, Pitts M, Cumming R, Witte</w:t>
      </w:r>
      <w:r>
        <w:t xml:space="preserve">rt G, Agius PA et al. Men </w:t>
      </w:r>
      <w:r w:rsidRPr="00E36C56">
        <w:t>in Australia Telephone Survey (MATeS): a national su</w:t>
      </w:r>
      <w:r>
        <w:t xml:space="preserve">rvey of the reproductive health </w:t>
      </w:r>
      <w:r w:rsidRPr="00E36C56">
        <w:t xml:space="preserve">and concerns of middle-aged and older Australian men. </w:t>
      </w:r>
      <w:r w:rsidRPr="00C34C76">
        <w:rPr>
          <w:i/>
        </w:rPr>
        <w:t>Lancet</w:t>
      </w:r>
      <w:r w:rsidRPr="00E36C56">
        <w:t xml:space="preserve"> </w:t>
      </w:r>
      <w:r>
        <w:t xml:space="preserve">2005; </w:t>
      </w:r>
      <w:r w:rsidRPr="00E36C56">
        <w:t>366(9481):218–224.</w:t>
      </w:r>
    </w:p>
    <w:p w14:paraId="184059D2" w14:textId="77777777" w:rsidR="00C34C76" w:rsidRDefault="00C34C76" w:rsidP="0079641B">
      <w:pPr>
        <w:pStyle w:val="AspexNumberedbullet1"/>
        <w:numPr>
          <w:ilvl w:val="0"/>
          <w:numId w:val="12"/>
        </w:numPr>
      </w:pPr>
      <w:r w:rsidRPr="00E36C56">
        <w:t xml:space="preserve">Nicolosi A, Laumann EO, Glasser DB, </w:t>
      </w:r>
      <w:r>
        <w:t>Brock G, King R, Gingell C.</w:t>
      </w:r>
      <w:r w:rsidRPr="00E36C56">
        <w:t xml:space="preserve"> Sexual activity,</w:t>
      </w:r>
      <w:r>
        <w:t xml:space="preserve"> </w:t>
      </w:r>
      <w:r w:rsidRPr="00E36C56">
        <w:t>sexual disorders and associated help-seeking behavior among mature adults in five</w:t>
      </w:r>
      <w:r>
        <w:t xml:space="preserve"> </w:t>
      </w:r>
      <w:r w:rsidRPr="00E36C56">
        <w:t>Anglophone countries from the Global Survey of</w:t>
      </w:r>
      <w:r>
        <w:t xml:space="preserve"> Sexual Attitudes and Behaviors </w:t>
      </w:r>
      <w:r w:rsidRPr="00B672F9">
        <w:t xml:space="preserve">(GSSAB). </w:t>
      </w:r>
      <w:r w:rsidRPr="00C34C76">
        <w:rPr>
          <w:i/>
        </w:rPr>
        <w:t>J Sex Marital Ther</w:t>
      </w:r>
      <w:r w:rsidRPr="00B672F9">
        <w:t xml:space="preserve"> </w:t>
      </w:r>
      <w:r>
        <w:t xml:space="preserve">2006; </w:t>
      </w:r>
      <w:r w:rsidRPr="00B672F9">
        <w:t>32(4):331–342.</w:t>
      </w:r>
    </w:p>
    <w:p w14:paraId="77C278F8" w14:textId="77777777" w:rsidR="00C34C76" w:rsidRPr="0082076E" w:rsidRDefault="00C34C76" w:rsidP="0079641B">
      <w:pPr>
        <w:pStyle w:val="AspexNumberedbullet1"/>
        <w:numPr>
          <w:ilvl w:val="0"/>
          <w:numId w:val="12"/>
        </w:numPr>
      </w:pPr>
      <w:r>
        <w:t xml:space="preserve">Hatzimouratidis K, Hatzichristou DG. A comparative review of the options for treatment of erectile dysfunction: which treatment for which patient? </w:t>
      </w:r>
      <w:r w:rsidRPr="00C34C76">
        <w:rPr>
          <w:i/>
        </w:rPr>
        <w:t>Drugs</w:t>
      </w:r>
      <w:r>
        <w:t>. 2005;65(12):1621-50.</w:t>
      </w:r>
    </w:p>
    <w:p w14:paraId="7AA7CCB0" w14:textId="77777777" w:rsidR="00956797" w:rsidRDefault="00956797" w:rsidP="00956797">
      <w:pPr>
        <w:ind w:left="-240"/>
        <w:jc w:val="both"/>
        <w:rPr>
          <w:lang w:val="en-GB"/>
        </w:rPr>
      </w:pPr>
    </w:p>
    <w:p w14:paraId="1264856F" w14:textId="77777777" w:rsidR="00307A1B" w:rsidRDefault="00307A1B" w:rsidP="00956797">
      <w:pPr>
        <w:pStyle w:val="AspexBodyStandard"/>
        <w:sectPr w:rsidR="00307A1B" w:rsidSect="00265697">
          <w:headerReference w:type="default" r:id="rId113"/>
          <w:pgSz w:w="11906" w:h="16838" w:code="9"/>
          <w:pgMar w:top="2835" w:right="1276" w:bottom="1134" w:left="1616" w:header="709" w:footer="709" w:gutter="0"/>
          <w:cols w:space="708"/>
          <w:docGrid w:linePitch="360"/>
        </w:sectPr>
      </w:pPr>
    </w:p>
    <w:p w14:paraId="355FB2CA" w14:textId="77777777" w:rsidR="00CE4316" w:rsidRDefault="00CE4316" w:rsidP="00307A1B">
      <w:pPr>
        <w:pStyle w:val="AspexAppendixlevel1"/>
      </w:pPr>
      <w:r>
        <w:lastRenderedPageBreak/>
        <w:t>Perceived impact of specialist interventions</w:t>
      </w:r>
    </w:p>
    <w:p w14:paraId="335AC374" w14:textId="77777777" w:rsidR="0092756A" w:rsidRPr="00431822" w:rsidRDefault="00727446" w:rsidP="00431822">
      <w:pPr>
        <w:rPr>
          <w:b/>
        </w:rPr>
      </w:pPr>
      <w:r w:rsidRPr="00727446">
        <w:rPr>
          <w:b/>
        </w:rPr>
        <w:t>Comparisons between Sexual Health Medicine Specialists and General Practitioners</w:t>
      </w:r>
      <w:r>
        <w:rPr>
          <w:b/>
        </w:rPr>
        <w:t xml:space="preserve"> (N=58; * Denotes missing responses)</w:t>
      </w:r>
    </w:p>
    <w:p w14:paraId="3C090B56" w14:textId="77777777" w:rsidR="0092756A" w:rsidRDefault="00612BE8" w:rsidP="00431822">
      <w:pPr>
        <w:pStyle w:val="AspexBodyStandard"/>
        <w:jc w:val="center"/>
      </w:pPr>
      <w:r>
        <w:t>Percentages and binomial confidence intervals for sample responses</w:t>
      </w:r>
    </w:p>
    <w:p w14:paraId="4204C60C" w14:textId="12430BF5" w:rsidR="00612BE8" w:rsidRDefault="00612BE8" w:rsidP="00A119C3">
      <w:pPr>
        <w:widowControl w:val="0"/>
        <w:tabs>
          <w:tab w:val="left" w:pos="5387"/>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Sample   X   N  Sample p</w:t>
      </w:r>
      <w:r w:rsidR="00A119C3">
        <w:rPr>
          <w:rFonts w:ascii="Courier New" w:hAnsi="Courier New" w:cs="Courier New"/>
          <w:sz w:val="18"/>
          <w:szCs w:val="18"/>
          <w:lang w:val="en-US" w:eastAsia="en-AU"/>
        </w:rPr>
        <w:tab/>
      </w:r>
      <w:r>
        <w:rPr>
          <w:rFonts w:ascii="Courier New" w:hAnsi="Courier New" w:cs="Courier New"/>
          <w:sz w:val="18"/>
          <w:szCs w:val="18"/>
          <w:lang w:val="en-US" w:eastAsia="en-AU"/>
        </w:rPr>
        <w:t>95% CI</w:t>
      </w:r>
    </w:p>
    <w:p w14:paraId="4C2E921A" w14:textId="70143ED4"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  58  0.017241  (0.000436, 0.092361)</w:t>
      </w:r>
    </w:p>
    <w:p w14:paraId="31A7BDD2" w14:textId="51308CE3"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  58  0.034483  (0.004204, 0.119077)</w:t>
      </w:r>
    </w:p>
    <w:p w14:paraId="0B29FAFB" w14:textId="422E786F"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  58  0.051724  (0.010796, 0.143805)</w:t>
      </w:r>
    </w:p>
    <w:p w14:paraId="648E32EB" w14:textId="7A2E3846"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4</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4  58  0.068966  (0.019109, 0.167268)</w:t>
      </w:r>
    </w:p>
    <w:p w14:paraId="3E444301" w14:textId="50514113"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5</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5  58  0.086207  (0.028586, 0.189826)</w:t>
      </w:r>
    </w:p>
    <w:p w14:paraId="5BCB4AD6" w14:textId="2054174E"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6</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6  58  0.103448  (0.038921, 0.211686)</w:t>
      </w:r>
    </w:p>
    <w:p w14:paraId="2102ECE7" w14:textId="35053D58"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7</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7  58  0.120690  (0.049927, 0.232984)</w:t>
      </w:r>
    </w:p>
    <w:p w14:paraId="084728BF" w14:textId="4E8DEF27"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8</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8  58  0.137931  (0.061480, 0.253810)</w:t>
      </w:r>
    </w:p>
    <w:p w14:paraId="2CF2DE29" w14:textId="01F8EEF1" w:rsidR="00612BE8" w:rsidRDefault="00612BE8" w:rsidP="00FF62C3">
      <w:pPr>
        <w:widowControl w:val="0"/>
        <w:tabs>
          <w:tab w:val="left" w:pos="2835"/>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9</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9  58  0.155172  (0.073493, 0.274232)</w:t>
      </w:r>
    </w:p>
    <w:p w14:paraId="7C419C43" w14:textId="211E078A"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10</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10  58  0.172414  (0.085904, 0.294299)</w:t>
      </w:r>
    </w:p>
    <w:p w14:paraId="7C14C094" w14:textId="5082A1AB"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11</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11  58  0.189655  (0.098664, 0.314051)</w:t>
      </w:r>
    </w:p>
    <w:p w14:paraId="432CF2EA" w14:textId="6EBE2E55"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12</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12  58  0.206897  (0.111735, 0.333518)</w:t>
      </w:r>
    </w:p>
    <w:p w14:paraId="2E6FCC4E" w14:textId="77356E84"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13</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13  58  0.224138  (0.125089, 0.352724)</w:t>
      </w:r>
    </w:p>
    <w:p w14:paraId="11FDA940" w14:textId="6DDD568E"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14</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14  58  0.241379  (0.138701, 0.371690)</w:t>
      </w:r>
    </w:p>
    <w:p w14:paraId="4B52B8B7" w14:textId="60CE9ACE"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15</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15  58  0.258621  (0.152552, 0.390432)</w:t>
      </w:r>
    </w:p>
    <w:p w14:paraId="3F8534B9" w14:textId="6A803B24"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16</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16  58  0.275862  (0.166625, 0.408964)</w:t>
      </w:r>
    </w:p>
    <w:p w14:paraId="74447ACA" w14:textId="7AB12372"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17</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17  58  0.293103  (0.180907, 0.427297)</w:t>
      </w:r>
    </w:p>
    <w:p w14:paraId="02279292" w14:textId="4F44540B"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18</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18  58  0.310345  (0.195386, 0.445442)</w:t>
      </w:r>
    </w:p>
    <w:p w14:paraId="432E8FD4" w14:textId="2515DB68"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19</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19  58  0.327586  (0.210054, 0.463406)</w:t>
      </w:r>
    </w:p>
    <w:p w14:paraId="6C5098F9" w14:textId="6F570D09"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20</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20  58  0.344828  (0.224901, 0.481197)</w:t>
      </w:r>
    </w:p>
    <w:p w14:paraId="6B097AF2" w14:textId="705E61A7"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21</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21  58  0.362069  (0.239921, 0.498821)</w:t>
      </w:r>
    </w:p>
    <w:p w14:paraId="65BE84BB" w14:textId="63CD516E"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22</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22  58  0.379310  (0.255108, 0.516282)</w:t>
      </w:r>
    </w:p>
    <w:p w14:paraId="58F6ECA6" w14:textId="30D1B45E"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23</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23  58  0.396552  (0.270457, 0.533585)</w:t>
      </w:r>
    </w:p>
    <w:p w14:paraId="13E179AB" w14:textId="65536A57"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24</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24  58  0.413793  (0.285963, 0.550734)</w:t>
      </w:r>
    </w:p>
    <w:p w14:paraId="4C055509" w14:textId="0775BB61"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25</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25  58  0.431034  (0.301625, 0.567730)</w:t>
      </w:r>
    </w:p>
    <w:p w14:paraId="039C11CA" w14:textId="4B42D3D7"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26</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26  58  0.448276  (0.317438, 0.584577)</w:t>
      </w:r>
    </w:p>
    <w:p w14:paraId="15632BDB" w14:textId="06CA9CC7"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27</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27  58  0.465517  (0.333400, 0.601275)</w:t>
      </w:r>
    </w:p>
    <w:p w14:paraId="18963040" w14:textId="4BA3DEE1"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28</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28  58  0.482759  (0.349511, 0.617826)</w:t>
      </w:r>
    </w:p>
    <w:p w14:paraId="54C5C9DC" w14:textId="17BDA2B0"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29</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29  58  0.500000  (0.365769, 0.634231)</w:t>
      </w:r>
    </w:p>
    <w:p w14:paraId="42DDE91E" w14:textId="6830D742"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30</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30  58  0.517241  (0.382174, 0.650489)</w:t>
      </w:r>
    </w:p>
    <w:p w14:paraId="564508D3" w14:textId="1CFD28A5"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31</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31  58  0.534483  (0.398725, 0.666600)</w:t>
      </w:r>
    </w:p>
    <w:p w14:paraId="31707A31" w14:textId="0B012F93"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32</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32  58  0.551724  (0.415423, 0.682562)</w:t>
      </w:r>
    </w:p>
    <w:p w14:paraId="430C8716" w14:textId="35B523A2"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33</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33  58  0.568966  (0.432270, 0.698375)</w:t>
      </w:r>
    </w:p>
    <w:p w14:paraId="52A7364D" w14:textId="7A209940"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34</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34  58  0.586207  (0.449266, 0.714037)</w:t>
      </w:r>
    </w:p>
    <w:p w14:paraId="73DB039B" w14:textId="670E0980"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35</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35  58  0.603448  (0.466415, 0.729543)</w:t>
      </w:r>
    </w:p>
    <w:p w14:paraId="34265722" w14:textId="38038CD5"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36</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36  58  0.620690  (0.483718, 0.744892)</w:t>
      </w:r>
    </w:p>
    <w:p w14:paraId="3DE976B6" w14:textId="2E064425"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37</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37  58  0.637931  (0.501179, 0.760079)</w:t>
      </w:r>
    </w:p>
    <w:p w14:paraId="407C0945" w14:textId="28CD08E2"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38</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38  58  0.655172  (0.518803, 0.775099)</w:t>
      </w:r>
    </w:p>
    <w:p w14:paraId="717C7E25" w14:textId="4A08B44B"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39</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39  58  0.672414  (0.536594, 0.789946)</w:t>
      </w:r>
    </w:p>
    <w:p w14:paraId="500048BA" w14:textId="5E44A010"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40</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40  58  0.689655  (0.554558, 0.804614)</w:t>
      </w:r>
    </w:p>
    <w:p w14:paraId="35F2E801" w14:textId="41A0D49D"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41</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41  58  0.706897  (0.572703, 0.819093)</w:t>
      </w:r>
    </w:p>
    <w:p w14:paraId="42BB3F70" w14:textId="4FBFDC68" w:rsidR="00612BE8" w:rsidRDefault="00612BE8" w:rsidP="00FF62C3">
      <w:pPr>
        <w:widowControl w:val="0"/>
        <w:tabs>
          <w:tab w:val="left" w:pos="2694"/>
        </w:tabs>
        <w:autoSpaceDE w:val="0"/>
        <w:autoSpaceDN w:val="0"/>
        <w:adjustRightInd w:val="0"/>
        <w:spacing w:before="0" w:after="0" w:line="240" w:lineRule="auto"/>
        <w:ind w:left="1843"/>
        <w:rPr>
          <w:rFonts w:ascii="Courier New" w:hAnsi="Courier New" w:cs="Courier New"/>
          <w:sz w:val="18"/>
          <w:szCs w:val="18"/>
          <w:lang w:val="en-US" w:eastAsia="en-AU"/>
        </w:rPr>
      </w:pPr>
      <w:r>
        <w:rPr>
          <w:rFonts w:ascii="Courier New" w:hAnsi="Courier New" w:cs="Courier New"/>
          <w:sz w:val="18"/>
          <w:szCs w:val="18"/>
          <w:lang w:val="en-US" w:eastAsia="en-AU"/>
        </w:rPr>
        <w:t>42</w:t>
      </w:r>
      <w:r w:rsidR="00FF62C3">
        <w:rPr>
          <w:rFonts w:ascii="Courier New" w:hAnsi="Courier New" w:cs="Courier New"/>
          <w:sz w:val="18"/>
          <w:szCs w:val="18"/>
          <w:lang w:val="en-US" w:eastAsia="en-AU"/>
        </w:rPr>
        <w:tab/>
      </w:r>
      <w:r>
        <w:rPr>
          <w:rFonts w:ascii="Courier New" w:hAnsi="Courier New" w:cs="Courier New"/>
          <w:sz w:val="18"/>
          <w:szCs w:val="18"/>
          <w:lang w:val="en-US" w:eastAsia="en-AU"/>
        </w:rPr>
        <w:t>42  58  0.724138  (0.591036, 0.833375)</w:t>
      </w:r>
    </w:p>
    <w:p w14:paraId="247D73B2" w14:textId="0E77563B" w:rsidR="00FF62C3" w:rsidRDefault="00FF62C3">
      <w:pPr>
        <w:spacing w:before="0" w:after="0" w:line="240" w:lineRule="auto"/>
      </w:pPr>
      <w:r>
        <w:br w:type="page"/>
      </w:r>
    </w:p>
    <w:p w14:paraId="6E44BF0D" w14:textId="77777777" w:rsidR="00727446" w:rsidRDefault="00727446" w:rsidP="00727446">
      <w:r>
        <w:rPr>
          <w:noProof/>
          <w:lang w:eastAsia="en-AU"/>
        </w:rPr>
        <w:lastRenderedPageBreak/>
        <w:drawing>
          <wp:inline distT="0" distB="0" distL="0" distR="0" wp14:anchorId="16BB8D5B" wp14:editId="0FE1A2D0">
            <wp:extent cx="5486400" cy="3657600"/>
            <wp:effectExtent l="0" t="0" r="0" b="0"/>
            <wp:docPr id="71" name="Picture 71" title="Chart of Number of specialist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5E6248F6" w14:textId="77777777" w:rsidR="00727446" w:rsidRDefault="00727446" w:rsidP="00727446"/>
    <w:p w14:paraId="7B95ED4A" w14:textId="77777777" w:rsidR="00727446" w:rsidRDefault="00727446" w:rsidP="00727446">
      <w:r>
        <w:rPr>
          <w:noProof/>
          <w:lang w:eastAsia="en-AU"/>
        </w:rPr>
        <w:drawing>
          <wp:inline distT="0" distB="0" distL="0" distR="0" wp14:anchorId="62103293" wp14:editId="6B55384A">
            <wp:extent cx="5486400" cy="3657600"/>
            <wp:effectExtent l="0" t="0" r="0" b="0"/>
            <wp:docPr id="72" name="Picture 72" title="Chart of average time spent with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1BD2D9D" w14:textId="77777777" w:rsidR="00727446" w:rsidRDefault="00727446" w:rsidP="00727446"/>
    <w:p w14:paraId="118BB216" w14:textId="77777777" w:rsidR="00727446" w:rsidRDefault="00727446" w:rsidP="00727446">
      <w:r>
        <w:rPr>
          <w:noProof/>
          <w:lang w:eastAsia="en-AU"/>
        </w:rPr>
        <w:lastRenderedPageBreak/>
        <w:drawing>
          <wp:inline distT="0" distB="0" distL="0" distR="0" wp14:anchorId="68AEB9D4" wp14:editId="4BB0D377">
            <wp:extent cx="5486400" cy="3657600"/>
            <wp:effectExtent l="0" t="0" r="0" b="0"/>
            <wp:docPr id="76" name="Picture 76" title="Chart of level of diagnos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373BA57F" w14:textId="77777777" w:rsidR="00727446" w:rsidRDefault="00727446" w:rsidP="00727446"/>
    <w:p w14:paraId="0648D920" w14:textId="77777777" w:rsidR="00727446" w:rsidRDefault="00727446" w:rsidP="00727446">
      <w:r>
        <w:rPr>
          <w:noProof/>
          <w:lang w:eastAsia="en-AU"/>
        </w:rPr>
        <w:drawing>
          <wp:inline distT="0" distB="0" distL="0" distR="0" wp14:anchorId="522DB820" wp14:editId="3F4B22B1">
            <wp:extent cx="5486400" cy="3657600"/>
            <wp:effectExtent l="0" t="0" r="0" b="0"/>
            <wp:docPr id="77" name="Picture 77" title="Chart of range of medications pr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33BE47E3" w14:textId="77777777" w:rsidR="00727446" w:rsidRDefault="00727446" w:rsidP="00727446"/>
    <w:p w14:paraId="25D8B033" w14:textId="77777777" w:rsidR="00727446" w:rsidRDefault="00727446" w:rsidP="00727446">
      <w:r>
        <w:rPr>
          <w:noProof/>
          <w:lang w:eastAsia="en-AU"/>
        </w:rPr>
        <w:lastRenderedPageBreak/>
        <w:drawing>
          <wp:inline distT="0" distB="0" distL="0" distR="0" wp14:anchorId="1D785344" wp14:editId="71E49191">
            <wp:extent cx="5486400" cy="3657600"/>
            <wp:effectExtent l="0" t="0" r="0" b="0"/>
            <wp:docPr id="78" name="Picture 78" title="Chart of appropriateness of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04EC5B1D" w14:textId="77777777" w:rsidR="00727446" w:rsidRDefault="00727446" w:rsidP="00727446"/>
    <w:p w14:paraId="7A701F0E" w14:textId="77777777" w:rsidR="00727446" w:rsidRDefault="00727446" w:rsidP="00727446">
      <w:r>
        <w:rPr>
          <w:noProof/>
          <w:lang w:eastAsia="en-AU"/>
        </w:rPr>
        <w:drawing>
          <wp:inline distT="0" distB="0" distL="0" distR="0" wp14:anchorId="427A81A7" wp14:editId="25A5D3E8">
            <wp:extent cx="5486400" cy="3657600"/>
            <wp:effectExtent l="0" t="0" r="0" b="0"/>
            <wp:docPr id="79" name="Picture 79" title="Chart of medications compliance by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3A644CC7" w14:textId="77777777" w:rsidR="00727446" w:rsidRDefault="00727446" w:rsidP="00727446"/>
    <w:p w14:paraId="34E24F53" w14:textId="77777777" w:rsidR="00727446" w:rsidRDefault="00727446" w:rsidP="00727446">
      <w:r>
        <w:rPr>
          <w:noProof/>
          <w:lang w:eastAsia="en-AU"/>
        </w:rPr>
        <w:lastRenderedPageBreak/>
        <w:drawing>
          <wp:inline distT="0" distB="0" distL="0" distR="0" wp14:anchorId="79ABB49A" wp14:editId="06E7A810">
            <wp:extent cx="5486400" cy="3657600"/>
            <wp:effectExtent l="0" t="0" r="0" b="0"/>
            <wp:docPr id="80" name="Picture 80" title="Chart of multidisciplinary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690A059B" w14:textId="77777777" w:rsidR="00727446" w:rsidRDefault="00727446" w:rsidP="00727446"/>
    <w:p w14:paraId="4085FF13" w14:textId="77777777" w:rsidR="00727446" w:rsidRDefault="00727446" w:rsidP="00727446">
      <w:r>
        <w:rPr>
          <w:noProof/>
          <w:lang w:eastAsia="en-AU"/>
        </w:rPr>
        <w:drawing>
          <wp:inline distT="0" distB="0" distL="0" distR="0" wp14:anchorId="695BA13D" wp14:editId="76BA38E9">
            <wp:extent cx="5486400" cy="3657600"/>
            <wp:effectExtent l="0" t="0" r="0" b="0"/>
            <wp:docPr id="81" name="Picture 81" title="Chart of out-of-pocket expenses for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6F9747BA" w14:textId="77777777" w:rsidR="00727446" w:rsidRDefault="00727446" w:rsidP="00727446"/>
    <w:p w14:paraId="19A7A3E2" w14:textId="77777777" w:rsidR="00727446" w:rsidRDefault="00727446" w:rsidP="00727446">
      <w:r>
        <w:rPr>
          <w:noProof/>
          <w:lang w:eastAsia="en-AU"/>
        </w:rPr>
        <w:lastRenderedPageBreak/>
        <w:drawing>
          <wp:inline distT="0" distB="0" distL="0" distR="0" wp14:anchorId="38B3E550" wp14:editId="4DF0B2E2">
            <wp:extent cx="5486400" cy="3657600"/>
            <wp:effectExtent l="0" t="0" r="0" b="0"/>
            <wp:docPr id="82" name="Picture 82" title="Chart of avoidable ED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F46CB93" w14:textId="77777777" w:rsidR="00727446" w:rsidRDefault="00727446" w:rsidP="00727446"/>
    <w:p w14:paraId="69FCA243" w14:textId="77777777" w:rsidR="00727446" w:rsidRDefault="00727446" w:rsidP="00727446">
      <w:r>
        <w:rPr>
          <w:noProof/>
          <w:lang w:eastAsia="en-AU"/>
        </w:rPr>
        <w:drawing>
          <wp:inline distT="0" distB="0" distL="0" distR="0" wp14:anchorId="51774F8A" wp14:editId="5A891D99">
            <wp:extent cx="5486400" cy="3657600"/>
            <wp:effectExtent l="0" t="0" r="0" b="0"/>
            <wp:docPr id="83" name="Picture 83" title="Chart of avoidable hospital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1BE9D8B5" w14:textId="77777777" w:rsidR="00727446" w:rsidRDefault="00727446" w:rsidP="00727446"/>
    <w:p w14:paraId="752B4E99" w14:textId="77777777" w:rsidR="00727446" w:rsidRPr="00727446" w:rsidRDefault="00727446" w:rsidP="00727446">
      <w:pPr>
        <w:rPr>
          <w:b/>
        </w:rPr>
      </w:pPr>
      <w:r w:rsidRPr="00727446">
        <w:rPr>
          <w:b/>
        </w:rPr>
        <w:lastRenderedPageBreak/>
        <w:t>Comparisons between Sexual Health Medicine Specialist</w:t>
      </w:r>
      <w:r>
        <w:rPr>
          <w:b/>
        </w:rPr>
        <w:t>s working in the PUBLIC sector versus private sector (N=58; * Denotes missing responses)</w:t>
      </w:r>
    </w:p>
    <w:p w14:paraId="1973424A" w14:textId="77777777" w:rsidR="00727446" w:rsidRDefault="00727446" w:rsidP="00727446">
      <w:r>
        <w:rPr>
          <w:noProof/>
          <w:lang w:eastAsia="en-AU"/>
        </w:rPr>
        <w:drawing>
          <wp:inline distT="0" distB="0" distL="0" distR="0" wp14:anchorId="6FA91A43" wp14:editId="211A73BB">
            <wp:extent cx="5486400" cy="3657600"/>
            <wp:effectExtent l="0" t="0" r="0" b="0"/>
            <wp:docPr id="84" name="Picture 84" title="Chart of number of specialist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CD9C4BF" w14:textId="77777777" w:rsidR="00727446" w:rsidRDefault="00727446" w:rsidP="00727446">
      <w:r>
        <w:rPr>
          <w:noProof/>
          <w:lang w:eastAsia="en-AU"/>
        </w:rPr>
        <w:drawing>
          <wp:inline distT="0" distB="0" distL="0" distR="0" wp14:anchorId="45199317" wp14:editId="3E489FDD">
            <wp:extent cx="5486400" cy="3657600"/>
            <wp:effectExtent l="0" t="0" r="0" b="0"/>
            <wp:docPr id="12" name="Picture 12" title="Chart of average time spent wit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7C15C15B" w14:textId="77777777" w:rsidR="00727446" w:rsidRDefault="00727446" w:rsidP="00727446">
      <w:r>
        <w:rPr>
          <w:noProof/>
          <w:lang w:eastAsia="en-AU"/>
        </w:rPr>
        <w:lastRenderedPageBreak/>
        <w:drawing>
          <wp:inline distT="0" distB="0" distL="0" distR="0" wp14:anchorId="2D8118B4" wp14:editId="0F4457E8">
            <wp:extent cx="5486400" cy="3657600"/>
            <wp:effectExtent l="0" t="0" r="0" b="0"/>
            <wp:docPr id="13" name="Picture 13" title="Chart of level of diagnostic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69A7C31B" w14:textId="77777777" w:rsidR="00727446" w:rsidRDefault="00727446" w:rsidP="00727446"/>
    <w:p w14:paraId="63F4D72C" w14:textId="77777777" w:rsidR="00727446" w:rsidRDefault="00727446" w:rsidP="00727446">
      <w:r>
        <w:rPr>
          <w:noProof/>
          <w:lang w:eastAsia="en-AU"/>
        </w:rPr>
        <w:drawing>
          <wp:inline distT="0" distB="0" distL="0" distR="0" wp14:anchorId="52B6D652" wp14:editId="4FFAAABD">
            <wp:extent cx="5486400" cy="3657600"/>
            <wp:effectExtent l="0" t="0" r="0" b="0"/>
            <wp:docPr id="14" name="Picture 14" title="Chart of range of medications pr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2EF9032" w14:textId="77777777" w:rsidR="00727446" w:rsidRDefault="00727446" w:rsidP="00727446"/>
    <w:p w14:paraId="7B7BA680" w14:textId="77777777" w:rsidR="00727446" w:rsidRDefault="00727446" w:rsidP="00727446">
      <w:r>
        <w:rPr>
          <w:noProof/>
          <w:lang w:eastAsia="en-AU"/>
        </w:rPr>
        <w:lastRenderedPageBreak/>
        <w:drawing>
          <wp:inline distT="0" distB="0" distL="0" distR="0" wp14:anchorId="499F65A5" wp14:editId="345E5F2D">
            <wp:extent cx="5486400" cy="3657600"/>
            <wp:effectExtent l="0" t="0" r="0" b="0"/>
            <wp:docPr id="15" name="Picture 15" title="Chart of appropriateness of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51AF829F" w14:textId="77777777" w:rsidR="00727446" w:rsidRDefault="00727446" w:rsidP="00727446"/>
    <w:p w14:paraId="5532ECFF" w14:textId="77777777" w:rsidR="00727446" w:rsidRDefault="00727446" w:rsidP="00727446">
      <w:r>
        <w:rPr>
          <w:noProof/>
          <w:lang w:eastAsia="en-AU"/>
        </w:rPr>
        <w:drawing>
          <wp:inline distT="0" distB="0" distL="0" distR="0" wp14:anchorId="6542FCD5" wp14:editId="3BE697A6">
            <wp:extent cx="5486400" cy="3657600"/>
            <wp:effectExtent l="0" t="0" r="0" b="0"/>
            <wp:docPr id="16" name="Picture 16" title="Chart of medication compliance by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1DBAC74F" w14:textId="77777777" w:rsidR="00727446" w:rsidRDefault="00727446" w:rsidP="00727446"/>
    <w:p w14:paraId="217CDEEB" w14:textId="77777777" w:rsidR="00727446" w:rsidRDefault="00727446" w:rsidP="00727446">
      <w:r>
        <w:rPr>
          <w:noProof/>
          <w:lang w:eastAsia="en-AU"/>
        </w:rPr>
        <w:lastRenderedPageBreak/>
        <w:drawing>
          <wp:inline distT="0" distB="0" distL="0" distR="0" wp14:anchorId="1A2F0F07" wp14:editId="66863AFC">
            <wp:extent cx="5486400" cy="3657600"/>
            <wp:effectExtent l="0" t="0" r="0" b="0"/>
            <wp:docPr id="17" name="Picture 17" title="Chart of multidisciplinary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E80A035" w14:textId="77777777" w:rsidR="00727446" w:rsidRDefault="00727446" w:rsidP="00727446"/>
    <w:p w14:paraId="378EEBFE" w14:textId="77777777" w:rsidR="00727446" w:rsidRDefault="00727446" w:rsidP="00727446">
      <w:r>
        <w:rPr>
          <w:noProof/>
          <w:lang w:eastAsia="en-AU"/>
        </w:rPr>
        <w:drawing>
          <wp:inline distT="0" distB="0" distL="0" distR="0" wp14:anchorId="7B242F5C" wp14:editId="071B4C6C">
            <wp:extent cx="5486400" cy="3657600"/>
            <wp:effectExtent l="0" t="0" r="0" b="0"/>
            <wp:docPr id="18" name="Picture 18" title="Chart of out-of-pocket expenses fo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010047D8" w14:textId="77777777" w:rsidR="00727446" w:rsidRDefault="00727446" w:rsidP="00727446"/>
    <w:p w14:paraId="02D0D169" w14:textId="77777777" w:rsidR="00727446" w:rsidRDefault="00727446" w:rsidP="00727446">
      <w:r>
        <w:rPr>
          <w:noProof/>
          <w:lang w:eastAsia="en-AU"/>
        </w:rPr>
        <w:lastRenderedPageBreak/>
        <w:drawing>
          <wp:inline distT="0" distB="0" distL="0" distR="0" wp14:anchorId="63D4C340" wp14:editId="51AE2A8D">
            <wp:extent cx="5486400" cy="3657600"/>
            <wp:effectExtent l="0" t="0" r="0" b="0"/>
            <wp:docPr id="19" name="Picture 19" title="Chart of avoidable ED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1FFE5581" w14:textId="77777777" w:rsidR="00727446" w:rsidRDefault="00727446" w:rsidP="00727446"/>
    <w:p w14:paraId="7B230937" w14:textId="77777777" w:rsidR="00727446" w:rsidRDefault="00727446" w:rsidP="00727446">
      <w:r>
        <w:rPr>
          <w:noProof/>
          <w:lang w:eastAsia="en-AU"/>
        </w:rPr>
        <w:drawing>
          <wp:inline distT="0" distB="0" distL="0" distR="0" wp14:anchorId="3D9662C6" wp14:editId="4316BE1E">
            <wp:extent cx="5486400" cy="3657600"/>
            <wp:effectExtent l="0" t="0" r="0" b="0"/>
            <wp:docPr id="20" name="Picture 20" title="Chart of avoidable hospital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0A258240" w14:textId="77777777" w:rsidR="00727446" w:rsidRDefault="00727446" w:rsidP="00727446"/>
    <w:p w14:paraId="6851EA3D" w14:textId="77777777" w:rsidR="00956797" w:rsidRDefault="00307A1B" w:rsidP="00307A1B">
      <w:pPr>
        <w:pStyle w:val="AspexAppendixlevel1"/>
      </w:pPr>
      <w:r>
        <w:lastRenderedPageBreak/>
        <w:t>Training competencies of medical specialties</w:t>
      </w:r>
    </w:p>
    <w:p w14:paraId="797C9CF0" w14:textId="77777777" w:rsidR="00FF7643" w:rsidRPr="00FF7643" w:rsidRDefault="00FF7643" w:rsidP="00FF7643">
      <w:pPr>
        <w:pStyle w:val="AspexBodyStandard"/>
      </w:pPr>
    </w:p>
    <w:tbl>
      <w:tblPr>
        <w:tblStyle w:val="AspexTable1"/>
        <w:tblW w:w="9014" w:type="dxa"/>
        <w:tblLayout w:type="fixed"/>
        <w:tblLook w:val="04A0" w:firstRow="1" w:lastRow="0" w:firstColumn="1" w:lastColumn="0" w:noHBand="0" w:noVBand="1"/>
        <w:tblCaption w:val="Training competencies of medical specialists"/>
      </w:tblPr>
      <w:tblGrid>
        <w:gridCol w:w="4104"/>
        <w:gridCol w:w="1227"/>
        <w:gridCol w:w="1043"/>
        <w:gridCol w:w="1412"/>
        <w:gridCol w:w="1228"/>
      </w:tblGrid>
      <w:tr w:rsidR="00017F71" w14:paraId="5961DD68" w14:textId="77777777" w:rsidTr="00F614B7">
        <w:trPr>
          <w:cnfStyle w:val="100000000000" w:firstRow="1" w:lastRow="0" w:firstColumn="0" w:lastColumn="0" w:oddVBand="0" w:evenVBand="0" w:oddHBand="0" w:evenHBand="0" w:firstRowFirstColumn="0" w:firstRowLastColumn="0" w:lastRowFirstColumn="0" w:lastRowLastColumn="0"/>
          <w:trHeight w:val="672"/>
          <w:tblHeader/>
        </w:trPr>
        <w:tc>
          <w:tcPr>
            <w:tcW w:w="4104" w:type="dxa"/>
          </w:tcPr>
          <w:p w14:paraId="2F5A9FF5" w14:textId="77777777" w:rsidR="00017F71" w:rsidRPr="00FF7643" w:rsidRDefault="00017F71" w:rsidP="00017F71">
            <w:pPr>
              <w:widowControl w:val="0"/>
              <w:autoSpaceDE w:val="0"/>
              <w:autoSpaceDN w:val="0"/>
              <w:adjustRightInd w:val="0"/>
              <w:spacing w:before="144" w:after="144" w:line="240" w:lineRule="auto"/>
              <w:jc w:val="center"/>
              <w:rPr>
                <w:rFonts w:ascii="Arial Narrow" w:hAnsi="Arial Narrow" w:cs="Arial Narrow"/>
                <w:bCs/>
                <w:color w:val="FFFFFF"/>
                <w:sz w:val="18"/>
                <w:szCs w:val="18"/>
                <w:lang w:val="en-US" w:eastAsia="en-AU"/>
              </w:rPr>
            </w:pPr>
            <w:r w:rsidRPr="00FF7643">
              <w:rPr>
                <w:rFonts w:ascii="Arial Narrow" w:hAnsi="Arial Narrow" w:cs="Arial Narrow"/>
                <w:bCs/>
                <w:color w:val="FFFFFF"/>
                <w:sz w:val="18"/>
                <w:szCs w:val="18"/>
                <w:lang w:val="en-US" w:eastAsia="en-AU"/>
              </w:rPr>
              <w:t>DOMAIN &amp; THEME</w:t>
            </w:r>
          </w:p>
        </w:tc>
        <w:tc>
          <w:tcPr>
            <w:tcW w:w="1227" w:type="dxa"/>
          </w:tcPr>
          <w:p w14:paraId="42B737E5" w14:textId="77777777" w:rsidR="00017F71" w:rsidRPr="00FF7643" w:rsidRDefault="00017F71" w:rsidP="00017F71">
            <w:pPr>
              <w:widowControl w:val="0"/>
              <w:autoSpaceDE w:val="0"/>
              <w:autoSpaceDN w:val="0"/>
              <w:adjustRightInd w:val="0"/>
              <w:spacing w:before="144" w:after="144" w:line="240" w:lineRule="auto"/>
              <w:jc w:val="center"/>
              <w:rPr>
                <w:rFonts w:ascii="Arial Narrow" w:hAnsi="Arial Narrow" w:cs="Arial Narrow"/>
                <w:bCs/>
                <w:color w:val="FFFFFF"/>
                <w:sz w:val="18"/>
                <w:szCs w:val="18"/>
                <w:lang w:val="en-US" w:eastAsia="en-AU"/>
              </w:rPr>
            </w:pPr>
            <w:r w:rsidRPr="00FF7643">
              <w:rPr>
                <w:rFonts w:ascii="Arial Narrow" w:hAnsi="Arial Narrow" w:cs="Arial Narrow"/>
                <w:bCs/>
                <w:color w:val="FFFFFF"/>
                <w:sz w:val="18"/>
                <w:szCs w:val="18"/>
                <w:lang w:val="en-US" w:eastAsia="en-AU"/>
              </w:rPr>
              <w:t>AChSHM</w:t>
            </w:r>
          </w:p>
        </w:tc>
        <w:tc>
          <w:tcPr>
            <w:tcW w:w="1043" w:type="dxa"/>
          </w:tcPr>
          <w:p w14:paraId="09E82762" w14:textId="77777777" w:rsidR="00017F71" w:rsidRPr="00FF7643" w:rsidRDefault="00017F71" w:rsidP="00017F71">
            <w:pPr>
              <w:widowControl w:val="0"/>
              <w:autoSpaceDE w:val="0"/>
              <w:autoSpaceDN w:val="0"/>
              <w:adjustRightInd w:val="0"/>
              <w:spacing w:before="144" w:after="144" w:line="240" w:lineRule="auto"/>
              <w:jc w:val="center"/>
              <w:rPr>
                <w:rFonts w:ascii="Arial Narrow" w:hAnsi="Arial Narrow" w:cs="Arial Narrow"/>
                <w:bCs/>
                <w:color w:val="FFFFFF"/>
                <w:sz w:val="18"/>
                <w:szCs w:val="18"/>
                <w:lang w:val="en-US" w:eastAsia="en-AU"/>
              </w:rPr>
            </w:pPr>
            <w:r w:rsidRPr="00FF7643">
              <w:rPr>
                <w:rFonts w:ascii="Arial Narrow" w:hAnsi="Arial Narrow" w:cs="Arial Narrow"/>
                <w:bCs/>
                <w:color w:val="FFFFFF"/>
                <w:sz w:val="18"/>
                <w:szCs w:val="18"/>
                <w:lang w:val="en-US" w:eastAsia="en-AU"/>
              </w:rPr>
              <w:t>RACGP</w:t>
            </w:r>
          </w:p>
        </w:tc>
        <w:tc>
          <w:tcPr>
            <w:tcW w:w="1412" w:type="dxa"/>
          </w:tcPr>
          <w:p w14:paraId="2A3B9040" w14:textId="77777777" w:rsidR="00017F71" w:rsidRPr="00FF7643" w:rsidRDefault="00017F71" w:rsidP="00017F71">
            <w:pPr>
              <w:widowControl w:val="0"/>
              <w:autoSpaceDE w:val="0"/>
              <w:autoSpaceDN w:val="0"/>
              <w:adjustRightInd w:val="0"/>
              <w:spacing w:before="144" w:after="144" w:line="240" w:lineRule="auto"/>
              <w:jc w:val="center"/>
              <w:rPr>
                <w:rFonts w:ascii="Arial Narrow" w:hAnsi="Arial Narrow" w:cs="Arial Narrow"/>
                <w:bCs/>
                <w:color w:val="FFFFFF"/>
                <w:sz w:val="18"/>
                <w:szCs w:val="18"/>
                <w:lang w:val="en-US" w:eastAsia="en-AU"/>
              </w:rPr>
            </w:pPr>
            <w:r w:rsidRPr="00FF7643">
              <w:rPr>
                <w:rFonts w:ascii="Arial Narrow" w:hAnsi="Arial Narrow" w:cs="Arial Narrow"/>
                <w:bCs/>
                <w:color w:val="FFFFFF"/>
                <w:sz w:val="18"/>
                <w:szCs w:val="18"/>
                <w:lang w:val="en-US" w:eastAsia="en-AU"/>
              </w:rPr>
              <w:t>RACGP S100 Prescribers</w:t>
            </w:r>
          </w:p>
        </w:tc>
        <w:tc>
          <w:tcPr>
            <w:tcW w:w="1228" w:type="dxa"/>
          </w:tcPr>
          <w:p w14:paraId="4A19C330" w14:textId="77777777" w:rsidR="00017F71" w:rsidRPr="00FF7643" w:rsidRDefault="00017F71" w:rsidP="00017F71">
            <w:pPr>
              <w:widowControl w:val="0"/>
              <w:autoSpaceDE w:val="0"/>
              <w:autoSpaceDN w:val="0"/>
              <w:adjustRightInd w:val="0"/>
              <w:spacing w:before="144" w:after="144" w:line="240" w:lineRule="auto"/>
              <w:jc w:val="center"/>
              <w:rPr>
                <w:rFonts w:ascii="Arial Narrow" w:hAnsi="Arial Narrow" w:cs="Arial Narrow"/>
                <w:bCs/>
                <w:color w:val="FFFFFF"/>
                <w:sz w:val="18"/>
                <w:szCs w:val="18"/>
                <w:lang w:val="en-US" w:eastAsia="en-AU"/>
              </w:rPr>
            </w:pPr>
            <w:r w:rsidRPr="00FF7643">
              <w:rPr>
                <w:rFonts w:ascii="Arial Narrow" w:hAnsi="Arial Narrow" w:cs="Arial Narrow"/>
                <w:bCs/>
                <w:color w:val="FFFFFF"/>
                <w:sz w:val="18"/>
                <w:szCs w:val="18"/>
                <w:lang w:val="en-US" w:eastAsia="en-AU"/>
              </w:rPr>
              <w:t>Infectious Diseases</w:t>
            </w:r>
          </w:p>
        </w:tc>
      </w:tr>
      <w:tr w:rsidR="00017F71" w14:paraId="3F207108" w14:textId="77777777" w:rsidTr="00F614B7">
        <w:trPr>
          <w:trHeight w:val="298"/>
        </w:trPr>
        <w:tc>
          <w:tcPr>
            <w:tcW w:w="4104" w:type="dxa"/>
            <w:vAlign w:val="center"/>
          </w:tcPr>
          <w:p w14:paraId="1A77B7E0"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DOMAIN 1 :  BASIC PRINCIPLES</w:t>
            </w:r>
          </w:p>
        </w:tc>
        <w:tc>
          <w:tcPr>
            <w:tcW w:w="1227" w:type="dxa"/>
          </w:tcPr>
          <w:p w14:paraId="7DD5BEB9"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 w:val="18"/>
                <w:szCs w:val="18"/>
                <w:lang w:val="en-US" w:eastAsia="en-AU"/>
              </w:rPr>
            </w:pPr>
          </w:p>
        </w:tc>
        <w:tc>
          <w:tcPr>
            <w:tcW w:w="1043" w:type="dxa"/>
          </w:tcPr>
          <w:p w14:paraId="0C02C1CF" w14:textId="77777777" w:rsidR="00017F71" w:rsidRPr="00017F71" w:rsidRDefault="00017F71">
            <w:pPr>
              <w:widowControl w:val="0"/>
              <w:autoSpaceDE w:val="0"/>
              <w:autoSpaceDN w:val="0"/>
              <w:adjustRightInd w:val="0"/>
              <w:spacing w:before="0" w:after="0" w:line="240" w:lineRule="auto"/>
              <w:jc w:val="center"/>
              <w:rPr>
                <w:rFonts w:ascii="Calibri" w:hAnsi="Calibri" w:cs="Calibri"/>
                <w:sz w:val="18"/>
                <w:szCs w:val="18"/>
                <w:lang w:val="en-US" w:eastAsia="en-AU"/>
              </w:rPr>
            </w:pPr>
          </w:p>
        </w:tc>
        <w:tc>
          <w:tcPr>
            <w:tcW w:w="1412" w:type="dxa"/>
          </w:tcPr>
          <w:p w14:paraId="60D1ECC0" w14:textId="77777777" w:rsidR="00017F71" w:rsidRPr="00017F71" w:rsidRDefault="00017F71">
            <w:pPr>
              <w:widowControl w:val="0"/>
              <w:autoSpaceDE w:val="0"/>
              <w:autoSpaceDN w:val="0"/>
              <w:adjustRightInd w:val="0"/>
              <w:spacing w:before="0" w:after="0" w:line="240" w:lineRule="auto"/>
              <w:jc w:val="center"/>
              <w:rPr>
                <w:rFonts w:ascii="Calibri" w:hAnsi="Calibri" w:cs="Calibri"/>
                <w:sz w:val="18"/>
                <w:szCs w:val="18"/>
                <w:lang w:val="en-US" w:eastAsia="en-AU"/>
              </w:rPr>
            </w:pPr>
          </w:p>
        </w:tc>
        <w:tc>
          <w:tcPr>
            <w:tcW w:w="1228" w:type="dxa"/>
          </w:tcPr>
          <w:p w14:paraId="707477AF" w14:textId="77777777" w:rsidR="00017F71" w:rsidRPr="00017F71" w:rsidRDefault="00017F71">
            <w:pPr>
              <w:widowControl w:val="0"/>
              <w:autoSpaceDE w:val="0"/>
              <w:autoSpaceDN w:val="0"/>
              <w:adjustRightInd w:val="0"/>
              <w:spacing w:before="0" w:after="0" w:line="240" w:lineRule="auto"/>
              <w:jc w:val="right"/>
              <w:rPr>
                <w:rFonts w:ascii="Calibri" w:hAnsi="Calibri" w:cs="Calibri"/>
                <w:szCs w:val="22"/>
                <w:lang w:val="en-US" w:eastAsia="en-AU"/>
              </w:rPr>
            </w:pPr>
          </w:p>
        </w:tc>
      </w:tr>
      <w:tr w:rsidR="00017F71" w14:paraId="329BDADD" w14:textId="77777777" w:rsidTr="00F614B7">
        <w:trPr>
          <w:trHeight w:val="298"/>
        </w:trPr>
        <w:tc>
          <w:tcPr>
            <w:tcW w:w="4104" w:type="dxa"/>
            <w:vAlign w:val="center"/>
          </w:tcPr>
          <w:p w14:paraId="5A9D0E81"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1.1: Patient Assessment</w:t>
            </w:r>
          </w:p>
        </w:tc>
        <w:tc>
          <w:tcPr>
            <w:tcW w:w="1227" w:type="dxa"/>
          </w:tcPr>
          <w:p w14:paraId="56425975" w14:textId="77777777" w:rsidR="00017F71" w:rsidRPr="00017F71" w:rsidRDefault="00017F71">
            <w:pPr>
              <w:widowControl w:val="0"/>
              <w:autoSpaceDE w:val="0"/>
              <w:autoSpaceDN w:val="0"/>
              <w:adjustRightInd w:val="0"/>
              <w:spacing w:before="0" w:after="0" w:line="240" w:lineRule="auto"/>
              <w:jc w:val="right"/>
              <w:rPr>
                <w:rFonts w:ascii="Calibri" w:hAnsi="Calibri" w:cs="Calibri"/>
                <w:sz w:val="18"/>
                <w:szCs w:val="18"/>
                <w:lang w:val="en-US" w:eastAsia="en-AU"/>
              </w:rPr>
            </w:pPr>
          </w:p>
        </w:tc>
        <w:tc>
          <w:tcPr>
            <w:tcW w:w="1043" w:type="dxa"/>
          </w:tcPr>
          <w:p w14:paraId="4A6EBB3D" w14:textId="77777777" w:rsidR="00017F71" w:rsidRPr="00017F71" w:rsidRDefault="00017F71">
            <w:pPr>
              <w:widowControl w:val="0"/>
              <w:autoSpaceDE w:val="0"/>
              <w:autoSpaceDN w:val="0"/>
              <w:adjustRightInd w:val="0"/>
              <w:spacing w:before="0" w:after="0" w:line="240" w:lineRule="auto"/>
              <w:jc w:val="right"/>
              <w:rPr>
                <w:rFonts w:ascii="Calibri" w:hAnsi="Calibri" w:cs="Calibri"/>
                <w:sz w:val="18"/>
                <w:szCs w:val="18"/>
                <w:lang w:val="en-US" w:eastAsia="en-AU"/>
              </w:rPr>
            </w:pPr>
          </w:p>
        </w:tc>
        <w:tc>
          <w:tcPr>
            <w:tcW w:w="1412" w:type="dxa"/>
          </w:tcPr>
          <w:p w14:paraId="1511F5EB" w14:textId="77777777" w:rsidR="00017F71" w:rsidRPr="00017F71" w:rsidRDefault="00017F71">
            <w:pPr>
              <w:widowControl w:val="0"/>
              <w:autoSpaceDE w:val="0"/>
              <w:autoSpaceDN w:val="0"/>
              <w:adjustRightInd w:val="0"/>
              <w:spacing w:before="0" w:after="0" w:line="240" w:lineRule="auto"/>
              <w:jc w:val="right"/>
              <w:rPr>
                <w:rFonts w:ascii="Calibri" w:hAnsi="Calibri" w:cs="Calibri"/>
                <w:sz w:val="18"/>
                <w:szCs w:val="18"/>
                <w:lang w:val="en-US" w:eastAsia="en-AU"/>
              </w:rPr>
            </w:pPr>
          </w:p>
        </w:tc>
        <w:tc>
          <w:tcPr>
            <w:tcW w:w="1228" w:type="dxa"/>
          </w:tcPr>
          <w:p w14:paraId="6D13FB48" w14:textId="77777777" w:rsidR="00017F71" w:rsidRPr="00017F71" w:rsidRDefault="00017F71">
            <w:pPr>
              <w:widowControl w:val="0"/>
              <w:autoSpaceDE w:val="0"/>
              <w:autoSpaceDN w:val="0"/>
              <w:adjustRightInd w:val="0"/>
              <w:spacing w:before="0" w:after="0" w:line="240" w:lineRule="auto"/>
              <w:jc w:val="right"/>
              <w:rPr>
                <w:rFonts w:ascii="Calibri" w:hAnsi="Calibri" w:cs="Calibri"/>
                <w:szCs w:val="22"/>
                <w:lang w:val="en-US" w:eastAsia="en-AU"/>
              </w:rPr>
            </w:pPr>
          </w:p>
        </w:tc>
      </w:tr>
      <w:tr w:rsidR="00017F71" w14:paraId="0677A35F" w14:textId="77777777" w:rsidTr="00F614B7">
        <w:trPr>
          <w:trHeight w:val="278"/>
        </w:trPr>
        <w:tc>
          <w:tcPr>
            <w:tcW w:w="4104" w:type="dxa"/>
            <w:vAlign w:val="center"/>
          </w:tcPr>
          <w:p w14:paraId="202824BB"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Elicit history and obtain other relevant data</w:t>
            </w:r>
          </w:p>
        </w:tc>
        <w:tc>
          <w:tcPr>
            <w:tcW w:w="1227" w:type="dxa"/>
          </w:tcPr>
          <w:p w14:paraId="3F15E89C"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468977DF"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2C87FA1"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0D50042"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017F71" w14:paraId="4A0BC3C4" w14:textId="77777777" w:rsidTr="00F614B7">
        <w:trPr>
          <w:trHeight w:val="418"/>
        </w:trPr>
        <w:tc>
          <w:tcPr>
            <w:tcW w:w="4104" w:type="dxa"/>
            <w:vAlign w:val="center"/>
          </w:tcPr>
          <w:p w14:paraId="36C31A40"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Conduct a physical examination and plan and arrange investigations</w:t>
            </w:r>
          </w:p>
        </w:tc>
        <w:tc>
          <w:tcPr>
            <w:tcW w:w="1227" w:type="dxa"/>
          </w:tcPr>
          <w:p w14:paraId="75D2EB10"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790AF49"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44A161B4"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7E2E1C97"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017F71" w14:paraId="24BA6E77" w14:textId="77777777" w:rsidTr="00F614B7">
        <w:trPr>
          <w:trHeight w:val="278"/>
        </w:trPr>
        <w:tc>
          <w:tcPr>
            <w:tcW w:w="4104" w:type="dxa"/>
            <w:vAlign w:val="center"/>
          </w:tcPr>
          <w:p w14:paraId="40621A3C"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Develop a management plan</w:t>
            </w:r>
          </w:p>
        </w:tc>
        <w:tc>
          <w:tcPr>
            <w:tcW w:w="1227" w:type="dxa"/>
          </w:tcPr>
          <w:p w14:paraId="0E953615"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0D4885A5"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23BBF64"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392A3EDD"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017F71" w14:paraId="53327917" w14:textId="77777777" w:rsidTr="00F614B7">
        <w:trPr>
          <w:trHeight w:val="418"/>
        </w:trPr>
        <w:tc>
          <w:tcPr>
            <w:tcW w:w="4104" w:type="dxa"/>
            <w:vAlign w:val="center"/>
          </w:tcPr>
          <w:p w14:paraId="1F2C9E54"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Undertake a sexual health consultation with other health professionals</w:t>
            </w:r>
          </w:p>
        </w:tc>
        <w:tc>
          <w:tcPr>
            <w:tcW w:w="1227" w:type="dxa"/>
          </w:tcPr>
          <w:p w14:paraId="0DC2C0DB"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036D37DA"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100452B5"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10E59930"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017F71" w14:paraId="537CCE66" w14:textId="77777777" w:rsidTr="00F614B7">
        <w:trPr>
          <w:trHeight w:val="298"/>
        </w:trPr>
        <w:tc>
          <w:tcPr>
            <w:tcW w:w="4104" w:type="dxa"/>
            <w:tcBorders>
              <w:bottom w:val="single" w:sz="2" w:space="0" w:color="000000"/>
            </w:tcBorders>
            <w:vAlign w:val="center"/>
          </w:tcPr>
          <w:p w14:paraId="525C391A" w14:textId="77777777" w:rsidR="00017F71" w:rsidRPr="00017F71" w:rsidRDefault="00017F7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Provide advanced sexual health counseling</w:t>
            </w:r>
          </w:p>
        </w:tc>
        <w:tc>
          <w:tcPr>
            <w:tcW w:w="1227" w:type="dxa"/>
            <w:tcBorders>
              <w:bottom w:val="single" w:sz="2" w:space="0" w:color="000000"/>
            </w:tcBorders>
          </w:tcPr>
          <w:p w14:paraId="37077ACE"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34FEFAF1"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34EDBBAE"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1F45CAAB" w14:textId="77777777" w:rsidR="00017F71" w:rsidRPr="00017F71" w:rsidRDefault="00017F7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DB4B2C" w14:paraId="253E96A0" w14:textId="77777777" w:rsidTr="00F614B7">
        <w:trPr>
          <w:trHeight w:val="298"/>
        </w:trPr>
        <w:tc>
          <w:tcPr>
            <w:tcW w:w="4104" w:type="dxa"/>
            <w:tcBorders>
              <w:bottom w:val="single" w:sz="2" w:space="0" w:color="000000"/>
              <w:right w:val="single" w:sz="2" w:space="0" w:color="FFFFFF" w:themeColor="background1"/>
            </w:tcBorders>
            <w:vAlign w:val="center"/>
          </w:tcPr>
          <w:p w14:paraId="28D0C47A" w14:textId="168B143F" w:rsidR="00DB4B2C" w:rsidRPr="00017F71" w:rsidRDefault="00DB4B2C"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DOMAIN 2:  PRINCIPLES OF DIAGNOSIS AND MANAGEMENT</w:t>
            </w:r>
          </w:p>
        </w:tc>
        <w:tc>
          <w:tcPr>
            <w:tcW w:w="1227" w:type="dxa"/>
            <w:tcBorders>
              <w:left w:val="single" w:sz="2" w:space="0" w:color="FFFFFF" w:themeColor="background1"/>
              <w:bottom w:val="single" w:sz="2" w:space="0" w:color="000000"/>
              <w:right w:val="single" w:sz="2" w:space="0" w:color="FFFFFF" w:themeColor="background1"/>
            </w:tcBorders>
          </w:tcPr>
          <w:p w14:paraId="6C0E48AB" w14:textId="77777777" w:rsidR="00DB4B2C" w:rsidRPr="00017F71" w:rsidRDefault="00DB4B2C">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bottom w:val="single" w:sz="2" w:space="0" w:color="000000"/>
              <w:right w:val="single" w:sz="2" w:space="0" w:color="FFFFFF" w:themeColor="background1"/>
            </w:tcBorders>
          </w:tcPr>
          <w:p w14:paraId="7B06CBD7" w14:textId="77777777" w:rsidR="00DB4B2C" w:rsidRPr="00017F71" w:rsidRDefault="00DB4B2C">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bottom w:val="single" w:sz="2" w:space="0" w:color="000000"/>
              <w:right w:val="single" w:sz="2" w:space="0" w:color="FFFFFF" w:themeColor="background1"/>
            </w:tcBorders>
          </w:tcPr>
          <w:p w14:paraId="4EC703BF" w14:textId="77777777" w:rsidR="00DB4B2C" w:rsidRPr="00017F71" w:rsidRDefault="00DB4B2C">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bottom w:val="single" w:sz="2" w:space="0" w:color="000000"/>
            </w:tcBorders>
          </w:tcPr>
          <w:p w14:paraId="43E78DFA" w14:textId="77777777" w:rsidR="00DB4B2C" w:rsidRPr="00017F71" w:rsidRDefault="00DB4B2C">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5D372F" w14:paraId="5A962697" w14:textId="77777777" w:rsidTr="00F614B7">
        <w:trPr>
          <w:trHeight w:val="298"/>
        </w:trPr>
        <w:tc>
          <w:tcPr>
            <w:tcW w:w="4104" w:type="dxa"/>
            <w:tcBorders>
              <w:bottom w:val="single" w:sz="2" w:space="0" w:color="000000"/>
              <w:right w:val="single" w:sz="2" w:space="0" w:color="FFFFFF" w:themeColor="background1"/>
            </w:tcBorders>
            <w:vAlign w:val="center"/>
          </w:tcPr>
          <w:p w14:paraId="5D81CAE6" w14:textId="2D02F437" w:rsidR="005D372F" w:rsidRPr="00017F71" w:rsidRDefault="005D372F"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2.1: Symptom Complexes</w:t>
            </w:r>
          </w:p>
        </w:tc>
        <w:tc>
          <w:tcPr>
            <w:tcW w:w="1227" w:type="dxa"/>
            <w:tcBorders>
              <w:left w:val="single" w:sz="2" w:space="0" w:color="FFFFFF" w:themeColor="background1"/>
              <w:bottom w:val="single" w:sz="2" w:space="0" w:color="000000"/>
              <w:right w:val="single" w:sz="2" w:space="0" w:color="FFFFFF" w:themeColor="background1"/>
            </w:tcBorders>
          </w:tcPr>
          <w:p w14:paraId="5751BC02" w14:textId="77777777" w:rsidR="005D372F" w:rsidRPr="00017F71" w:rsidRDefault="005D372F">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bottom w:val="single" w:sz="2" w:space="0" w:color="000000"/>
              <w:right w:val="single" w:sz="2" w:space="0" w:color="FFFFFF" w:themeColor="background1"/>
            </w:tcBorders>
          </w:tcPr>
          <w:p w14:paraId="75A68C7D" w14:textId="77777777" w:rsidR="005D372F" w:rsidRPr="00017F71" w:rsidRDefault="005D372F">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bottom w:val="single" w:sz="2" w:space="0" w:color="000000"/>
              <w:right w:val="single" w:sz="2" w:space="0" w:color="FFFFFF" w:themeColor="background1"/>
            </w:tcBorders>
          </w:tcPr>
          <w:p w14:paraId="1168899B" w14:textId="77777777" w:rsidR="005D372F" w:rsidRPr="00017F71" w:rsidRDefault="005D372F">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bottom w:val="single" w:sz="2" w:space="0" w:color="000000"/>
            </w:tcBorders>
          </w:tcPr>
          <w:p w14:paraId="7273ABE3" w14:textId="77777777" w:rsidR="005D372F" w:rsidRPr="00017F71" w:rsidRDefault="005D372F">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106E7A40" w14:textId="77777777" w:rsidTr="00F614B7">
        <w:trPr>
          <w:trHeight w:val="278"/>
        </w:trPr>
        <w:tc>
          <w:tcPr>
            <w:tcW w:w="4104" w:type="dxa"/>
            <w:vAlign w:val="center"/>
          </w:tcPr>
          <w:p w14:paraId="233671B9" w14:textId="33B18422"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Pr>
                <w:rFonts w:ascii="Arial Narrow" w:hAnsi="Arial Narrow" w:cs="Arial Narrow"/>
                <w:sz w:val="16"/>
                <w:szCs w:val="16"/>
                <w:lang w:val="en-US" w:eastAsia="en-AU"/>
              </w:rPr>
              <w:t>Assess and manage pelvic pain</w:t>
            </w:r>
          </w:p>
        </w:tc>
        <w:tc>
          <w:tcPr>
            <w:tcW w:w="1227" w:type="dxa"/>
          </w:tcPr>
          <w:p w14:paraId="7AB58D50" w14:textId="0A8C2C8B"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21FB1E5D" w14:textId="3E959162"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9C8A9A1" w14:textId="0AF741FC"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62206924" w14:textId="4AAB0ACE"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B9563DC" w14:textId="77777777" w:rsidTr="00F614B7">
        <w:trPr>
          <w:trHeight w:val="278"/>
        </w:trPr>
        <w:tc>
          <w:tcPr>
            <w:tcW w:w="4104" w:type="dxa"/>
            <w:vAlign w:val="center"/>
          </w:tcPr>
          <w:p w14:paraId="6E54B86C" w14:textId="2C7716F3"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genital discharge</w:t>
            </w:r>
          </w:p>
        </w:tc>
        <w:tc>
          <w:tcPr>
            <w:tcW w:w="1227" w:type="dxa"/>
          </w:tcPr>
          <w:p w14:paraId="43340723" w14:textId="7963C110"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E02A5F4" w14:textId="02F289D6"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06A54C20" w14:textId="2D9E965C"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E6609DF" w14:textId="37FB0311"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0B564E8F" w14:textId="77777777" w:rsidTr="00F614B7">
        <w:trPr>
          <w:trHeight w:val="278"/>
        </w:trPr>
        <w:tc>
          <w:tcPr>
            <w:tcW w:w="4104" w:type="dxa"/>
            <w:vAlign w:val="center"/>
          </w:tcPr>
          <w:p w14:paraId="5838E798" w14:textId="2F030ABC"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genital ulceration</w:t>
            </w:r>
          </w:p>
        </w:tc>
        <w:tc>
          <w:tcPr>
            <w:tcW w:w="1227" w:type="dxa"/>
          </w:tcPr>
          <w:p w14:paraId="1A198D2F" w14:textId="603A72A0"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614A0B2E" w14:textId="3D4C58CA"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709BCC02" w14:textId="34F7101B"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23EE62F0" w14:textId="0531A3AB"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751F0A4" w14:textId="77777777" w:rsidTr="00F614B7">
        <w:trPr>
          <w:trHeight w:val="298"/>
        </w:trPr>
        <w:tc>
          <w:tcPr>
            <w:tcW w:w="4104" w:type="dxa"/>
            <w:tcBorders>
              <w:bottom w:val="single" w:sz="2" w:space="0" w:color="000000"/>
            </w:tcBorders>
            <w:vAlign w:val="center"/>
          </w:tcPr>
          <w:p w14:paraId="11A0C4C0"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 xml:space="preserve"> Assess and manage genital lumps and rashes</w:t>
            </w:r>
          </w:p>
        </w:tc>
        <w:tc>
          <w:tcPr>
            <w:tcW w:w="1227" w:type="dxa"/>
            <w:tcBorders>
              <w:bottom w:val="single" w:sz="2" w:space="0" w:color="000000"/>
            </w:tcBorders>
          </w:tcPr>
          <w:p w14:paraId="5FA8AF2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6555186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0C95229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505C130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84923DF" w14:textId="77777777" w:rsidTr="00F614B7">
        <w:trPr>
          <w:trHeight w:val="298"/>
        </w:trPr>
        <w:tc>
          <w:tcPr>
            <w:tcW w:w="4104" w:type="dxa"/>
            <w:tcBorders>
              <w:right w:val="single" w:sz="2" w:space="0" w:color="FFFFFF" w:themeColor="background1"/>
            </w:tcBorders>
            <w:vAlign w:val="center"/>
          </w:tcPr>
          <w:p w14:paraId="79FF6F1A" w14:textId="48140A2B"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2.2: Bacterial</w:t>
            </w:r>
          </w:p>
        </w:tc>
        <w:tc>
          <w:tcPr>
            <w:tcW w:w="1227" w:type="dxa"/>
            <w:tcBorders>
              <w:left w:val="single" w:sz="2" w:space="0" w:color="FFFFFF" w:themeColor="background1"/>
              <w:right w:val="single" w:sz="2" w:space="0" w:color="FFFFFF" w:themeColor="background1"/>
            </w:tcBorders>
          </w:tcPr>
          <w:p w14:paraId="575641B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2323DA5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317BA1F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6F01EF6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1F2807B" w14:textId="77777777" w:rsidTr="00F614B7">
        <w:trPr>
          <w:trHeight w:val="278"/>
        </w:trPr>
        <w:tc>
          <w:tcPr>
            <w:tcW w:w="4104" w:type="dxa"/>
            <w:vAlign w:val="center"/>
          </w:tcPr>
          <w:p w14:paraId="00E76FCA"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chlamydia</w:t>
            </w:r>
          </w:p>
        </w:tc>
        <w:tc>
          <w:tcPr>
            <w:tcW w:w="1227" w:type="dxa"/>
          </w:tcPr>
          <w:p w14:paraId="49B84D0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E71068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1114325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EDB665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48DD8D21" w14:textId="77777777" w:rsidTr="00F614B7">
        <w:trPr>
          <w:trHeight w:val="278"/>
        </w:trPr>
        <w:tc>
          <w:tcPr>
            <w:tcW w:w="4104" w:type="dxa"/>
            <w:vAlign w:val="center"/>
          </w:tcPr>
          <w:p w14:paraId="5F37DD34"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lymphogranuloma venereum (LGV)</w:t>
            </w:r>
          </w:p>
        </w:tc>
        <w:tc>
          <w:tcPr>
            <w:tcW w:w="1227" w:type="dxa"/>
          </w:tcPr>
          <w:p w14:paraId="7D2DEAA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659015E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63A54E4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57B7FFC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59A4248" w14:textId="77777777" w:rsidTr="00F614B7">
        <w:trPr>
          <w:trHeight w:val="278"/>
        </w:trPr>
        <w:tc>
          <w:tcPr>
            <w:tcW w:w="4104" w:type="dxa"/>
            <w:vAlign w:val="center"/>
          </w:tcPr>
          <w:p w14:paraId="767BF82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genital mycoplasma infections</w:t>
            </w:r>
          </w:p>
        </w:tc>
        <w:tc>
          <w:tcPr>
            <w:tcW w:w="1227" w:type="dxa"/>
          </w:tcPr>
          <w:p w14:paraId="0CEC408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E74F3E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47BCE15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341DC84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4315B738" w14:textId="77777777" w:rsidTr="00F614B7">
        <w:trPr>
          <w:trHeight w:val="418"/>
        </w:trPr>
        <w:tc>
          <w:tcPr>
            <w:tcW w:w="4104" w:type="dxa"/>
            <w:vAlign w:val="center"/>
          </w:tcPr>
          <w:p w14:paraId="39EDBE37"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non-gonococcal and non-chlamydia urethritis</w:t>
            </w:r>
          </w:p>
        </w:tc>
        <w:tc>
          <w:tcPr>
            <w:tcW w:w="1227" w:type="dxa"/>
          </w:tcPr>
          <w:p w14:paraId="70A719C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59499F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40E2AAA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52B9F5C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405815A3" w14:textId="77777777" w:rsidTr="00F614B7">
        <w:trPr>
          <w:trHeight w:val="278"/>
        </w:trPr>
        <w:tc>
          <w:tcPr>
            <w:tcW w:w="4104" w:type="dxa"/>
            <w:vAlign w:val="center"/>
          </w:tcPr>
          <w:p w14:paraId="3322AB7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gonococcal infections</w:t>
            </w:r>
          </w:p>
        </w:tc>
        <w:tc>
          <w:tcPr>
            <w:tcW w:w="1227" w:type="dxa"/>
          </w:tcPr>
          <w:p w14:paraId="5419096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F8AF3C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70B73C6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095728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65F6433B" w14:textId="77777777" w:rsidTr="00F614B7">
        <w:trPr>
          <w:trHeight w:val="278"/>
        </w:trPr>
        <w:tc>
          <w:tcPr>
            <w:tcW w:w="4104" w:type="dxa"/>
            <w:vAlign w:val="center"/>
          </w:tcPr>
          <w:p w14:paraId="0E42F193"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syphilis</w:t>
            </w:r>
          </w:p>
        </w:tc>
        <w:tc>
          <w:tcPr>
            <w:tcW w:w="1227" w:type="dxa"/>
          </w:tcPr>
          <w:p w14:paraId="393A425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0B0F9DF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712C7D9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52DC3BF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4DAF1EFA" w14:textId="77777777" w:rsidTr="00F614B7">
        <w:trPr>
          <w:trHeight w:val="278"/>
        </w:trPr>
        <w:tc>
          <w:tcPr>
            <w:tcW w:w="4104" w:type="dxa"/>
            <w:vAlign w:val="center"/>
          </w:tcPr>
          <w:p w14:paraId="337E24F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chancroid</w:t>
            </w:r>
          </w:p>
        </w:tc>
        <w:tc>
          <w:tcPr>
            <w:tcW w:w="1227" w:type="dxa"/>
          </w:tcPr>
          <w:p w14:paraId="095D259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57725F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6F812A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5EF702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EF61FEC" w14:textId="77777777" w:rsidTr="00F614B7">
        <w:trPr>
          <w:trHeight w:val="298"/>
        </w:trPr>
        <w:tc>
          <w:tcPr>
            <w:tcW w:w="4104" w:type="dxa"/>
            <w:tcBorders>
              <w:bottom w:val="single" w:sz="2" w:space="0" w:color="000000"/>
            </w:tcBorders>
            <w:vAlign w:val="center"/>
          </w:tcPr>
          <w:p w14:paraId="5244323D"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donovanosis</w:t>
            </w:r>
          </w:p>
        </w:tc>
        <w:tc>
          <w:tcPr>
            <w:tcW w:w="1227" w:type="dxa"/>
            <w:tcBorders>
              <w:bottom w:val="single" w:sz="2" w:space="0" w:color="000000"/>
            </w:tcBorders>
          </w:tcPr>
          <w:p w14:paraId="1D482AB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749AD50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72EAD8E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36914AF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D557828" w14:textId="77777777" w:rsidTr="00F614B7">
        <w:trPr>
          <w:trHeight w:val="298"/>
        </w:trPr>
        <w:tc>
          <w:tcPr>
            <w:tcW w:w="4104" w:type="dxa"/>
            <w:tcBorders>
              <w:right w:val="single" w:sz="2" w:space="0" w:color="FFFFFF" w:themeColor="background1"/>
            </w:tcBorders>
            <w:vAlign w:val="center"/>
          </w:tcPr>
          <w:p w14:paraId="7F0EEFE9" w14:textId="6FE88CDC"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DB4B2C">
              <w:rPr>
                <w:rFonts w:ascii="Arial Narrow" w:hAnsi="Arial Narrow" w:cs="Arial Narrow"/>
                <w:b/>
                <w:bCs/>
                <w:i/>
                <w:sz w:val="18"/>
                <w:szCs w:val="18"/>
                <w:lang w:val="en-US" w:eastAsia="en-AU"/>
              </w:rPr>
              <w:t>Theme 2.3: Viral</w:t>
            </w:r>
          </w:p>
        </w:tc>
        <w:tc>
          <w:tcPr>
            <w:tcW w:w="1227" w:type="dxa"/>
            <w:tcBorders>
              <w:left w:val="single" w:sz="2" w:space="0" w:color="FFFFFF" w:themeColor="background1"/>
              <w:right w:val="single" w:sz="2" w:space="0" w:color="FFFFFF" w:themeColor="background1"/>
            </w:tcBorders>
          </w:tcPr>
          <w:p w14:paraId="7B16C9E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344CCAA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010869B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3ACCC95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ABE7445" w14:textId="77777777" w:rsidTr="00F614B7">
        <w:trPr>
          <w:trHeight w:val="278"/>
        </w:trPr>
        <w:tc>
          <w:tcPr>
            <w:tcW w:w="4104" w:type="dxa"/>
            <w:vAlign w:val="center"/>
          </w:tcPr>
          <w:p w14:paraId="55F59D7E"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human papilloma virus (HPV)</w:t>
            </w:r>
          </w:p>
        </w:tc>
        <w:tc>
          <w:tcPr>
            <w:tcW w:w="1227" w:type="dxa"/>
          </w:tcPr>
          <w:p w14:paraId="4AA7CF4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22C6BA5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CE7919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1ACA377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1C7551A" w14:textId="77777777" w:rsidTr="00F614B7">
        <w:trPr>
          <w:trHeight w:val="278"/>
        </w:trPr>
        <w:tc>
          <w:tcPr>
            <w:tcW w:w="4104" w:type="dxa"/>
            <w:vAlign w:val="center"/>
          </w:tcPr>
          <w:p w14:paraId="577F6311"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herpes simplex virus (HSV)</w:t>
            </w:r>
          </w:p>
        </w:tc>
        <w:tc>
          <w:tcPr>
            <w:tcW w:w="1227" w:type="dxa"/>
          </w:tcPr>
          <w:p w14:paraId="4D08618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591AC5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08E5A7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030F8D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2466AF15" w14:textId="77777777" w:rsidTr="00F614B7">
        <w:trPr>
          <w:trHeight w:val="298"/>
        </w:trPr>
        <w:tc>
          <w:tcPr>
            <w:tcW w:w="4104" w:type="dxa"/>
            <w:tcBorders>
              <w:bottom w:val="single" w:sz="2" w:space="0" w:color="000000"/>
            </w:tcBorders>
            <w:vAlign w:val="center"/>
          </w:tcPr>
          <w:p w14:paraId="0718B01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Molluscum contagiosum</w:t>
            </w:r>
          </w:p>
        </w:tc>
        <w:tc>
          <w:tcPr>
            <w:tcW w:w="1227" w:type="dxa"/>
            <w:tcBorders>
              <w:bottom w:val="single" w:sz="2" w:space="0" w:color="000000"/>
            </w:tcBorders>
          </w:tcPr>
          <w:p w14:paraId="5928754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0028794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2BC1EAD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495A331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8C5CB8F" w14:textId="77777777" w:rsidTr="00F614B7">
        <w:trPr>
          <w:trHeight w:val="298"/>
        </w:trPr>
        <w:tc>
          <w:tcPr>
            <w:tcW w:w="4104" w:type="dxa"/>
            <w:tcBorders>
              <w:right w:val="single" w:sz="2" w:space="0" w:color="FFFFFF" w:themeColor="background1"/>
            </w:tcBorders>
            <w:vAlign w:val="center"/>
          </w:tcPr>
          <w:p w14:paraId="7249019A" w14:textId="4E44B3B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2.4: Fungal</w:t>
            </w:r>
          </w:p>
        </w:tc>
        <w:tc>
          <w:tcPr>
            <w:tcW w:w="1227" w:type="dxa"/>
            <w:tcBorders>
              <w:left w:val="single" w:sz="2" w:space="0" w:color="FFFFFF" w:themeColor="background1"/>
              <w:right w:val="single" w:sz="2" w:space="0" w:color="FFFFFF" w:themeColor="background1"/>
            </w:tcBorders>
          </w:tcPr>
          <w:p w14:paraId="75CF63B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303207A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0A5B675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6F98ECE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3CEA0B9" w14:textId="77777777" w:rsidTr="00F614B7">
        <w:trPr>
          <w:trHeight w:val="278"/>
        </w:trPr>
        <w:tc>
          <w:tcPr>
            <w:tcW w:w="4104" w:type="dxa"/>
            <w:vAlign w:val="center"/>
          </w:tcPr>
          <w:p w14:paraId="195E7DAF"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candida</w:t>
            </w:r>
          </w:p>
        </w:tc>
        <w:tc>
          <w:tcPr>
            <w:tcW w:w="1227" w:type="dxa"/>
          </w:tcPr>
          <w:p w14:paraId="5908599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06127D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1A41632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5984B98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2C5BD268" w14:textId="77777777" w:rsidTr="00F614B7">
        <w:trPr>
          <w:trHeight w:val="298"/>
        </w:trPr>
        <w:tc>
          <w:tcPr>
            <w:tcW w:w="4104" w:type="dxa"/>
            <w:tcBorders>
              <w:bottom w:val="single" w:sz="2" w:space="0" w:color="000000"/>
            </w:tcBorders>
            <w:vAlign w:val="center"/>
          </w:tcPr>
          <w:p w14:paraId="38F8BEE3"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tinea</w:t>
            </w:r>
          </w:p>
        </w:tc>
        <w:tc>
          <w:tcPr>
            <w:tcW w:w="1227" w:type="dxa"/>
            <w:tcBorders>
              <w:bottom w:val="single" w:sz="2" w:space="0" w:color="000000"/>
            </w:tcBorders>
          </w:tcPr>
          <w:p w14:paraId="39BFD09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0EB2580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6AE79AD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522D3BC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C0910B6" w14:textId="77777777" w:rsidTr="00F614B7">
        <w:trPr>
          <w:trHeight w:val="298"/>
        </w:trPr>
        <w:tc>
          <w:tcPr>
            <w:tcW w:w="4104" w:type="dxa"/>
            <w:tcBorders>
              <w:bottom w:val="single" w:sz="2" w:space="0" w:color="000000"/>
            </w:tcBorders>
            <w:vAlign w:val="center"/>
          </w:tcPr>
          <w:p w14:paraId="54BCBA1D" w14:textId="339C6D6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lastRenderedPageBreak/>
              <w:t>Theme 2.5: Protozoans</w:t>
            </w:r>
          </w:p>
        </w:tc>
        <w:tc>
          <w:tcPr>
            <w:tcW w:w="1227" w:type="dxa"/>
            <w:tcBorders>
              <w:bottom w:val="single" w:sz="2" w:space="0" w:color="000000"/>
            </w:tcBorders>
          </w:tcPr>
          <w:p w14:paraId="673CCC0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bottom w:val="single" w:sz="2" w:space="0" w:color="000000"/>
            </w:tcBorders>
          </w:tcPr>
          <w:p w14:paraId="226B9B5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bottom w:val="single" w:sz="2" w:space="0" w:color="000000"/>
            </w:tcBorders>
          </w:tcPr>
          <w:p w14:paraId="1533CD1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bottom w:val="single" w:sz="2" w:space="0" w:color="000000"/>
            </w:tcBorders>
          </w:tcPr>
          <w:p w14:paraId="7F50062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7897AF6" w14:textId="77777777" w:rsidTr="00F614B7">
        <w:trPr>
          <w:trHeight w:val="278"/>
        </w:trPr>
        <w:tc>
          <w:tcPr>
            <w:tcW w:w="4104" w:type="dxa"/>
            <w:vAlign w:val="center"/>
          </w:tcPr>
          <w:p w14:paraId="143F1C4D"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Trichomonas vaginalis infection</w:t>
            </w:r>
          </w:p>
        </w:tc>
        <w:tc>
          <w:tcPr>
            <w:tcW w:w="1227" w:type="dxa"/>
          </w:tcPr>
          <w:p w14:paraId="542D7F4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7077ACD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A2D9D5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2FA4DD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1E42713" w14:textId="77777777" w:rsidTr="00F614B7">
        <w:trPr>
          <w:trHeight w:val="298"/>
        </w:trPr>
        <w:tc>
          <w:tcPr>
            <w:tcW w:w="4104" w:type="dxa"/>
            <w:vAlign w:val="center"/>
          </w:tcPr>
          <w:p w14:paraId="503F163F"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sexually acquired intestinal protozoa</w:t>
            </w:r>
          </w:p>
        </w:tc>
        <w:tc>
          <w:tcPr>
            <w:tcW w:w="1227" w:type="dxa"/>
          </w:tcPr>
          <w:p w14:paraId="1F45486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FF859C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598515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2F75B66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BB9493F" w14:textId="77777777" w:rsidTr="00F614B7">
        <w:trPr>
          <w:trHeight w:val="298"/>
        </w:trPr>
        <w:tc>
          <w:tcPr>
            <w:tcW w:w="4104" w:type="dxa"/>
            <w:vAlign w:val="center"/>
          </w:tcPr>
          <w:p w14:paraId="38BBD593"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2.6: HIV</w:t>
            </w:r>
          </w:p>
        </w:tc>
        <w:tc>
          <w:tcPr>
            <w:tcW w:w="1227" w:type="dxa"/>
          </w:tcPr>
          <w:p w14:paraId="18FD41CB"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c>
          <w:tcPr>
            <w:tcW w:w="1043" w:type="dxa"/>
          </w:tcPr>
          <w:p w14:paraId="46D1D6F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Pr>
          <w:p w14:paraId="7B30DA3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Pr>
          <w:p w14:paraId="1C301599"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r>
      <w:tr w:rsidR="007501E1" w14:paraId="416B6947" w14:textId="77777777" w:rsidTr="00F614B7">
        <w:trPr>
          <w:trHeight w:val="278"/>
        </w:trPr>
        <w:tc>
          <w:tcPr>
            <w:tcW w:w="4104" w:type="dxa"/>
            <w:vAlign w:val="center"/>
          </w:tcPr>
          <w:p w14:paraId="0E3BFEB6"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HIV infection</w:t>
            </w:r>
          </w:p>
        </w:tc>
        <w:tc>
          <w:tcPr>
            <w:tcW w:w="1227" w:type="dxa"/>
          </w:tcPr>
          <w:p w14:paraId="2EA7334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F68111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664DD2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5684D85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0DF4A32D" w14:textId="77777777" w:rsidTr="00F614B7">
        <w:trPr>
          <w:trHeight w:val="278"/>
        </w:trPr>
        <w:tc>
          <w:tcPr>
            <w:tcW w:w="4104" w:type="dxa"/>
            <w:vAlign w:val="center"/>
          </w:tcPr>
          <w:p w14:paraId="50B29811"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Manage fertility issues of patients with HIV infection</w:t>
            </w:r>
          </w:p>
        </w:tc>
        <w:tc>
          <w:tcPr>
            <w:tcW w:w="1227" w:type="dxa"/>
          </w:tcPr>
          <w:p w14:paraId="6E80A4C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83D857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4B36CC2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1043A3E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F1B814F" w14:textId="77777777" w:rsidTr="00F614B7">
        <w:trPr>
          <w:trHeight w:val="298"/>
        </w:trPr>
        <w:tc>
          <w:tcPr>
            <w:tcW w:w="4104" w:type="dxa"/>
            <w:tcBorders>
              <w:bottom w:val="single" w:sz="2" w:space="0" w:color="000000"/>
            </w:tcBorders>
            <w:vAlign w:val="center"/>
          </w:tcPr>
          <w:p w14:paraId="7D24B44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paediatric patients with HIV infection</w:t>
            </w:r>
          </w:p>
        </w:tc>
        <w:tc>
          <w:tcPr>
            <w:tcW w:w="1227" w:type="dxa"/>
            <w:tcBorders>
              <w:bottom w:val="single" w:sz="2" w:space="0" w:color="000000"/>
            </w:tcBorders>
          </w:tcPr>
          <w:p w14:paraId="0425448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24C32AE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6E512E9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3B76294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DA82D06" w14:textId="77777777" w:rsidTr="00F614B7">
        <w:trPr>
          <w:trHeight w:val="298"/>
        </w:trPr>
        <w:tc>
          <w:tcPr>
            <w:tcW w:w="4104" w:type="dxa"/>
            <w:tcBorders>
              <w:right w:val="nil"/>
            </w:tcBorders>
            <w:vAlign w:val="center"/>
          </w:tcPr>
          <w:p w14:paraId="6C38227E"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2.7: Other BBVs</w:t>
            </w:r>
          </w:p>
        </w:tc>
        <w:tc>
          <w:tcPr>
            <w:tcW w:w="1227" w:type="dxa"/>
            <w:tcBorders>
              <w:left w:val="nil"/>
              <w:right w:val="nil"/>
            </w:tcBorders>
            <w:vAlign w:val="center"/>
          </w:tcPr>
          <w:p w14:paraId="1D3C83BA" w14:textId="7C47DEB8"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p>
        </w:tc>
        <w:tc>
          <w:tcPr>
            <w:tcW w:w="1043" w:type="dxa"/>
            <w:tcBorders>
              <w:left w:val="nil"/>
              <w:right w:val="nil"/>
            </w:tcBorders>
          </w:tcPr>
          <w:p w14:paraId="359629B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nil"/>
              <w:right w:val="nil"/>
            </w:tcBorders>
          </w:tcPr>
          <w:p w14:paraId="5CCC608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nil"/>
            </w:tcBorders>
          </w:tcPr>
          <w:p w14:paraId="27A0C4BC"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r>
      <w:tr w:rsidR="007501E1" w14:paraId="757CCAA1" w14:textId="77777777" w:rsidTr="00F614B7">
        <w:trPr>
          <w:trHeight w:val="278"/>
        </w:trPr>
        <w:tc>
          <w:tcPr>
            <w:tcW w:w="4104" w:type="dxa"/>
            <w:vAlign w:val="center"/>
          </w:tcPr>
          <w:p w14:paraId="17D41906"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hepatitis B virus (HBV) infection</w:t>
            </w:r>
          </w:p>
        </w:tc>
        <w:tc>
          <w:tcPr>
            <w:tcW w:w="1227" w:type="dxa"/>
          </w:tcPr>
          <w:p w14:paraId="3ED0A67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658FE2C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BFCA0B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5ADBEC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7885771" w14:textId="77777777" w:rsidTr="00F614B7">
        <w:trPr>
          <w:trHeight w:val="278"/>
        </w:trPr>
        <w:tc>
          <w:tcPr>
            <w:tcW w:w="4104" w:type="dxa"/>
            <w:vAlign w:val="center"/>
          </w:tcPr>
          <w:p w14:paraId="4F7689BC"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hepatitis C virus (HCV) infection</w:t>
            </w:r>
          </w:p>
        </w:tc>
        <w:tc>
          <w:tcPr>
            <w:tcW w:w="1227" w:type="dxa"/>
          </w:tcPr>
          <w:p w14:paraId="118EC5E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2D4A987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1C6EE0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67A59D1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04C48A44" w14:textId="77777777" w:rsidTr="00F614B7">
        <w:trPr>
          <w:trHeight w:val="278"/>
        </w:trPr>
        <w:tc>
          <w:tcPr>
            <w:tcW w:w="4104" w:type="dxa"/>
            <w:vAlign w:val="center"/>
          </w:tcPr>
          <w:p w14:paraId="248F6CF5"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hepatitis A virus (HAV) infection</w:t>
            </w:r>
          </w:p>
        </w:tc>
        <w:tc>
          <w:tcPr>
            <w:tcW w:w="1227" w:type="dxa"/>
          </w:tcPr>
          <w:p w14:paraId="2D53C3D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018D5BA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702379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1B1B637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30542C6" w14:textId="77777777" w:rsidTr="00F614B7">
        <w:trPr>
          <w:trHeight w:val="298"/>
        </w:trPr>
        <w:tc>
          <w:tcPr>
            <w:tcW w:w="4104" w:type="dxa"/>
            <w:tcBorders>
              <w:bottom w:val="single" w:sz="2" w:space="0" w:color="000000"/>
            </w:tcBorders>
            <w:vAlign w:val="center"/>
          </w:tcPr>
          <w:p w14:paraId="02F9185A"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 xml:space="preserve"> Assess and manage hepatitis D virus (HDV) infection</w:t>
            </w:r>
          </w:p>
        </w:tc>
        <w:tc>
          <w:tcPr>
            <w:tcW w:w="1227" w:type="dxa"/>
            <w:tcBorders>
              <w:bottom w:val="single" w:sz="2" w:space="0" w:color="000000"/>
            </w:tcBorders>
          </w:tcPr>
          <w:p w14:paraId="2927F50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7CEFAB7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11925AA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36AD579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6BD584C7" w14:textId="77777777" w:rsidTr="00F614B7">
        <w:trPr>
          <w:trHeight w:val="298"/>
        </w:trPr>
        <w:tc>
          <w:tcPr>
            <w:tcW w:w="4104" w:type="dxa"/>
            <w:tcBorders>
              <w:right w:val="single" w:sz="2" w:space="0" w:color="FFFFFF" w:themeColor="background1"/>
            </w:tcBorders>
            <w:vAlign w:val="center"/>
          </w:tcPr>
          <w:p w14:paraId="036792E4" w14:textId="7DD30398"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2.8: Upper Genital Tract Conditions</w:t>
            </w:r>
          </w:p>
        </w:tc>
        <w:tc>
          <w:tcPr>
            <w:tcW w:w="1227" w:type="dxa"/>
            <w:tcBorders>
              <w:left w:val="single" w:sz="2" w:space="0" w:color="FFFFFF" w:themeColor="background1"/>
              <w:right w:val="single" w:sz="2" w:space="0" w:color="FFFFFF" w:themeColor="background1"/>
            </w:tcBorders>
          </w:tcPr>
          <w:p w14:paraId="377ADB6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7F40604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63B962E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5A14D25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71F915A9" w14:textId="77777777" w:rsidTr="00F614B7">
        <w:trPr>
          <w:trHeight w:val="278"/>
        </w:trPr>
        <w:tc>
          <w:tcPr>
            <w:tcW w:w="4104" w:type="dxa"/>
            <w:vAlign w:val="center"/>
          </w:tcPr>
          <w:p w14:paraId="0BCECD71"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pelvic inflammatory disease (PID)</w:t>
            </w:r>
          </w:p>
        </w:tc>
        <w:tc>
          <w:tcPr>
            <w:tcW w:w="1227" w:type="dxa"/>
          </w:tcPr>
          <w:p w14:paraId="17AC2B1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42FEC0D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4237DE2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7451676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58F75F6" w14:textId="77777777" w:rsidTr="00F614B7">
        <w:trPr>
          <w:trHeight w:val="298"/>
        </w:trPr>
        <w:tc>
          <w:tcPr>
            <w:tcW w:w="4104" w:type="dxa"/>
            <w:tcBorders>
              <w:bottom w:val="single" w:sz="2" w:space="0" w:color="auto"/>
            </w:tcBorders>
            <w:vAlign w:val="center"/>
          </w:tcPr>
          <w:p w14:paraId="7BC0F19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prostatitis</w:t>
            </w:r>
          </w:p>
        </w:tc>
        <w:tc>
          <w:tcPr>
            <w:tcW w:w="1227" w:type="dxa"/>
            <w:tcBorders>
              <w:bottom w:val="single" w:sz="2" w:space="0" w:color="auto"/>
            </w:tcBorders>
          </w:tcPr>
          <w:p w14:paraId="3401688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auto"/>
            </w:tcBorders>
          </w:tcPr>
          <w:p w14:paraId="3512E25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auto"/>
            </w:tcBorders>
          </w:tcPr>
          <w:p w14:paraId="30814C3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auto"/>
            </w:tcBorders>
          </w:tcPr>
          <w:p w14:paraId="6B56A1F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46485567" w14:textId="77777777" w:rsidTr="00F614B7">
        <w:trPr>
          <w:trHeight w:val="298"/>
        </w:trPr>
        <w:tc>
          <w:tcPr>
            <w:tcW w:w="4104" w:type="dxa"/>
            <w:tcBorders>
              <w:top w:val="single" w:sz="2" w:space="0" w:color="auto"/>
              <w:left w:val="single" w:sz="2" w:space="0" w:color="auto"/>
              <w:bottom w:val="single" w:sz="2" w:space="0" w:color="auto"/>
              <w:right w:val="single" w:sz="2" w:space="0" w:color="FFFFFF" w:themeColor="background1"/>
            </w:tcBorders>
            <w:vAlign w:val="center"/>
          </w:tcPr>
          <w:p w14:paraId="7609C96F" w14:textId="307308CA"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2.9: Non-Infectious and Dermatological Conditions</w:t>
            </w:r>
          </w:p>
        </w:tc>
        <w:tc>
          <w:tcPr>
            <w:tcW w:w="1227" w:type="dxa"/>
            <w:tcBorders>
              <w:top w:val="single" w:sz="2" w:space="0" w:color="auto"/>
              <w:left w:val="single" w:sz="2" w:space="0" w:color="FFFFFF" w:themeColor="background1"/>
              <w:bottom w:val="single" w:sz="2" w:space="0" w:color="auto"/>
              <w:right w:val="single" w:sz="2" w:space="0" w:color="FFFFFF" w:themeColor="background1"/>
            </w:tcBorders>
          </w:tcPr>
          <w:p w14:paraId="7081B13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top w:val="single" w:sz="2" w:space="0" w:color="auto"/>
              <w:left w:val="single" w:sz="2" w:space="0" w:color="FFFFFF" w:themeColor="background1"/>
              <w:bottom w:val="single" w:sz="2" w:space="0" w:color="auto"/>
              <w:right w:val="single" w:sz="2" w:space="0" w:color="FFFFFF" w:themeColor="background1"/>
            </w:tcBorders>
          </w:tcPr>
          <w:p w14:paraId="3A77870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top w:val="single" w:sz="2" w:space="0" w:color="auto"/>
              <w:left w:val="single" w:sz="2" w:space="0" w:color="FFFFFF" w:themeColor="background1"/>
              <w:bottom w:val="single" w:sz="2" w:space="0" w:color="auto"/>
              <w:right w:val="single" w:sz="2" w:space="0" w:color="FFFFFF" w:themeColor="background1"/>
            </w:tcBorders>
          </w:tcPr>
          <w:p w14:paraId="16841CD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top w:val="single" w:sz="2" w:space="0" w:color="auto"/>
              <w:left w:val="single" w:sz="2" w:space="0" w:color="FFFFFF" w:themeColor="background1"/>
              <w:bottom w:val="single" w:sz="2" w:space="0" w:color="auto"/>
              <w:right w:val="single" w:sz="2" w:space="0" w:color="auto"/>
            </w:tcBorders>
          </w:tcPr>
          <w:p w14:paraId="6553434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74EEFF9B" w14:textId="77777777" w:rsidTr="00F614B7">
        <w:trPr>
          <w:trHeight w:val="437"/>
        </w:trPr>
        <w:tc>
          <w:tcPr>
            <w:tcW w:w="4104" w:type="dxa"/>
            <w:tcBorders>
              <w:top w:val="single" w:sz="2" w:space="0" w:color="auto"/>
              <w:bottom w:val="single" w:sz="2" w:space="0" w:color="000000"/>
            </w:tcBorders>
            <w:vAlign w:val="center"/>
          </w:tcPr>
          <w:p w14:paraId="189A15AF"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and manage malignant and non-malignant conditions</w:t>
            </w:r>
          </w:p>
        </w:tc>
        <w:tc>
          <w:tcPr>
            <w:tcW w:w="1227" w:type="dxa"/>
            <w:tcBorders>
              <w:top w:val="single" w:sz="2" w:space="0" w:color="auto"/>
              <w:bottom w:val="single" w:sz="2" w:space="0" w:color="000000"/>
            </w:tcBorders>
          </w:tcPr>
          <w:p w14:paraId="6A3EA4F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top w:val="single" w:sz="2" w:space="0" w:color="auto"/>
              <w:bottom w:val="single" w:sz="2" w:space="0" w:color="000000"/>
            </w:tcBorders>
          </w:tcPr>
          <w:p w14:paraId="004BF2D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top w:val="single" w:sz="2" w:space="0" w:color="auto"/>
              <w:bottom w:val="single" w:sz="2" w:space="0" w:color="000000"/>
            </w:tcBorders>
          </w:tcPr>
          <w:p w14:paraId="7CAF409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top w:val="single" w:sz="2" w:space="0" w:color="auto"/>
              <w:bottom w:val="single" w:sz="2" w:space="0" w:color="000000"/>
            </w:tcBorders>
          </w:tcPr>
          <w:p w14:paraId="6A4F07E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D042232" w14:textId="77777777" w:rsidTr="00F614B7">
        <w:trPr>
          <w:trHeight w:val="437"/>
        </w:trPr>
        <w:tc>
          <w:tcPr>
            <w:tcW w:w="4104" w:type="dxa"/>
            <w:tcBorders>
              <w:top w:val="single" w:sz="2" w:space="0" w:color="000000"/>
              <w:bottom w:val="single" w:sz="2" w:space="0" w:color="000000"/>
              <w:right w:val="single" w:sz="2" w:space="0" w:color="FFFFFF" w:themeColor="background1"/>
            </w:tcBorders>
            <w:vAlign w:val="center"/>
          </w:tcPr>
          <w:p w14:paraId="36AACFBD" w14:textId="33B55B22"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DOMAIN 3:  PSYCHOSOCIAL ASPECTS OF SEXUAL HEALTH MEDICINE</w:t>
            </w:r>
          </w:p>
        </w:tc>
        <w:tc>
          <w:tcPr>
            <w:tcW w:w="1227" w:type="dxa"/>
            <w:tcBorders>
              <w:top w:val="single" w:sz="2" w:space="0" w:color="000000"/>
              <w:left w:val="single" w:sz="2" w:space="0" w:color="FFFFFF" w:themeColor="background1"/>
              <w:bottom w:val="single" w:sz="2" w:space="0" w:color="000000"/>
              <w:right w:val="single" w:sz="2" w:space="0" w:color="FFFFFF" w:themeColor="background1"/>
            </w:tcBorders>
          </w:tcPr>
          <w:p w14:paraId="51F0437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top w:val="single" w:sz="2" w:space="0" w:color="000000"/>
              <w:left w:val="single" w:sz="2" w:space="0" w:color="FFFFFF" w:themeColor="background1"/>
              <w:bottom w:val="single" w:sz="2" w:space="0" w:color="000000"/>
              <w:right w:val="single" w:sz="2" w:space="0" w:color="FFFFFF" w:themeColor="background1"/>
            </w:tcBorders>
          </w:tcPr>
          <w:p w14:paraId="0959738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top w:val="single" w:sz="2" w:space="0" w:color="000000"/>
              <w:left w:val="single" w:sz="2" w:space="0" w:color="FFFFFF" w:themeColor="background1"/>
              <w:bottom w:val="single" w:sz="2" w:space="0" w:color="000000"/>
              <w:right w:val="single" w:sz="2" w:space="0" w:color="FFFFFF" w:themeColor="background1"/>
            </w:tcBorders>
          </w:tcPr>
          <w:p w14:paraId="47B2554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top w:val="single" w:sz="2" w:space="0" w:color="000000"/>
              <w:left w:val="single" w:sz="2" w:space="0" w:color="FFFFFF" w:themeColor="background1"/>
              <w:bottom w:val="single" w:sz="2" w:space="0" w:color="000000"/>
            </w:tcBorders>
          </w:tcPr>
          <w:p w14:paraId="1F7DED4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5D2E68C" w14:textId="77777777" w:rsidTr="00F614B7">
        <w:trPr>
          <w:trHeight w:val="298"/>
        </w:trPr>
        <w:tc>
          <w:tcPr>
            <w:tcW w:w="4104" w:type="dxa"/>
            <w:tcBorders>
              <w:right w:val="single" w:sz="2" w:space="0" w:color="FFFFFF" w:themeColor="background1"/>
            </w:tcBorders>
            <w:vAlign w:val="center"/>
          </w:tcPr>
          <w:p w14:paraId="330C4416"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3.1: Sexuality</w:t>
            </w:r>
          </w:p>
        </w:tc>
        <w:tc>
          <w:tcPr>
            <w:tcW w:w="1227" w:type="dxa"/>
            <w:tcBorders>
              <w:left w:val="single" w:sz="2" w:space="0" w:color="FFFFFF" w:themeColor="background1"/>
              <w:right w:val="single" w:sz="2" w:space="0" w:color="FFFFFF" w:themeColor="background1"/>
            </w:tcBorders>
            <w:vAlign w:val="center"/>
          </w:tcPr>
          <w:p w14:paraId="2C60B0E0" w14:textId="32744F20"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p>
        </w:tc>
        <w:tc>
          <w:tcPr>
            <w:tcW w:w="1043" w:type="dxa"/>
            <w:tcBorders>
              <w:left w:val="single" w:sz="2" w:space="0" w:color="FFFFFF" w:themeColor="background1"/>
              <w:right w:val="single" w:sz="2" w:space="0" w:color="FFFFFF" w:themeColor="background1"/>
            </w:tcBorders>
          </w:tcPr>
          <w:p w14:paraId="146E4796"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c>
          <w:tcPr>
            <w:tcW w:w="1412" w:type="dxa"/>
            <w:tcBorders>
              <w:left w:val="single" w:sz="2" w:space="0" w:color="FFFFFF" w:themeColor="background1"/>
              <w:right w:val="single" w:sz="2" w:space="0" w:color="FFFFFF" w:themeColor="background1"/>
            </w:tcBorders>
          </w:tcPr>
          <w:p w14:paraId="65BD0089"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c>
          <w:tcPr>
            <w:tcW w:w="1228" w:type="dxa"/>
            <w:tcBorders>
              <w:left w:val="single" w:sz="2" w:space="0" w:color="FFFFFF" w:themeColor="background1"/>
            </w:tcBorders>
          </w:tcPr>
          <w:p w14:paraId="1ECA66B5"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r>
      <w:tr w:rsidR="007501E1" w14:paraId="0ED341FA" w14:textId="77777777" w:rsidTr="00F614B7">
        <w:trPr>
          <w:trHeight w:val="278"/>
        </w:trPr>
        <w:tc>
          <w:tcPr>
            <w:tcW w:w="4104" w:type="dxa"/>
            <w:vAlign w:val="center"/>
          </w:tcPr>
          <w:p w14:paraId="16E37CED"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Describe the theoretical basis of sexuality</w:t>
            </w:r>
          </w:p>
        </w:tc>
        <w:tc>
          <w:tcPr>
            <w:tcW w:w="1227" w:type="dxa"/>
          </w:tcPr>
          <w:p w14:paraId="303C517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150CF82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D98A81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54745AF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61E2DD44" w14:textId="77777777" w:rsidTr="00F614B7">
        <w:trPr>
          <w:trHeight w:val="278"/>
        </w:trPr>
        <w:tc>
          <w:tcPr>
            <w:tcW w:w="4104" w:type="dxa"/>
            <w:vAlign w:val="center"/>
          </w:tcPr>
          <w:p w14:paraId="5996D1C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Describe the variants of sexuality</w:t>
            </w:r>
          </w:p>
        </w:tc>
        <w:tc>
          <w:tcPr>
            <w:tcW w:w="1227" w:type="dxa"/>
          </w:tcPr>
          <w:p w14:paraId="09FAEE2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7A900C3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03325C7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3E125F6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2D413A08" w14:textId="77777777" w:rsidTr="00F614B7">
        <w:trPr>
          <w:trHeight w:val="298"/>
        </w:trPr>
        <w:tc>
          <w:tcPr>
            <w:tcW w:w="4104" w:type="dxa"/>
            <w:vAlign w:val="center"/>
          </w:tcPr>
          <w:p w14:paraId="574F6B4B"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Outline how sexuality varies through life</w:t>
            </w:r>
          </w:p>
        </w:tc>
        <w:tc>
          <w:tcPr>
            <w:tcW w:w="1227" w:type="dxa"/>
          </w:tcPr>
          <w:p w14:paraId="1CD4042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0CB0E35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790EC59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6BF202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EFD810D" w14:textId="77777777" w:rsidTr="00F614B7">
        <w:trPr>
          <w:trHeight w:val="298"/>
        </w:trPr>
        <w:tc>
          <w:tcPr>
            <w:tcW w:w="4104" w:type="dxa"/>
            <w:tcBorders>
              <w:right w:val="single" w:sz="2" w:space="0" w:color="FFFFFF" w:themeColor="background1"/>
            </w:tcBorders>
            <w:vAlign w:val="center"/>
          </w:tcPr>
          <w:p w14:paraId="36FB820F" w14:textId="229D0BF2"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3.2: Sexual Function/Dysfunction</w:t>
            </w:r>
          </w:p>
        </w:tc>
        <w:tc>
          <w:tcPr>
            <w:tcW w:w="1227" w:type="dxa"/>
            <w:tcBorders>
              <w:left w:val="single" w:sz="2" w:space="0" w:color="FFFFFF" w:themeColor="background1"/>
              <w:right w:val="single" w:sz="2" w:space="0" w:color="FFFFFF" w:themeColor="background1"/>
            </w:tcBorders>
          </w:tcPr>
          <w:p w14:paraId="69B9447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0383E92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7694AD9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40D5A3E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15640AD" w14:textId="77777777" w:rsidTr="00F614B7">
        <w:trPr>
          <w:trHeight w:val="298"/>
        </w:trPr>
        <w:tc>
          <w:tcPr>
            <w:tcW w:w="4104" w:type="dxa"/>
            <w:tcBorders>
              <w:bottom w:val="single" w:sz="2" w:space="0" w:color="000000"/>
            </w:tcBorders>
            <w:vAlign w:val="center"/>
          </w:tcPr>
          <w:p w14:paraId="50C724C1"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Assess sexual function issues</w:t>
            </w:r>
          </w:p>
        </w:tc>
        <w:tc>
          <w:tcPr>
            <w:tcW w:w="1227" w:type="dxa"/>
            <w:tcBorders>
              <w:bottom w:val="single" w:sz="2" w:space="0" w:color="000000"/>
            </w:tcBorders>
          </w:tcPr>
          <w:p w14:paraId="02D9DA4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7A96B6C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02EF790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3802752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6890EBF5" w14:textId="77777777" w:rsidTr="00F614B7">
        <w:trPr>
          <w:trHeight w:val="298"/>
        </w:trPr>
        <w:tc>
          <w:tcPr>
            <w:tcW w:w="4104" w:type="dxa"/>
            <w:tcBorders>
              <w:bottom w:val="single" w:sz="2" w:space="0" w:color="000000"/>
              <w:right w:val="single" w:sz="2" w:space="0" w:color="FFFFFF" w:themeColor="background1"/>
            </w:tcBorders>
            <w:vAlign w:val="center"/>
          </w:tcPr>
          <w:p w14:paraId="14CB06E5" w14:textId="15B60A0E"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3.3: Reproductive Health</w:t>
            </w:r>
          </w:p>
        </w:tc>
        <w:tc>
          <w:tcPr>
            <w:tcW w:w="1227" w:type="dxa"/>
            <w:tcBorders>
              <w:left w:val="single" w:sz="2" w:space="0" w:color="FFFFFF" w:themeColor="background1"/>
              <w:bottom w:val="single" w:sz="2" w:space="0" w:color="000000"/>
              <w:right w:val="single" w:sz="2" w:space="0" w:color="FFFFFF" w:themeColor="background1"/>
            </w:tcBorders>
          </w:tcPr>
          <w:p w14:paraId="4BD4437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bottom w:val="single" w:sz="2" w:space="0" w:color="000000"/>
              <w:right w:val="single" w:sz="2" w:space="0" w:color="FFFFFF" w:themeColor="background1"/>
            </w:tcBorders>
          </w:tcPr>
          <w:p w14:paraId="292C7ED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bottom w:val="single" w:sz="2" w:space="0" w:color="000000"/>
              <w:right w:val="single" w:sz="2" w:space="0" w:color="FFFFFF" w:themeColor="background1"/>
            </w:tcBorders>
          </w:tcPr>
          <w:p w14:paraId="2B0A3BA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bottom w:val="single" w:sz="2" w:space="0" w:color="000000"/>
            </w:tcBorders>
          </w:tcPr>
          <w:p w14:paraId="429EFE5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06403A6E" w14:textId="77777777" w:rsidTr="00F614B7">
        <w:trPr>
          <w:trHeight w:val="298"/>
        </w:trPr>
        <w:tc>
          <w:tcPr>
            <w:tcW w:w="4104" w:type="dxa"/>
            <w:tcBorders>
              <w:bottom w:val="single" w:sz="2" w:space="0" w:color="auto"/>
              <w:right w:val="single" w:sz="2" w:space="0" w:color="auto"/>
            </w:tcBorders>
            <w:vAlign w:val="center"/>
          </w:tcPr>
          <w:p w14:paraId="6B7EA4D6" w14:textId="1CE0D3F2"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sz w:val="16"/>
                <w:szCs w:val="16"/>
                <w:lang w:val="en-US" w:eastAsia="en-AU"/>
              </w:rPr>
              <w:t>Undertake management of a range of reproductive health issues</w:t>
            </w:r>
          </w:p>
        </w:tc>
        <w:tc>
          <w:tcPr>
            <w:tcW w:w="1227" w:type="dxa"/>
            <w:tcBorders>
              <w:left w:val="single" w:sz="2" w:space="0" w:color="auto"/>
              <w:bottom w:val="single" w:sz="2" w:space="0" w:color="auto"/>
              <w:right w:val="single" w:sz="2" w:space="0" w:color="auto"/>
            </w:tcBorders>
          </w:tcPr>
          <w:p w14:paraId="74868B31" w14:textId="782FB491"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left w:val="single" w:sz="2" w:space="0" w:color="auto"/>
              <w:bottom w:val="single" w:sz="2" w:space="0" w:color="auto"/>
              <w:right w:val="single" w:sz="2" w:space="0" w:color="auto"/>
            </w:tcBorders>
          </w:tcPr>
          <w:p w14:paraId="6896D4C1" w14:textId="592F0DB8"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left w:val="single" w:sz="2" w:space="0" w:color="auto"/>
              <w:bottom w:val="single" w:sz="2" w:space="0" w:color="auto"/>
              <w:right w:val="single" w:sz="2" w:space="0" w:color="auto"/>
            </w:tcBorders>
          </w:tcPr>
          <w:p w14:paraId="7D6CD6FD" w14:textId="7D2E2D06"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left w:val="single" w:sz="2" w:space="0" w:color="auto"/>
              <w:bottom w:val="single" w:sz="2" w:space="0" w:color="auto"/>
            </w:tcBorders>
          </w:tcPr>
          <w:p w14:paraId="538090CF" w14:textId="6F822F92"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6C9CCB5" w14:textId="77777777" w:rsidTr="00F614B7">
        <w:trPr>
          <w:trHeight w:val="298"/>
        </w:trPr>
        <w:tc>
          <w:tcPr>
            <w:tcW w:w="4104" w:type="dxa"/>
            <w:tcBorders>
              <w:top w:val="single" w:sz="2" w:space="0" w:color="auto"/>
              <w:bottom w:val="single" w:sz="2" w:space="0" w:color="auto"/>
              <w:right w:val="single" w:sz="2" w:space="0" w:color="FFFFFF" w:themeColor="background1"/>
            </w:tcBorders>
            <w:vAlign w:val="center"/>
          </w:tcPr>
          <w:p w14:paraId="013CC29C" w14:textId="30C66174"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3.4: Sexual Assault</w:t>
            </w:r>
          </w:p>
        </w:tc>
        <w:tc>
          <w:tcPr>
            <w:tcW w:w="1227" w:type="dxa"/>
            <w:tcBorders>
              <w:top w:val="single" w:sz="2" w:space="0" w:color="auto"/>
              <w:left w:val="single" w:sz="2" w:space="0" w:color="FFFFFF" w:themeColor="background1"/>
              <w:bottom w:val="single" w:sz="2" w:space="0" w:color="auto"/>
              <w:right w:val="single" w:sz="2" w:space="0" w:color="FFFFFF" w:themeColor="background1"/>
            </w:tcBorders>
          </w:tcPr>
          <w:p w14:paraId="13028D1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top w:val="single" w:sz="2" w:space="0" w:color="auto"/>
              <w:left w:val="single" w:sz="2" w:space="0" w:color="FFFFFF" w:themeColor="background1"/>
              <w:bottom w:val="single" w:sz="2" w:space="0" w:color="auto"/>
              <w:right w:val="single" w:sz="2" w:space="0" w:color="FFFFFF" w:themeColor="background1"/>
            </w:tcBorders>
          </w:tcPr>
          <w:p w14:paraId="63EBDB4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top w:val="single" w:sz="2" w:space="0" w:color="auto"/>
              <w:left w:val="single" w:sz="2" w:space="0" w:color="FFFFFF" w:themeColor="background1"/>
              <w:bottom w:val="single" w:sz="2" w:space="0" w:color="auto"/>
              <w:right w:val="single" w:sz="2" w:space="0" w:color="FFFFFF" w:themeColor="background1"/>
            </w:tcBorders>
          </w:tcPr>
          <w:p w14:paraId="6A4877B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top w:val="single" w:sz="2" w:space="0" w:color="auto"/>
              <w:left w:val="single" w:sz="2" w:space="0" w:color="FFFFFF" w:themeColor="background1"/>
              <w:bottom w:val="single" w:sz="2" w:space="0" w:color="auto"/>
            </w:tcBorders>
          </w:tcPr>
          <w:p w14:paraId="79268BB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62656E15" w14:textId="77777777" w:rsidTr="00F614B7">
        <w:trPr>
          <w:trHeight w:val="418"/>
        </w:trPr>
        <w:tc>
          <w:tcPr>
            <w:tcW w:w="4104" w:type="dxa"/>
            <w:vAlign w:val="center"/>
          </w:tcPr>
          <w:p w14:paraId="293DA7DA"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Undertake management of an adult who has been sexually assaulted</w:t>
            </w:r>
          </w:p>
        </w:tc>
        <w:tc>
          <w:tcPr>
            <w:tcW w:w="1227" w:type="dxa"/>
          </w:tcPr>
          <w:p w14:paraId="3D5D2E0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ABAFE6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2BFBDE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0E4BE4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4482DDD2" w14:textId="77777777" w:rsidTr="00F614B7">
        <w:trPr>
          <w:trHeight w:val="437"/>
        </w:trPr>
        <w:tc>
          <w:tcPr>
            <w:tcW w:w="4104" w:type="dxa"/>
            <w:tcBorders>
              <w:bottom w:val="single" w:sz="2" w:space="0" w:color="000000"/>
            </w:tcBorders>
            <w:vAlign w:val="center"/>
          </w:tcPr>
          <w:p w14:paraId="683CFADD"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Undertake management of a child who has been sexually assaulted</w:t>
            </w:r>
          </w:p>
        </w:tc>
        <w:tc>
          <w:tcPr>
            <w:tcW w:w="1227" w:type="dxa"/>
            <w:tcBorders>
              <w:bottom w:val="single" w:sz="2" w:space="0" w:color="000000"/>
            </w:tcBorders>
          </w:tcPr>
          <w:p w14:paraId="0670D06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30F8746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46979ED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41B47F4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91F3BD0" w14:textId="77777777" w:rsidTr="00F614B7">
        <w:trPr>
          <w:trHeight w:val="437"/>
        </w:trPr>
        <w:tc>
          <w:tcPr>
            <w:tcW w:w="4104" w:type="dxa"/>
            <w:tcBorders>
              <w:bottom w:val="single" w:sz="2" w:space="0" w:color="000000"/>
              <w:right w:val="single" w:sz="2" w:space="0" w:color="FFFFFF" w:themeColor="background1"/>
            </w:tcBorders>
            <w:vAlign w:val="center"/>
          </w:tcPr>
          <w:p w14:paraId="5411FE28" w14:textId="3534B93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DOMAIN 4: COMMUNITY PRACTICE</w:t>
            </w:r>
          </w:p>
        </w:tc>
        <w:tc>
          <w:tcPr>
            <w:tcW w:w="1227" w:type="dxa"/>
            <w:tcBorders>
              <w:left w:val="single" w:sz="2" w:space="0" w:color="FFFFFF" w:themeColor="background1"/>
              <w:bottom w:val="single" w:sz="2" w:space="0" w:color="000000"/>
              <w:right w:val="single" w:sz="2" w:space="0" w:color="FFFFFF" w:themeColor="background1"/>
            </w:tcBorders>
          </w:tcPr>
          <w:p w14:paraId="5150305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bottom w:val="single" w:sz="2" w:space="0" w:color="000000"/>
              <w:right w:val="single" w:sz="2" w:space="0" w:color="FFFFFF" w:themeColor="background1"/>
            </w:tcBorders>
          </w:tcPr>
          <w:p w14:paraId="0C5BD52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bottom w:val="single" w:sz="2" w:space="0" w:color="000000"/>
              <w:right w:val="single" w:sz="2" w:space="0" w:color="FFFFFF" w:themeColor="background1"/>
            </w:tcBorders>
          </w:tcPr>
          <w:p w14:paraId="3A0CCE3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bottom w:val="single" w:sz="2" w:space="0" w:color="000000"/>
            </w:tcBorders>
          </w:tcPr>
          <w:p w14:paraId="18503C1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35FA5FB2" w14:textId="77777777" w:rsidTr="00F614B7">
        <w:trPr>
          <w:trHeight w:val="298"/>
        </w:trPr>
        <w:tc>
          <w:tcPr>
            <w:tcW w:w="4104" w:type="dxa"/>
            <w:tcBorders>
              <w:right w:val="single" w:sz="2" w:space="0" w:color="FFFFFF" w:themeColor="background1"/>
            </w:tcBorders>
            <w:vAlign w:val="center"/>
          </w:tcPr>
          <w:p w14:paraId="64F98820"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4.1: Public Health</w:t>
            </w:r>
          </w:p>
        </w:tc>
        <w:tc>
          <w:tcPr>
            <w:tcW w:w="1227" w:type="dxa"/>
            <w:tcBorders>
              <w:left w:val="single" w:sz="2" w:space="0" w:color="FFFFFF" w:themeColor="background1"/>
              <w:right w:val="single" w:sz="2" w:space="0" w:color="FFFFFF" w:themeColor="background1"/>
            </w:tcBorders>
          </w:tcPr>
          <w:p w14:paraId="53E82225"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c>
          <w:tcPr>
            <w:tcW w:w="1043" w:type="dxa"/>
            <w:tcBorders>
              <w:left w:val="single" w:sz="2" w:space="0" w:color="FFFFFF" w:themeColor="background1"/>
              <w:right w:val="single" w:sz="2" w:space="0" w:color="FFFFFF" w:themeColor="background1"/>
            </w:tcBorders>
          </w:tcPr>
          <w:p w14:paraId="0B72BC36"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c>
          <w:tcPr>
            <w:tcW w:w="1412" w:type="dxa"/>
            <w:tcBorders>
              <w:left w:val="single" w:sz="2" w:space="0" w:color="FFFFFF" w:themeColor="background1"/>
              <w:right w:val="single" w:sz="2" w:space="0" w:color="FFFFFF" w:themeColor="background1"/>
            </w:tcBorders>
          </w:tcPr>
          <w:p w14:paraId="4BAB2421"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c>
          <w:tcPr>
            <w:tcW w:w="1228" w:type="dxa"/>
            <w:tcBorders>
              <w:left w:val="single" w:sz="2" w:space="0" w:color="FFFFFF" w:themeColor="background1"/>
            </w:tcBorders>
          </w:tcPr>
          <w:p w14:paraId="7F95EEE2" w14:textId="77777777" w:rsidR="007501E1" w:rsidRPr="00017F71" w:rsidRDefault="007501E1">
            <w:pPr>
              <w:widowControl w:val="0"/>
              <w:autoSpaceDE w:val="0"/>
              <w:autoSpaceDN w:val="0"/>
              <w:adjustRightInd w:val="0"/>
              <w:spacing w:before="0" w:after="0" w:line="240" w:lineRule="auto"/>
              <w:jc w:val="right"/>
              <w:rPr>
                <w:rFonts w:ascii="Calibri" w:hAnsi="Calibri" w:cs="Calibri"/>
                <w:szCs w:val="22"/>
                <w:lang w:val="en-US" w:eastAsia="en-AU"/>
              </w:rPr>
            </w:pPr>
          </w:p>
        </w:tc>
      </w:tr>
      <w:tr w:rsidR="007501E1" w14:paraId="154C4803" w14:textId="77777777" w:rsidTr="00F614B7">
        <w:trPr>
          <w:trHeight w:val="614"/>
        </w:trPr>
        <w:tc>
          <w:tcPr>
            <w:tcW w:w="4104" w:type="dxa"/>
            <w:vAlign w:val="center"/>
          </w:tcPr>
          <w:p w14:paraId="6135F26C"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lastRenderedPageBreak/>
              <w:t>Integrate evidence related to questions of public health, including contact tracing, diagnosis, therapy, prognosis, risk, and cause into clinical decision-making</w:t>
            </w:r>
          </w:p>
        </w:tc>
        <w:tc>
          <w:tcPr>
            <w:tcW w:w="1227" w:type="dxa"/>
          </w:tcPr>
          <w:p w14:paraId="6DA2135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7DCDD9D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D2AB4B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A64BA4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8F272FF" w14:textId="77777777" w:rsidTr="00F614B7">
        <w:trPr>
          <w:trHeight w:val="614"/>
        </w:trPr>
        <w:tc>
          <w:tcPr>
            <w:tcW w:w="4104" w:type="dxa"/>
            <w:vAlign w:val="center"/>
          </w:tcPr>
          <w:p w14:paraId="2A73505E"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Balance the needs of the population with those of the individual in the management of infectious diseases, such as STIs and BBVs</w:t>
            </w:r>
          </w:p>
        </w:tc>
        <w:tc>
          <w:tcPr>
            <w:tcW w:w="1227" w:type="dxa"/>
          </w:tcPr>
          <w:p w14:paraId="24DEDF3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1527371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1C79914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7EC7FAE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16BE5080" w14:textId="77777777" w:rsidTr="00F614B7">
        <w:trPr>
          <w:trHeight w:val="418"/>
        </w:trPr>
        <w:tc>
          <w:tcPr>
            <w:tcW w:w="4104" w:type="dxa"/>
            <w:vAlign w:val="center"/>
          </w:tcPr>
          <w:p w14:paraId="68328843"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Apply public health principles to prevention of STIs and BBVs</w:t>
            </w:r>
          </w:p>
        </w:tc>
        <w:tc>
          <w:tcPr>
            <w:tcW w:w="1227" w:type="dxa"/>
          </w:tcPr>
          <w:p w14:paraId="75A2543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6F84E48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840955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0AF0E2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0DB6FA16" w14:textId="77777777" w:rsidTr="00F614B7">
        <w:trPr>
          <w:trHeight w:val="614"/>
        </w:trPr>
        <w:tc>
          <w:tcPr>
            <w:tcW w:w="4104" w:type="dxa"/>
            <w:vAlign w:val="center"/>
          </w:tcPr>
          <w:p w14:paraId="1E22F4AD"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Develop and implement health promotion activities in relation to sexual health, particularly in relation to the containment of STIs and BBVs</w:t>
            </w:r>
          </w:p>
        </w:tc>
        <w:tc>
          <w:tcPr>
            <w:tcW w:w="1227" w:type="dxa"/>
          </w:tcPr>
          <w:p w14:paraId="3E1150D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3957003A"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9B08CC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6515BB1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2E5A29E8" w14:textId="77777777" w:rsidTr="00F614B7">
        <w:trPr>
          <w:trHeight w:val="437"/>
        </w:trPr>
        <w:tc>
          <w:tcPr>
            <w:tcW w:w="4104" w:type="dxa"/>
            <w:tcBorders>
              <w:bottom w:val="single" w:sz="2" w:space="0" w:color="000000"/>
            </w:tcBorders>
            <w:vAlign w:val="center"/>
          </w:tcPr>
          <w:p w14:paraId="3FA4CF38"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Describe the relationship between public health and individual rights</w:t>
            </w:r>
          </w:p>
        </w:tc>
        <w:tc>
          <w:tcPr>
            <w:tcW w:w="1227" w:type="dxa"/>
            <w:tcBorders>
              <w:bottom w:val="single" w:sz="2" w:space="0" w:color="000000"/>
            </w:tcBorders>
          </w:tcPr>
          <w:p w14:paraId="30AE7E2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312A336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3B01ACD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4A515C9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3FB1EE0" w14:textId="77777777" w:rsidTr="00F614B7">
        <w:trPr>
          <w:trHeight w:val="437"/>
        </w:trPr>
        <w:tc>
          <w:tcPr>
            <w:tcW w:w="4104" w:type="dxa"/>
            <w:tcBorders>
              <w:right w:val="single" w:sz="2" w:space="0" w:color="FFFFFF" w:themeColor="background1"/>
            </w:tcBorders>
            <w:vAlign w:val="center"/>
          </w:tcPr>
          <w:p w14:paraId="4503C227" w14:textId="3DCC0A69"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4.2: Priority Populations</w:t>
            </w:r>
          </w:p>
        </w:tc>
        <w:tc>
          <w:tcPr>
            <w:tcW w:w="1227" w:type="dxa"/>
            <w:tcBorders>
              <w:left w:val="single" w:sz="2" w:space="0" w:color="FFFFFF" w:themeColor="background1"/>
              <w:right w:val="single" w:sz="2" w:space="0" w:color="FFFFFF" w:themeColor="background1"/>
            </w:tcBorders>
          </w:tcPr>
          <w:p w14:paraId="3C3C27A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6ACA61E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711A96C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24177BF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43D7F3D1" w14:textId="77777777" w:rsidTr="00F614B7">
        <w:trPr>
          <w:trHeight w:val="437"/>
        </w:trPr>
        <w:tc>
          <w:tcPr>
            <w:tcW w:w="4104" w:type="dxa"/>
            <w:tcBorders>
              <w:bottom w:val="single" w:sz="2" w:space="0" w:color="000000"/>
            </w:tcBorders>
            <w:vAlign w:val="center"/>
          </w:tcPr>
          <w:p w14:paraId="3C5DE602"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Describe the special needs and epidemiology of priority populations</w:t>
            </w:r>
          </w:p>
        </w:tc>
        <w:tc>
          <w:tcPr>
            <w:tcW w:w="1227" w:type="dxa"/>
            <w:tcBorders>
              <w:bottom w:val="single" w:sz="2" w:space="0" w:color="000000"/>
            </w:tcBorders>
          </w:tcPr>
          <w:p w14:paraId="794DAED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343A7A2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426DF02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0EA3FAC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66D6BC83" w14:textId="77777777" w:rsidTr="00F614B7">
        <w:trPr>
          <w:trHeight w:val="437"/>
        </w:trPr>
        <w:tc>
          <w:tcPr>
            <w:tcW w:w="4104" w:type="dxa"/>
            <w:tcBorders>
              <w:bottom w:val="single" w:sz="2" w:space="0" w:color="000000"/>
              <w:right w:val="single" w:sz="2" w:space="0" w:color="FFFFFF" w:themeColor="background1"/>
            </w:tcBorders>
            <w:vAlign w:val="center"/>
          </w:tcPr>
          <w:p w14:paraId="0EE75A98" w14:textId="2E4B145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Theme 4.3: Law and Ethics</w:t>
            </w:r>
          </w:p>
        </w:tc>
        <w:tc>
          <w:tcPr>
            <w:tcW w:w="1227" w:type="dxa"/>
            <w:tcBorders>
              <w:left w:val="single" w:sz="2" w:space="0" w:color="FFFFFF" w:themeColor="background1"/>
              <w:bottom w:val="single" w:sz="2" w:space="0" w:color="000000"/>
              <w:right w:val="single" w:sz="2" w:space="0" w:color="FFFFFF" w:themeColor="background1"/>
            </w:tcBorders>
          </w:tcPr>
          <w:p w14:paraId="5C8B442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bottom w:val="single" w:sz="2" w:space="0" w:color="000000"/>
              <w:right w:val="single" w:sz="2" w:space="0" w:color="FFFFFF" w:themeColor="background1"/>
            </w:tcBorders>
          </w:tcPr>
          <w:p w14:paraId="65C231D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bottom w:val="single" w:sz="2" w:space="0" w:color="000000"/>
              <w:right w:val="single" w:sz="2" w:space="0" w:color="FFFFFF" w:themeColor="background1"/>
            </w:tcBorders>
          </w:tcPr>
          <w:p w14:paraId="65FF866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bottom w:val="single" w:sz="2" w:space="0" w:color="000000"/>
            </w:tcBorders>
          </w:tcPr>
          <w:p w14:paraId="16D43A8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7D29FE21" w14:textId="77777777" w:rsidTr="00F614B7">
        <w:trPr>
          <w:trHeight w:val="437"/>
        </w:trPr>
        <w:tc>
          <w:tcPr>
            <w:tcW w:w="4104" w:type="dxa"/>
            <w:tcBorders>
              <w:bottom w:val="single" w:sz="2" w:space="0" w:color="auto"/>
              <w:right w:val="single" w:sz="2" w:space="0" w:color="auto"/>
            </w:tcBorders>
            <w:vAlign w:val="center"/>
          </w:tcPr>
          <w:p w14:paraId="24D55054" w14:textId="019AB59D"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sz w:val="16"/>
                <w:szCs w:val="16"/>
                <w:lang w:val="en-US" w:eastAsia="en-AU"/>
              </w:rPr>
              <w:t>Resolve complex ethical and/or legal issues concerning patient management</w:t>
            </w:r>
          </w:p>
        </w:tc>
        <w:tc>
          <w:tcPr>
            <w:tcW w:w="1227" w:type="dxa"/>
            <w:tcBorders>
              <w:left w:val="single" w:sz="2" w:space="0" w:color="auto"/>
              <w:bottom w:val="single" w:sz="2" w:space="0" w:color="auto"/>
              <w:right w:val="single" w:sz="2" w:space="0" w:color="auto"/>
            </w:tcBorders>
          </w:tcPr>
          <w:p w14:paraId="2677681E" w14:textId="2735F1EC"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left w:val="single" w:sz="2" w:space="0" w:color="auto"/>
              <w:bottom w:val="single" w:sz="2" w:space="0" w:color="auto"/>
              <w:right w:val="single" w:sz="2" w:space="0" w:color="auto"/>
            </w:tcBorders>
          </w:tcPr>
          <w:p w14:paraId="4DE20E91" w14:textId="5B8EB2D1"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left w:val="single" w:sz="2" w:space="0" w:color="auto"/>
              <w:bottom w:val="single" w:sz="2" w:space="0" w:color="auto"/>
              <w:right w:val="single" w:sz="2" w:space="0" w:color="auto"/>
            </w:tcBorders>
          </w:tcPr>
          <w:p w14:paraId="7455B3B1" w14:textId="0C6ED73B"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left w:val="single" w:sz="2" w:space="0" w:color="auto"/>
              <w:bottom w:val="single" w:sz="2" w:space="0" w:color="auto"/>
            </w:tcBorders>
          </w:tcPr>
          <w:p w14:paraId="16DB7BD3" w14:textId="13439F65"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5E9266D" w14:textId="77777777" w:rsidTr="00F614B7">
        <w:trPr>
          <w:trHeight w:val="437"/>
        </w:trPr>
        <w:tc>
          <w:tcPr>
            <w:tcW w:w="4104" w:type="dxa"/>
            <w:tcBorders>
              <w:top w:val="single" w:sz="2" w:space="0" w:color="auto"/>
              <w:left w:val="single" w:sz="2" w:space="0" w:color="auto"/>
              <w:bottom w:val="single" w:sz="2" w:space="0" w:color="auto"/>
              <w:right w:val="single" w:sz="2" w:space="0" w:color="FFFFFF" w:themeColor="background1"/>
            </w:tcBorders>
            <w:vAlign w:val="center"/>
          </w:tcPr>
          <w:p w14:paraId="0E3B3E91" w14:textId="2C40B876"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DOMAIN  5: PROFESSIONAL QUALITIES SPECIFIC TO SEXUAL HEALTH</w:t>
            </w:r>
          </w:p>
        </w:tc>
        <w:tc>
          <w:tcPr>
            <w:tcW w:w="1227" w:type="dxa"/>
            <w:tcBorders>
              <w:top w:val="single" w:sz="2" w:space="0" w:color="auto"/>
              <w:left w:val="single" w:sz="2" w:space="0" w:color="FFFFFF" w:themeColor="background1"/>
              <w:bottom w:val="single" w:sz="2" w:space="0" w:color="auto"/>
              <w:right w:val="single" w:sz="2" w:space="0" w:color="FFFFFF" w:themeColor="background1"/>
            </w:tcBorders>
          </w:tcPr>
          <w:p w14:paraId="11DBEC3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top w:val="single" w:sz="2" w:space="0" w:color="auto"/>
              <w:left w:val="single" w:sz="2" w:space="0" w:color="FFFFFF" w:themeColor="background1"/>
              <w:bottom w:val="single" w:sz="2" w:space="0" w:color="auto"/>
              <w:right w:val="single" w:sz="2" w:space="0" w:color="FFFFFF" w:themeColor="background1"/>
            </w:tcBorders>
          </w:tcPr>
          <w:p w14:paraId="3D019B8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top w:val="single" w:sz="2" w:space="0" w:color="auto"/>
              <w:left w:val="single" w:sz="2" w:space="0" w:color="FFFFFF" w:themeColor="background1"/>
              <w:bottom w:val="single" w:sz="2" w:space="0" w:color="auto"/>
              <w:right w:val="single" w:sz="2" w:space="0" w:color="FFFFFF" w:themeColor="background1"/>
            </w:tcBorders>
          </w:tcPr>
          <w:p w14:paraId="01B93217"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top w:val="single" w:sz="2" w:space="0" w:color="auto"/>
              <w:left w:val="single" w:sz="2" w:space="0" w:color="FFFFFF" w:themeColor="background1"/>
              <w:bottom w:val="single" w:sz="2" w:space="0" w:color="auto"/>
            </w:tcBorders>
          </w:tcPr>
          <w:p w14:paraId="38C342D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0747657E" w14:textId="77777777" w:rsidTr="00F614B7">
        <w:trPr>
          <w:trHeight w:val="437"/>
        </w:trPr>
        <w:tc>
          <w:tcPr>
            <w:tcW w:w="4104" w:type="dxa"/>
            <w:tcBorders>
              <w:top w:val="single" w:sz="2" w:space="0" w:color="auto"/>
              <w:left w:val="single" w:sz="2" w:space="0" w:color="auto"/>
              <w:bottom w:val="single" w:sz="2" w:space="0" w:color="auto"/>
              <w:right w:val="single" w:sz="2" w:space="0" w:color="FFFFFF" w:themeColor="background1"/>
            </w:tcBorders>
            <w:vAlign w:val="center"/>
          </w:tcPr>
          <w:p w14:paraId="4049BB1E" w14:textId="2AA6DAE4" w:rsidR="007501E1" w:rsidRPr="00017F71" w:rsidRDefault="007501E1" w:rsidP="00017F71">
            <w:pPr>
              <w:widowControl w:val="0"/>
              <w:autoSpaceDE w:val="0"/>
              <w:autoSpaceDN w:val="0"/>
              <w:adjustRightInd w:val="0"/>
              <w:spacing w:before="0" w:after="0" w:line="240" w:lineRule="auto"/>
              <w:rPr>
                <w:rFonts w:ascii="Arial Narrow" w:hAnsi="Arial Narrow" w:cs="Arial Narrow"/>
                <w:b/>
                <w:bCs/>
                <w:sz w:val="18"/>
                <w:szCs w:val="18"/>
                <w:lang w:val="en-US" w:eastAsia="en-AU"/>
              </w:rPr>
            </w:pPr>
            <w:r w:rsidRPr="00017F71">
              <w:rPr>
                <w:rFonts w:ascii="Arial Narrow" w:hAnsi="Arial Narrow" w:cs="Arial Narrow"/>
                <w:b/>
                <w:bCs/>
                <w:sz w:val="18"/>
                <w:szCs w:val="18"/>
                <w:lang w:val="en-US" w:eastAsia="en-AU"/>
              </w:rPr>
              <w:t>Theme 5.1: Professional Qualities Specific to Sexual Health Medicine</w:t>
            </w:r>
          </w:p>
        </w:tc>
        <w:tc>
          <w:tcPr>
            <w:tcW w:w="1227" w:type="dxa"/>
            <w:tcBorders>
              <w:top w:val="single" w:sz="2" w:space="0" w:color="auto"/>
              <w:left w:val="single" w:sz="2" w:space="0" w:color="FFFFFF" w:themeColor="background1"/>
              <w:bottom w:val="single" w:sz="2" w:space="0" w:color="auto"/>
              <w:right w:val="single" w:sz="2" w:space="0" w:color="FFFFFF" w:themeColor="background1"/>
            </w:tcBorders>
          </w:tcPr>
          <w:p w14:paraId="679C4A4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top w:val="single" w:sz="2" w:space="0" w:color="auto"/>
              <w:left w:val="single" w:sz="2" w:space="0" w:color="FFFFFF" w:themeColor="background1"/>
              <w:bottom w:val="single" w:sz="2" w:space="0" w:color="auto"/>
              <w:right w:val="single" w:sz="2" w:space="0" w:color="FFFFFF" w:themeColor="background1"/>
            </w:tcBorders>
          </w:tcPr>
          <w:p w14:paraId="71DAAAE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top w:val="single" w:sz="2" w:space="0" w:color="auto"/>
              <w:left w:val="single" w:sz="2" w:space="0" w:color="FFFFFF" w:themeColor="background1"/>
              <w:bottom w:val="single" w:sz="2" w:space="0" w:color="auto"/>
              <w:right w:val="single" w:sz="2" w:space="0" w:color="FFFFFF" w:themeColor="background1"/>
            </w:tcBorders>
          </w:tcPr>
          <w:p w14:paraId="6CDC798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top w:val="single" w:sz="2" w:space="0" w:color="auto"/>
              <w:left w:val="single" w:sz="2" w:space="0" w:color="FFFFFF" w:themeColor="background1"/>
              <w:bottom w:val="single" w:sz="2" w:space="0" w:color="auto"/>
            </w:tcBorders>
          </w:tcPr>
          <w:p w14:paraId="612FF14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2E67EAEC" w14:textId="77777777" w:rsidTr="00F614B7">
        <w:trPr>
          <w:trHeight w:val="418"/>
        </w:trPr>
        <w:tc>
          <w:tcPr>
            <w:tcW w:w="4104" w:type="dxa"/>
            <w:vAlign w:val="center"/>
          </w:tcPr>
          <w:p w14:paraId="7470A291"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Seek, obtain, critically appraise, and apply information from a range of evidence sources</w:t>
            </w:r>
          </w:p>
        </w:tc>
        <w:tc>
          <w:tcPr>
            <w:tcW w:w="1227" w:type="dxa"/>
          </w:tcPr>
          <w:p w14:paraId="20199D4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11B33F0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484C22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14196C99"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565DAB49" w14:textId="77777777" w:rsidTr="00F614B7">
        <w:trPr>
          <w:trHeight w:val="278"/>
        </w:trPr>
        <w:tc>
          <w:tcPr>
            <w:tcW w:w="4104" w:type="dxa"/>
            <w:vAlign w:val="center"/>
          </w:tcPr>
          <w:p w14:paraId="63AC2232"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Outline principles of research</w:t>
            </w:r>
          </w:p>
        </w:tc>
        <w:tc>
          <w:tcPr>
            <w:tcW w:w="1227" w:type="dxa"/>
          </w:tcPr>
          <w:p w14:paraId="5DA8B66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2C6B3A6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8AC743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7AF2F99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6905496B" w14:textId="77777777" w:rsidTr="00F614B7">
        <w:trPr>
          <w:trHeight w:val="278"/>
        </w:trPr>
        <w:tc>
          <w:tcPr>
            <w:tcW w:w="4104" w:type="dxa"/>
            <w:vAlign w:val="center"/>
          </w:tcPr>
          <w:p w14:paraId="6280E78F"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Outline principles of health service management</w:t>
            </w:r>
          </w:p>
        </w:tc>
        <w:tc>
          <w:tcPr>
            <w:tcW w:w="1227" w:type="dxa"/>
          </w:tcPr>
          <w:p w14:paraId="0640433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6A5EC4B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0AE258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3E2A5F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740B021B" w14:textId="77777777" w:rsidTr="00F614B7">
        <w:trPr>
          <w:trHeight w:val="278"/>
        </w:trPr>
        <w:tc>
          <w:tcPr>
            <w:tcW w:w="4104" w:type="dxa"/>
            <w:vAlign w:val="center"/>
          </w:tcPr>
          <w:p w14:paraId="0ADE8E87"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Work in a multidisciplinary team</w:t>
            </w:r>
          </w:p>
        </w:tc>
        <w:tc>
          <w:tcPr>
            <w:tcW w:w="1227" w:type="dxa"/>
          </w:tcPr>
          <w:p w14:paraId="170E7FC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22499C2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7CF7BB2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6D4FD6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30CBBD28" w14:textId="77777777" w:rsidTr="00F614B7">
        <w:trPr>
          <w:trHeight w:val="278"/>
        </w:trPr>
        <w:tc>
          <w:tcPr>
            <w:tcW w:w="4104" w:type="dxa"/>
            <w:vAlign w:val="center"/>
          </w:tcPr>
          <w:p w14:paraId="655CB8E6"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Develop a process for lifelong learning in CPD</w:t>
            </w:r>
          </w:p>
        </w:tc>
        <w:tc>
          <w:tcPr>
            <w:tcW w:w="1227" w:type="dxa"/>
          </w:tcPr>
          <w:p w14:paraId="312E296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2F6D95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62FD9E2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36A9F29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20D52FCE" w14:textId="77777777" w:rsidTr="00F614B7">
        <w:trPr>
          <w:trHeight w:val="298"/>
        </w:trPr>
        <w:tc>
          <w:tcPr>
            <w:tcW w:w="4104" w:type="dxa"/>
            <w:tcBorders>
              <w:bottom w:val="single" w:sz="2" w:space="0" w:color="000000"/>
            </w:tcBorders>
            <w:vAlign w:val="center"/>
          </w:tcPr>
          <w:p w14:paraId="13247383"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Advocate for sexual health</w:t>
            </w:r>
          </w:p>
        </w:tc>
        <w:tc>
          <w:tcPr>
            <w:tcW w:w="1227" w:type="dxa"/>
            <w:tcBorders>
              <w:bottom w:val="single" w:sz="2" w:space="0" w:color="000000"/>
            </w:tcBorders>
          </w:tcPr>
          <w:p w14:paraId="7870231B"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Borders>
              <w:bottom w:val="single" w:sz="2" w:space="0" w:color="000000"/>
            </w:tcBorders>
          </w:tcPr>
          <w:p w14:paraId="00FFBDB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Borders>
              <w:bottom w:val="single" w:sz="2" w:space="0" w:color="000000"/>
            </w:tcBorders>
          </w:tcPr>
          <w:p w14:paraId="6E1D04F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Borders>
              <w:bottom w:val="single" w:sz="2" w:space="0" w:color="000000"/>
            </w:tcBorders>
          </w:tcPr>
          <w:p w14:paraId="6A5382F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r>
      <w:tr w:rsidR="007501E1" w14:paraId="2C5C64BD" w14:textId="77777777" w:rsidTr="00F614B7">
        <w:trPr>
          <w:trHeight w:val="298"/>
        </w:trPr>
        <w:tc>
          <w:tcPr>
            <w:tcW w:w="4104" w:type="dxa"/>
            <w:tcBorders>
              <w:right w:val="single" w:sz="2" w:space="0" w:color="FFFFFF" w:themeColor="background1"/>
            </w:tcBorders>
            <w:vAlign w:val="center"/>
          </w:tcPr>
          <w:p w14:paraId="0DF3FF0C" w14:textId="280E62D5"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b/>
                <w:bCs/>
                <w:sz w:val="18"/>
                <w:szCs w:val="18"/>
                <w:lang w:val="en-US" w:eastAsia="en-AU"/>
              </w:rPr>
              <w:t>NATIONALLY ENDORSED CURRICULUM FOR COMMUNITY HIV S100 EDUCATION PROGRAMS</w:t>
            </w:r>
          </w:p>
        </w:tc>
        <w:tc>
          <w:tcPr>
            <w:tcW w:w="1227" w:type="dxa"/>
            <w:tcBorders>
              <w:left w:val="single" w:sz="2" w:space="0" w:color="FFFFFF" w:themeColor="background1"/>
              <w:right w:val="single" w:sz="2" w:space="0" w:color="FFFFFF" w:themeColor="background1"/>
            </w:tcBorders>
          </w:tcPr>
          <w:p w14:paraId="648C393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043" w:type="dxa"/>
            <w:tcBorders>
              <w:left w:val="single" w:sz="2" w:space="0" w:color="FFFFFF" w:themeColor="background1"/>
              <w:right w:val="single" w:sz="2" w:space="0" w:color="FFFFFF" w:themeColor="background1"/>
            </w:tcBorders>
          </w:tcPr>
          <w:p w14:paraId="727CB6B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412" w:type="dxa"/>
            <w:tcBorders>
              <w:left w:val="single" w:sz="2" w:space="0" w:color="FFFFFF" w:themeColor="background1"/>
              <w:right w:val="single" w:sz="2" w:space="0" w:color="FFFFFF" w:themeColor="background1"/>
            </w:tcBorders>
          </w:tcPr>
          <w:p w14:paraId="357B923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c>
          <w:tcPr>
            <w:tcW w:w="1228" w:type="dxa"/>
            <w:tcBorders>
              <w:left w:val="single" w:sz="2" w:space="0" w:color="FFFFFF" w:themeColor="background1"/>
            </w:tcBorders>
          </w:tcPr>
          <w:p w14:paraId="60A4C66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p>
        </w:tc>
      </w:tr>
      <w:tr w:rsidR="007501E1" w14:paraId="543FFB1F" w14:textId="77777777" w:rsidTr="00F614B7">
        <w:trPr>
          <w:trHeight w:val="394"/>
        </w:trPr>
        <w:tc>
          <w:tcPr>
            <w:tcW w:w="4104" w:type="dxa"/>
            <w:vAlign w:val="center"/>
          </w:tcPr>
          <w:p w14:paraId="20F577CD"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Describe the current HIV epidemiology at local, national and global levels</w:t>
            </w:r>
          </w:p>
        </w:tc>
        <w:tc>
          <w:tcPr>
            <w:tcW w:w="1227" w:type="dxa"/>
          </w:tcPr>
          <w:p w14:paraId="0401B2F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03A754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6DB1372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29E76CA"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682BEE5B" w14:textId="77777777" w:rsidTr="00F614B7">
        <w:trPr>
          <w:trHeight w:val="792"/>
        </w:trPr>
        <w:tc>
          <w:tcPr>
            <w:tcW w:w="4104" w:type="dxa"/>
            <w:vAlign w:val="center"/>
          </w:tcPr>
          <w:p w14:paraId="3591C900"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Demonstrate knowledge and understanding of the science of HIV infection, as well as its implications for the prevention of disease and the clinical management of patients with HIV and related infections</w:t>
            </w:r>
          </w:p>
        </w:tc>
        <w:tc>
          <w:tcPr>
            <w:tcW w:w="1227" w:type="dxa"/>
          </w:tcPr>
          <w:p w14:paraId="34D8DEB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7EE3F00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097C6AE8"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51DED79"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626DC0EE" w14:textId="77777777" w:rsidTr="00F614B7">
        <w:trPr>
          <w:trHeight w:val="792"/>
        </w:trPr>
        <w:tc>
          <w:tcPr>
            <w:tcW w:w="4104" w:type="dxa"/>
            <w:vAlign w:val="center"/>
          </w:tcPr>
          <w:p w14:paraId="78640A1F"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Demonstrate understanding of the principles of antiretroviral therapy and competence in selecting, prescribing and monitoring appropriate therapy in a range of clinical scenarios</w:t>
            </w:r>
          </w:p>
        </w:tc>
        <w:tc>
          <w:tcPr>
            <w:tcW w:w="1227" w:type="dxa"/>
          </w:tcPr>
          <w:p w14:paraId="30E54B2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67804B9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3FDFC8F3"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072CF2DD"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0DFF98F3" w14:textId="77777777" w:rsidTr="00F614B7">
        <w:trPr>
          <w:trHeight w:val="394"/>
        </w:trPr>
        <w:tc>
          <w:tcPr>
            <w:tcW w:w="4104" w:type="dxa"/>
            <w:vAlign w:val="center"/>
          </w:tcPr>
          <w:p w14:paraId="278F5097"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Demonstrate understanding of scientific principles on which diagnostic and treatment decisions in HIV care are based</w:t>
            </w:r>
          </w:p>
        </w:tc>
        <w:tc>
          <w:tcPr>
            <w:tcW w:w="1227" w:type="dxa"/>
          </w:tcPr>
          <w:p w14:paraId="40137A6F"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464CDC6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0DB01A5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37F00514"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0E77B184" w14:textId="77777777" w:rsidTr="00F614B7">
        <w:trPr>
          <w:trHeight w:val="595"/>
        </w:trPr>
        <w:tc>
          <w:tcPr>
            <w:tcW w:w="4104" w:type="dxa"/>
            <w:vAlign w:val="center"/>
          </w:tcPr>
          <w:p w14:paraId="219B5D19"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Demonstrate competence in interpreting clinical and other relevant information to guide effective care of people living with HIV infection</w:t>
            </w:r>
          </w:p>
        </w:tc>
        <w:tc>
          <w:tcPr>
            <w:tcW w:w="1227" w:type="dxa"/>
          </w:tcPr>
          <w:p w14:paraId="604F521C"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5E0DE7B1"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567E643D"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9D86A6D"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3FF31C56" w14:textId="77777777" w:rsidTr="00F614B7">
        <w:trPr>
          <w:trHeight w:val="595"/>
        </w:trPr>
        <w:tc>
          <w:tcPr>
            <w:tcW w:w="4104" w:type="dxa"/>
            <w:vAlign w:val="center"/>
          </w:tcPr>
          <w:p w14:paraId="20E1C73B"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lastRenderedPageBreak/>
              <w:t xml:space="preserve"> Demonstrate competence in planning, implementing and evaluating the clinical care of patients with HIV across all stages of the disease</w:t>
            </w:r>
          </w:p>
        </w:tc>
        <w:tc>
          <w:tcPr>
            <w:tcW w:w="1227" w:type="dxa"/>
          </w:tcPr>
          <w:p w14:paraId="10A4F7B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23BF82F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0511128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7AFFBC98"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5F83E622" w14:textId="77777777" w:rsidTr="00F614B7">
        <w:trPr>
          <w:trHeight w:val="394"/>
        </w:trPr>
        <w:tc>
          <w:tcPr>
            <w:tcW w:w="4104" w:type="dxa"/>
            <w:vAlign w:val="center"/>
          </w:tcPr>
          <w:p w14:paraId="6C92F8AA"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Demonstrate competence is managing the complex health problems experienced by patients with HIV</w:t>
            </w:r>
          </w:p>
        </w:tc>
        <w:tc>
          <w:tcPr>
            <w:tcW w:w="1227" w:type="dxa"/>
          </w:tcPr>
          <w:p w14:paraId="5D5A8166"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742318C4"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017A1AEE"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4467DC86"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r w:rsidR="007501E1" w14:paraId="6F09A3BA" w14:textId="77777777" w:rsidTr="00F614B7">
        <w:trPr>
          <w:trHeight w:val="595"/>
        </w:trPr>
        <w:tc>
          <w:tcPr>
            <w:tcW w:w="4104" w:type="dxa"/>
            <w:vAlign w:val="center"/>
          </w:tcPr>
          <w:p w14:paraId="62208968" w14:textId="77777777" w:rsidR="007501E1" w:rsidRPr="00017F71" w:rsidRDefault="007501E1" w:rsidP="00017F71">
            <w:pPr>
              <w:widowControl w:val="0"/>
              <w:autoSpaceDE w:val="0"/>
              <w:autoSpaceDN w:val="0"/>
              <w:adjustRightInd w:val="0"/>
              <w:spacing w:before="0" w:after="0" w:line="240" w:lineRule="auto"/>
              <w:rPr>
                <w:rFonts w:ascii="Arial Narrow" w:hAnsi="Arial Narrow" w:cs="Arial Narrow"/>
                <w:sz w:val="16"/>
                <w:szCs w:val="16"/>
                <w:lang w:val="en-US" w:eastAsia="en-AU"/>
              </w:rPr>
            </w:pPr>
            <w:r w:rsidRPr="00017F71">
              <w:rPr>
                <w:rFonts w:ascii="Arial Narrow" w:hAnsi="Arial Narrow" w:cs="Arial Narrow"/>
                <w:sz w:val="16"/>
                <w:szCs w:val="16"/>
                <w:lang w:val="en-US" w:eastAsia="en-AU"/>
              </w:rPr>
              <w:t>Outline the importance of demonstrating respect for patients’ choices and adhering to the legal obligations associated with HIV care</w:t>
            </w:r>
          </w:p>
        </w:tc>
        <w:tc>
          <w:tcPr>
            <w:tcW w:w="1227" w:type="dxa"/>
          </w:tcPr>
          <w:p w14:paraId="15443992"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043" w:type="dxa"/>
          </w:tcPr>
          <w:p w14:paraId="756140E5"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412" w:type="dxa"/>
          </w:tcPr>
          <w:p w14:paraId="2F038D80" w14:textId="77777777" w:rsidR="007501E1" w:rsidRPr="00017F71" w:rsidRDefault="007501E1">
            <w:pPr>
              <w:widowControl w:val="0"/>
              <w:autoSpaceDE w:val="0"/>
              <w:autoSpaceDN w:val="0"/>
              <w:adjustRightInd w:val="0"/>
              <w:spacing w:before="0" w:after="0" w:line="240" w:lineRule="auto"/>
              <w:jc w:val="center"/>
              <w:rPr>
                <w:rFonts w:ascii="Wingdings" w:hAnsi="Wingdings" w:cs="Wingdings"/>
                <w:szCs w:val="22"/>
                <w:lang w:val="en-US" w:eastAsia="en-AU"/>
              </w:rPr>
            </w:pPr>
            <w:r w:rsidRPr="00017F71">
              <w:rPr>
                <w:rFonts w:ascii="Wingdings" w:hAnsi="Wingdings" w:cs="Wingdings"/>
                <w:szCs w:val="22"/>
                <w:lang w:val="en-US" w:eastAsia="en-AU"/>
              </w:rPr>
              <w:t></w:t>
            </w:r>
          </w:p>
        </w:tc>
        <w:tc>
          <w:tcPr>
            <w:tcW w:w="1228" w:type="dxa"/>
          </w:tcPr>
          <w:p w14:paraId="3658282A" w14:textId="77777777" w:rsidR="007501E1" w:rsidRPr="00017F71" w:rsidRDefault="007501E1">
            <w:pPr>
              <w:widowControl w:val="0"/>
              <w:autoSpaceDE w:val="0"/>
              <w:autoSpaceDN w:val="0"/>
              <w:adjustRightInd w:val="0"/>
              <w:spacing w:before="0" w:after="0" w:line="240" w:lineRule="auto"/>
              <w:jc w:val="center"/>
              <w:rPr>
                <w:rFonts w:ascii="Arial Narrow" w:hAnsi="Arial Narrow" w:cs="Arial Narrow"/>
                <w:szCs w:val="22"/>
                <w:lang w:val="en-US" w:eastAsia="en-AU"/>
              </w:rPr>
            </w:pPr>
            <w:r w:rsidRPr="00017F71">
              <w:rPr>
                <w:rFonts w:ascii="Arial Narrow" w:hAnsi="Arial Narrow" w:cs="Arial Narrow"/>
                <w:szCs w:val="22"/>
                <w:lang w:val="en-US" w:eastAsia="en-AU"/>
              </w:rPr>
              <w:t>N/A</w:t>
            </w:r>
          </w:p>
        </w:tc>
      </w:tr>
    </w:tbl>
    <w:p w14:paraId="5FDB19EB" w14:textId="77777777" w:rsidR="00C34C76" w:rsidRDefault="00C34C76" w:rsidP="00307A1B">
      <w:pPr>
        <w:pStyle w:val="AspexBodyStandard"/>
      </w:pPr>
    </w:p>
    <w:p w14:paraId="737E363E" w14:textId="77777777" w:rsidR="00C34C76" w:rsidRDefault="00C34C76" w:rsidP="00307A1B">
      <w:pPr>
        <w:pStyle w:val="AspexBodyStandard"/>
      </w:pPr>
    </w:p>
    <w:p w14:paraId="4BF3DB9D" w14:textId="77777777" w:rsidR="00DF1415" w:rsidRDefault="00DF1415" w:rsidP="00307A1B">
      <w:pPr>
        <w:pStyle w:val="AspexBodyStandard"/>
      </w:pPr>
    </w:p>
    <w:p w14:paraId="653CEFDF" w14:textId="77777777" w:rsidR="00CE4316" w:rsidRDefault="00CE4316" w:rsidP="00DF1415">
      <w:pPr>
        <w:pStyle w:val="AspexAppendixlevel1"/>
      </w:pPr>
      <w:r>
        <w:lastRenderedPageBreak/>
        <w:t>Modelling methodology</w:t>
      </w:r>
      <w:r w:rsidR="001D0AE4">
        <w:t xml:space="preserve"> and assumptions</w:t>
      </w:r>
    </w:p>
    <w:p w14:paraId="6DCB360B" w14:textId="77777777" w:rsidR="000106D7" w:rsidRDefault="000106D7" w:rsidP="000106D7">
      <w:pPr>
        <w:pStyle w:val="AspexBodyStandard"/>
      </w:pPr>
      <w:r>
        <w:t>Billing data for three financial years (2009/10, 2010/11 and 2011/12) was obtained at “item number” level showing:</w:t>
      </w:r>
    </w:p>
    <w:p w14:paraId="27E543C0" w14:textId="77777777" w:rsidR="000106D7" w:rsidRDefault="000106D7" w:rsidP="000106D7">
      <w:pPr>
        <w:pStyle w:val="AspexBullet1"/>
        <w:sectPr w:rsidR="000106D7" w:rsidSect="000106D7">
          <w:pgSz w:w="11906" w:h="16838" w:code="9"/>
          <w:pgMar w:top="2835" w:right="1276" w:bottom="1134" w:left="1616" w:header="709" w:footer="709" w:gutter="0"/>
          <w:cols w:space="708"/>
          <w:docGrid w:linePitch="360"/>
        </w:sectPr>
      </w:pPr>
    </w:p>
    <w:p w14:paraId="2164EB0D" w14:textId="77777777" w:rsidR="00914A76" w:rsidRDefault="00914A76" w:rsidP="00914A76">
      <w:pPr>
        <w:pStyle w:val="AspexBullet1"/>
      </w:pPr>
      <w:r>
        <w:lastRenderedPageBreak/>
        <w:t>Date of service;</w:t>
      </w:r>
    </w:p>
    <w:p w14:paraId="379A2472" w14:textId="77777777" w:rsidR="00914A76" w:rsidRDefault="00914A76" w:rsidP="00914A76">
      <w:pPr>
        <w:pStyle w:val="AspexBullet1"/>
      </w:pPr>
      <w:r>
        <w:t>Provider number;</w:t>
      </w:r>
    </w:p>
    <w:p w14:paraId="2F74F146" w14:textId="77777777" w:rsidR="00914A76" w:rsidRDefault="00914A76" w:rsidP="00914A76">
      <w:pPr>
        <w:pStyle w:val="AspexBullet1"/>
      </w:pPr>
      <w:r>
        <w:t>MBS item number;</w:t>
      </w:r>
    </w:p>
    <w:p w14:paraId="3458C553" w14:textId="77777777" w:rsidR="00914A76" w:rsidRDefault="00914A76" w:rsidP="00914A76">
      <w:pPr>
        <w:pStyle w:val="AspexBullet1"/>
      </w:pPr>
      <w:r>
        <w:t>Bulk bill indicator;</w:t>
      </w:r>
    </w:p>
    <w:p w14:paraId="4C96D226" w14:textId="77777777" w:rsidR="00914A76" w:rsidRDefault="00914A76" w:rsidP="00914A76">
      <w:pPr>
        <w:pStyle w:val="AspexBullet1"/>
      </w:pPr>
      <w:r>
        <w:t>State;</w:t>
      </w:r>
    </w:p>
    <w:p w14:paraId="5108E334" w14:textId="77777777" w:rsidR="00914A76" w:rsidRDefault="00914A76" w:rsidP="00914A76">
      <w:pPr>
        <w:pStyle w:val="AspexBullet1"/>
      </w:pPr>
      <w:r>
        <w:t>R</w:t>
      </w:r>
      <w:r w:rsidR="00946DDB">
        <w:t xml:space="preserve">emoteness </w:t>
      </w:r>
      <w:r>
        <w:t>A</w:t>
      </w:r>
      <w:r w:rsidR="00946DDB">
        <w:t>rea</w:t>
      </w:r>
      <w:r>
        <w:t xml:space="preserve"> code;</w:t>
      </w:r>
    </w:p>
    <w:p w14:paraId="5D013534" w14:textId="77777777" w:rsidR="00914A76" w:rsidRDefault="00914A76" w:rsidP="00914A76">
      <w:pPr>
        <w:pStyle w:val="AspexBullet1"/>
      </w:pPr>
      <w:r>
        <w:lastRenderedPageBreak/>
        <w:t>Number of services;</w:t>
      </w:r>
    </w:p>
    <w:p w14:paraId="1262FAA3" w14:textId="77777777" w:rsidR="00914A76" w:rsidRDefault="00914A76" w:rsidP="00914A76">
      <w:pPr>
        <w:pStyle w:val="AspexBullet1"/>
      </w:pPr>
      <w:r>
        <w:t>Charge;</w:t>
      </w:r>
    </w:p>
    <w:p w14:paraId="7A360485" w14:textId="77777777" w:rsidR="00914A76" w:rsidRDefault="00914A76" w:rsidP="00914A76">
      <w:pPr>
        <w:pStyle w:val="AspexBullet1"/>
      </w:pPr>
      <w:r>
        <w:t>Schedule fee;</w:t>
      </w:r>
    </w:p>
    <w:p w14:paraId="05586332" w14:textId="77777777" w:rsidR="00914A76" w:rsidRDefault="00914A76" w:rsidP="00914A76">
      <w:pPr>
        <w:pStyle w:val="AspexBullet1"/>
      </w:pPr>
      <w:r>
        <w:t>Benefit paid; and</w:t>
      </w:r>
    </w:p>
    <w:p w14:paraId="2AE238D3" w14:textId="77777777" w:rsidR="00914A76" w:rsidRDefault="003B7CD2" w:rsidP="00914A76">
      <w:pPr>
        <w:pStyle w:val="AspexBullet1"/>
      </w:pPr>
      <w:r>
        <w:t>Out-of-pocket</w:t>
      </w:r>
      <w:r w:rsidR="00914A76">
        <w:t xml:space="preserve"> amount.</w:t>
      </w:r>
    </w:p>
    <w:p w14:paraId="43AAD151" w14:textId="77777777" w:rsidR="00914A76" w:rsidRDefault="00914A76" w:rsidP="00914A76">
      <w:pPr>
        <w:pStyle w:val="AspexBullet1"/>
        <w:sectPr w:rsidR="00914A76" w:rsidSect="00914A76">
          <w:type w:val="continuous"/>
          <w:pgSz w:w="11906" w:h="16838" w:code="9"/>
          <w:pgMar w:top="2835" w:right="1276" w:bottom="1134" w:left="1616" w:header="709" w:footer="709" w:gutter="0"/>
          <w:cols w:num="2" w:space="708"/>
          <w:docGrid w:linePitch="360"/>
        </w:sectPr>
      </w:pPr>
    </w:p>
    <w:p w14:paraId="0B2CE207" w14:textId="7DF7A87E" w:rsidR="000106D7" w:rsidRDefault="000106D7" w:rsidP="000106D7">
      <w:pPr>
        <w:pStyle w:val="AspexBullet1"/>
        <w:numPr>
          <w:ilvl w:val="0"/>
          <w:numId w:val="0"/>
        </w:numPr>
        <w:ind w:left="284" w:hanging="284"/>
      </w:pPr>
      <w:r>
        <w:lastRenderedPageBreak/>
        <w:t>The data was further categ</w:t>
      </w:r>
      <w:r w:rsidR="00C97ABA">
        <w:t>oris</w:t>
      </w:r>
      <w:r>
        <w:t>ed to assist analysis according to the following areas</w:t>
      </w:r>
      <w:r>
        <w:rPr>
          <w:rStyle w:val="FootnoteReference"/>
        </w:rPr>
        <w:footnoteReference w:id="34"/>
      </w:r>
      <w:r>
        <w:t>:</w:t>
      </w:r>
    </w:p>
    <w:p w14:paraId="53E7D29A" w14:textId="77777777" w:rsidR="000106D7" w:rsidRDefault="000106D7" w:rsidP="000106D7">
      <w:pPr>
        <w:pStyle w:val="AspexBullet1"/>
      </w:pPr>
      <w:r>
        <w:t>Practice type (general practice, specialist, etc.);</w:t>
      </w:r>
    </w:p>
    <w:p w14:paraId="7F87304A" w14:textId="77777777" w:rsidR="000106D7" w:rsidRDefault="000106D7" w:rsidP="000106D7">
      <w:pPr>
        <w:pStyle w:val="AspexBullet1"/>
      </w:pPr>
      <w:r>
        <w:t>MBS item category and description (1 to 8);</w:t>
      </w:r>
    </w:p>
    <w:p w14:paraId="005478A1" w14:textId="77777777" w:rsidR="000106D7" w:rsidRDefault="000106D7" w:rsidP="000106D7">
      <w:pPr>
        <w:pStyle w:val="AspexBullet1"/>
      </w:pPr>
      <w:r>
        <w:t>MBS item group (A1 to T10);</w:t>
      </w:r>
    </w:p>
    <w:p w14:paraId="43A461C6" w14:textId="77777777" w:rsidR="000106D7" w:rsidRDefault="000106D7" w:rsidP="000106D7">
      <w:pPr>
        <w:pStyle w:val="AspexBullet1"/>
      </w:pPr>
      <w:r>
        <w:t>MBS item sub-group (0 to 15); and</w:t>
      </w:r>
    </w:p>
    <w:p w14:paraId="1447C5FF" w14:textId="77777777" w:rsidR="000106D7" w:rsidRDefault="000106D7" w:rsidP="000106D7">
      <w:pPr>
        <w:pStyle w:val="AspexBullet1"/>
      </w:pPr>
      <w:r>
        <w:t>Whether an MBS item was more likely to be for “assessment” or “treatment”;</w:t>
      </w:r>
    </w:p>
    <w:p w14:paraId="20837A11" w14:textId="2107E15C" w:rsidR="000106D7" w:rsidRDefault="000106D7" w:rsidP="000106D7">
      <w:pPr>
        <w:pStyle w:val="AspexBodyStandard"/>
      </w:pPr>
      <w:r>
        <w:t xml:space="preserve">In addition to the above information, </w:t>
      </w:r>
      <w:r w:rsidR="00C97ABA">
        <w:t>similar data was obtained from c</w:t>
      </w:r>
      <w:r>
        <w:t xml:space="preserve">onsultant </w:t>
      </w:r>
      <w:r w:rsidR="0079641B">
        <w:t>physicians in infectious disease</w:t>
      </w:r>
      <w:r>
        <w:t xml:space="preserve"> as the comparator group for </w:t>
      </w:r>
      <w:r w:rsidR="000E2752" w:rsidRPr="000E2752">
        <w:t>sexual health medicine</w:t>
      </w:r>
      <w:r>
        <w:t>.</w:t>
      </w:r>
    </w:p>
    <w:p w14:paraId="6EEE9B04" w14:textId="77777777" w:rsidR="00CE4316" w:rsidRDefault="00CE4316" w:rsidP="00CE4316">
      <w:pPr>
        <w:pStyle w:val="AspexBodyStandard"/>
      </w:pPr>
      <w:r>
        <w:t>Modelled estimations of current and future MBS expenditure were calculated according to the following methods:</w:t>
      </w:r>
    </w:p>
    <w:p w14:paraId="52BDD52C" w14:textId="465D5C5D" w:rsidR="000106D7" w:rsidRDefault="00914A76" w:rsidP="00CE4316">
      <w:pPr>
        <w:pStyle w:val="AspexBullet1"/>
      </w:pPr>
      <w:r>
        <w:t xml:space="preserve">The number of services for items relating to ‘assessment’ and ‘treatment’ were </w:t>
      </w:r>
      <w:r w:rsidR="00C97ABA">
        <w:t>identified from the data sample;</w:t>
      </w:r>
    </w:p>
    <w:p w14:paraId="57A7E867" w14:textId="06AD42BE" w:rsidR="00914A76" w:rsidRDefault="00914A76" w:rsidP="000E2752">
      <w:pPr>
        <w:pStyle w:val="AspexBullet1"/>
      </w:pPr>
      <w:r>
        <w:t>Estimates were rounded up (dividing by the response rate: 0.</w:t>
      </w:r>
      <w:r w:rsidR="0079641B">
        <w:t>97</w:t>
      </w:r>
      <w:r>
        <w:t xml:space="preserve">) to estimate a total proportion of services across all working </w:t>
      </w:r>
      <w:r w:rsidR="000E2752" w:rsidRPr="000E2752">
        <w:t xml:space="preserve">sexual health medicine </w:t>
      </w:r>
      <w:r w:rsidR="000E2752">
        <w:t>s</w:t>
      </w:r>
      <w:r w:rsidR="00C97ABA">
        <w:t>pecialists;</w:t>
      </w:r>
    </w:p>
    <w:p w14:paraId="5F8B9514" w14:textId="77777777" w:rsidR="00CE4316" w:rsidRDefault="00914A76" w:rsidP="00914A76">
      <w:pPr>
        <w:pStyle w:val="AspexBullet1"/>
      </w:pPr>
      <w:r>
        <w:t>The estimated number of services for each of the three years was fitted to a linear prediction equation</w:t>
      </w:r>
      <w:r w:rsidR="00CE4316">
        <w:rPr>
          <w:rStyle w:val="FootnoteReference"/>
        </w:rPr>
        <w:footnoteReference w:id="35"/>
      </w:r>
      <w:r w:rsidR="00CE4316">
        <w:t>;</w:t>
      </w:r>
    </w:p>
    <w:p w14:paraId="08E2FC0E" w14:textId="04E1DADA" w:rsidR="00914A76" w:rsidRDefault="00914A76" w:rsidP="00914A76">
      <w:pPr>
        <w:pStyle w:val="AspexBullet1"/>
      </w:pPr>
      <w:r>
        <w:t xml:space="preserve">Prediction intervals were </w:t>
      </w:r>
      <w:r w:rsidR="00FD228E">
        <w:t>calculated for the fitted equation to provide an upper and lower estimate of error (associated with the observed fit);</w:t>
      </w:r>
      <w:r w:rsidR="00C97ABA">
        <w:t xml:space="preserve"> and</w:t>
      </w:r>
    </w:p>
    <w:p w14:paraId="06EC6C1F" w14:textId="77777777" w:rsidR="00914A76" w:rsidRDefault="00914A76" w:rsidP="00914A76">
      <w:pPr>
        <w:pStyle w:val="AspexBullet1"/>
      </w:pPr>
      <w:r>
        <w:t>Fitted estimates were then used for estimating current and future MBS services</w:t>
      </w:r>
      <w:r w:rsidR="00FD228E">
        <w:t>.</w:t>
      </w:r>
    </w:p>
    <w:p w14:paraId="36FC9C3B" w14:textId="3FE6162A" w:rsidR="00CE4316" w:rsidRDefault="00FD228E" w:rsidP="00CE4316">
      <w:pPr>
        <w:pStyle w:val="AspexBodyStandard"/>
      </w:pPr>
      <w:r>
        <w:lastRenderedPageBreak/>
        <w:t>Assumptions underlying different modelling scen</w:t>
      </w:r>
      <w:r w:rsidR="00C97ABA">
        <w:t xml:space="preserve">arios are presented in Section </w:t>
      </w:r>
      <w:r w:rsidR="00C97ABA">
        <w:fldChar w:fldCharType="begin"/>
      </w:r>
      <w:r w:rsidR="00C97ABA">
        <w:instrText xml:space="preserve"> REF _Ref225136082 \n \h </w:instrText>
      </w:r>
      <w:r w:rsidR="00C97ABA">
        <w:fldChar w:fldCharType="separate"/>
      </w:r>
      <w:r w:rsidR="008E6665">
        <w:t>6</w:t>
      </w:r>
      <w:r w:rsidR="00C97ABA">
        <w:fldChar w:fldCharType="end"/>
      </w:r>
      <w:r>
        <w:t xml:space="preserve">, but may be summarised </w:t>
      </w:r>
      <w:r w:rsidR="00377163">
        <w:t>according to the following</w:t>
      </w:r>
      <w:r>
        <w:t>:</w:t>
      </w:r>
    </w:p>
    <w:p w14:paraId="14025B67" w14:textId="77777777" w:rsidR="00FD228E" w:rsidRPr="00377163" w:rsidRDefault="00FD228E" w:rsidP="0079641B">
      <w:pPr>
        <w:pStyle w:val="Heading4"/>
      </w:pPr>
      <w:r w:rsidRPr="00377163">
        <w:t xml:space="preserve">Basic scenario:  </w:t>
      </w:r>
    </w:p>
    <w:p w14:paraId="39793B56" w14:textId="78ED2A5D" w:rsidR="00FD228E" w:rsidRDefault="00FD228E" w:rsidP="00242060">
      <w:pPr>
        <w:pStyle w:val="AspexNumberedBullet2"/>
      </w:pPr>
      <w:r w:rsidRPr="00242060">
        <w:t xml:space="preserve">Costs of all observed MBS items classified as ‘assessment’ and ‘treatment’ </w:t>
      </w:r>
      <w:r w:rsidR="00C97ABA">
        <w:t>were</w:t>
      </w:r>
      <w:r w:rsidRPr="00242060">
        <w:t xml:space="preserve"> summed.</w:t>
      </w:r>
    </w:p>
    <w:p w14:paraId="7AE61F91" w14:textId="77777777" w:rsidR="00242060" w:rsidRDefault="00242060" w:rsidP="00242060">
      <w:pPr>
        <w:pStyle w:val="AspexNumberedBullet2"/>
      </w:pPr>
      <w:r>
        <w:t>Items relating to complex assessment or management planning were included as components of assessment.</w:t>
      </w:r>
    </w:p>
    <w:p w14:paraId="6955E8E5" w14:textId="5043AFF9" w:rsidR="00242060" w:rsidRPr="00242060" w:rsidRDefault="00242060" w:rsidP="00242060">
      <w:pPr>
        <w:pStyle w:val="AspexNumberedBullet2"/>
      </w:pPr>
      <w:r>
        <w:t>Items relating to multidisciplinary case conferencing were included as components of treatment.</w:t>
      </w:r>
    </w:p>
    <w:p w14:paraId="1FD496B3" w14:textId="77777777" w:rsidR="00242060" w:rsidRPr="00377163" w:rsidRDefault="00242060" w:rsidP="0079641B">
      <w:pPr>
        <w:pStyle w:val="Heading4"/>
      </w:pPr>
      <w:r w:rsidRPr="00377163">
        <w:t>Physician equivalent scenario</w:t>
      </w:r>
      <w:r w:rsidR="00377163">
        <w:t>:</w:t>
      </w:r>
    </w:p>
    <w:p w14:paraId="39A60E05" w14:textId="77777777" w:rsidR="00242060" w:rsidRDefault="00242060" w:rsidP="0079641B">
      <w:pPr>
        <w:pStyle w:val="AspexNumberedBullet2"/>
        <w:numPr>
          <w:ilvl w:val="1"/>
          <w:numId w:val="33"/>
        </w:numPr>
      </w:pPr>
      <w:r>
        <w:t>Costs of all observed assessment items were transferred</w:t>
      </w:r>
      <w:r w:rsidR="005B44D1">
        <w:t>/substituted</w:t>
      </w:r>
      <w:r>
        <w:t xml:space="preserve"> to rate of the current physician equivalent MBS item 110 (initial attendance).</w:t>
      </w:r>
    </w:p>
    <w:p w14:paraId="3274AA1D" w14:textId="77777777" w:rsidR="00242060" w:rsidRDefault="00242060" w:rsidP="00242060">
      <w:pPr>
        <w:pStyle w:val="AspexNumberedBullet3"/>
      </w:pPr>
      <w:r>
        <w:t>Items relating to complex assessment or management planning were included as components of assessment.</w:t>
      </w:r>
    </w:p>
    <w:p w14:paraId="40AEDB46" w14:textId="77777777" w:rsidR="00242060" w:rsidRDefault="00242060" w:rsidP="00242060">
      <w:pPr>
        <w:pStyle w:val="AspexNumberedBullet2"/>
      </w:pPr>
      <w:r>
        <w:t xml:space="preserve">Costs </w:t>
      </w:r>
      <w:r w:rsidR="0079641B">
        <w:t xml:space="preserve">of all observed treatment items </w:t>
      </w:r>
      <w:r>
        <w:t>were transferred</w:t>
      </w:r>
      <w:r w:rsidR="005B44D1">
        <w:t>/substituted</w:t>
      </w:r>
      <w:r>
        <w:t xml:space="preserve"> to a rate of the current physician equivalent MBS item 116 (subsequent attendance).</w:t>
      </w:r>
    </w:p>
    <w:p w14:paraId="0F1EE3E0" w14:textId="4FC2B6A0" w:rsidR="00242060" w:rsidRDefault="00242060" w:rsidP="00242060">
      <w:pPr>
        <w:pStyle w:val="AspexNumberedBullet3"/>
      </w:pPr>
      <w:r>
        <w:t>Items relating to multidisciplinary case conferencing were included as components of treatment.</w:t>
      </w:r>
    </w:p>
    <w:p w14:paraId="2F18BAE1" w14:textId="77777777" w:rsidR="00377163" w:rsidRDefault="003B7CD2" w:rsidP="0079641B">
      <w:pPr>
        <w:pStyle w:val="Heading4"/>
      </w:pPr>
      <w:r>
        <w:t>Time-tiered</w:t>
      </w:r>
      <w:r w:rsidR="001D0AE4" w:rsidRPr="00377163">
        <w:t xml:space="preserve"> (anchored at physician equivalent</w:t>
      </w:r>
      <w:r w:rsidR="00377163">
        <w:t xml:space="preserve"> rate):</w:t>
      </w:r>
    </w:p>
    <w:p w14:paraId="62C60D8C" w14:textId="77777777" w:rsidR="001D0AE4" w:rsidRPr="00377163" w:rsidRDefault="00377163" w:rsidP="00377163">
      <w:pPr>
        <w:pStyle w:val="AspexBodyStandard"/>
        <w:rPr>
          <w:b/>
        </w:rPr>
      </w:pPr>
      <w:r>
        <w:t>A</w:t>
      </w:r>
      <w:r w:rsidR="001D0AE4" w:rsidRPr="00377163">
        <w:t xml:space="preserve"> new time-tiered structure was identified to accommodate attendances of:</w:t>
      </w:r>
    </w:p>
    <w:p w14:paraId="63029C75" w14:textId="77777777" w:rsidR="001D0AE4" w:rsidRDefault="001D0AE4" w:rsidP="0079641B">
      <w:pPr>
        <w:pStyle w:val="AspexNumberedBullet2"/>
        <w:numPr>
          <w:ilvl w:val="1"/>
          <w:numId w:val="34"/>
        </w:numPr>
      </w:pPr>
      <w:r>
        <w:t>Up to 15 minutes duration (anchored at the GP equivalent rate of an MBS item 23)</w:t>
      </w:r>
      <w:r w:rsidR="00377163">
        <w:t>;</w:t>
      </w:r>
    </w:p>
    <w:p w14:paraId="76392438" w14:textId="77777777" w:rsidR="001D0AE4" w:rsidRDefault="001D0AE4" w:rsidP="001D0AE4">
      <w:pPr>
        <w:pStyle w:val="AspexNumberedBullet2"/>
      </w:pPr>
      <w:r>
        <w:t xml:space="preserve">More than 15 but less than 30 minutes duration (anchored at the physician equivalent item </w:t>
      </w:r>
      <w:r w:rsidR="00377163">
        <w:t xml:space="preserve">rate of </w:t>
      </w:r>
      <w:r>
        <w:t>116 for a subsequent attendance)</w:t>
      </w:r>
      <w:r w:rsidR="00377163">
        <w:t>;</w:t>
      </w:r>
    </w:p>
    <w:p w14:paraId="092F71E2" w14:textId="77777777" w:rsidR="001D0AE4" w:rsidRDefault="001D0AE4" w:rsidP="001D0AE4">
      <w:pPr>
        <w:pStyle w:val="AspexNumberedBullet2"/>
      </w:pPr>
      <w:r>
        <w:t>More than 30 but less than 45 minutes duration (</w:t>
      </w:r>
      <w:r w:rsidR="00377163">
        <w:t>estimated at a costing midpoint between tier 2 and tier 4); and</w:t>
      </w:r>
    </w:p>
    <w:p w14:paraId="7C309030" w14:textId="7BE509CA" w:rsidR="00377163" w:rsidRDefault="00377163" w:rsidP="001D0AE4">
      <w:pPr>
        <w:pStyle w:val="AspexNumberedBullet2"/>
      </w:pPr>
      <w:r>
        <w:t>More than 45 minutes duration (anchored at the physician equivalent item rate of</w:t>
      </w:r>
      <w:r w:rsidR="00C97ABA">
        <w:t xml:space="preserve"> 110 for an initial attendance):</w:t>
      </w:r>
    </w:p>
    <w:p w14:paraId="6E187E44" w14:textId="1CB57947" w:rsidR="00377163" w:rsidRDefault="00377163" w:rsidP="00377163">
      <w:pPr>
        <w:pStyle w:val="AspexNumberedBullet3"/>
      </w:pPr>
      <w:r>
        <w:t xml:space="preserve">Based upon current item volumes for assessment and treatment related MBS items it was assumed that </w:t>
      </w:r>
      <w:r w:rsidR="00A82BEE">
        <w:t>21</w:t>
      </w:r>
      <w:r>
        <w:t>% of all items would be billed at the highest time tier (for patient assessments).</w:t>
      </w:r>
    </w:p>
    <w:p w14:paraId="3CB0E838" w14:textId="77777777" w:rsidR="00377163" w:rsidRDefault="00377163" w:rsidP="00377163">
      <w:pPr>
        <w:pStyle w:val="AspexNumberedBullet3"/>
      </w:pPr>
      <w:r>
        <w:t xml:space="preserve">The remaining items were estimated at the following </w:t>
      </w:r>
      <w:r w:rsidR="005B44D1">
        <w:t>rates of billing</w:t>
      </w:r>
      <w:r>
        <w:t xml:space="preserve"> (to maximise efficiency and revenue arising from clinical practice arrangements)</w:t>
      </w:r>
      <w:r w:rsidR="005B44D1">
        <w:t>.</w:t>
      </w:r>
    </w:p>
    <w:p w14:paraId="69C98D60" w14:textId="78FA6C09" w:rsidR="00377163" w:rsidRDefault="00A82BEE" w:rsidP="0079641B">
      <w:pPr>
        <w:pStyle w:val="AspexNumberedBullet3"/>
        <w:numPr>
          <w:ilvl w:val="0"/>
          <w:numId w:val="10"/>
        </w:numPr>
      </w:pPr>
      <w:r>
        <w:t>11.85</w:t>
      </w:r>
      <w:r w:rsidR="00377163">
        <w:t xml:space="preserve">% </w:t>
      </w:r>
      <w:r w:rsidR="005B44D1">
        <w:t xml:space="preserve">(15% of assessment residual) for </w:t>
      </w:r>
      <w:r w:rsidR="00377163">
        <w:t>short/standard consultations (tier 1)</w:t>
      </w:r>
    </w:p>
    <w:p w14:paraId="74417E54" w14:textId="3A0F8DE8" w:rsidR="00377163" w:rsidRDefault="00A82BEE" w:rsidP="0079641B">
      <w:pPr>
        <w:pStyle w:val="AspexNumberedBullet3"/>
        <w:numPr>
          <w:ilvl w:val="0"/>
          <w:numId w:val="10"/>
        </w:numPr>
      </w:pPr>
      <w:r>
        <w:t>55.30</w:t>
      </w:r>
      <w:r w:rsidR="005B44D1">
        <w:t xml:space="preserve">% (70% of assessment residual) for </w:t>
      </w:r>
      <w:r w:rsidR="00377163">
        <w:t>physician follow-up consultations (tier 2)</w:t>
      </w:r>
    </w:p>
    <w:p w14:paraId="0F985048" w14:textId="01C3C1B2" w:rsidR="00377163" w:rsidRDefault="00A82BEE" w:rsidP="0079641B">
      <w:pPr>
        <w:pStyle w:val="AspexNumberedBullet3"/>
        <w:numPr>
          <w:ilvl w:val="0"/>
          <w:numId w:val="10"/>
        </w:numPr>
      </w:pPr>
      <w:r>
        <w:t>11.85</w:t>
      </w:r>
      <w:r w:rsidR="005B44D1">
        <w:t xml:space="preserve">% (15% of assessment residual) for </w:t>
      </w:r>
      <w:r w:rsidR="00377163">
        <w:t>prolonged follow-up consultations (tier 3)</w:t>
      </w:r>
    </w:p>
    <w:p w14:paraId="614CA60F" w14:textId="77777777" w:rsidR="005B44D1" w:rsidRDefault="005B44D1" w:rsidP="005B44D1">
      <w:pPr>
        <w:pStyle w:val="AspexNumberedBullet3"/>
      </w:pPr>
      <w:r>
        <w:t>Sensitivity analysis was conducted on the impact of changes in billing volumes within the first three tiers, to identify variations at:</w:t>
      </w:r>
    </w:p>
    <w:p w14:paraId="548B675D" w14:textId="77777777" w:rsidR="005B44D1" w:rsidRDefault="005B44D1" w:rsidP="0079641B">
      <w:pPr>
        <w:pStyle w:val="AspexNumberedBullet3"/>
        <w:numPr>
          <w:ilvl w:val="0"/>
          <w:numId w:val="10"/>
        </w:numPr>
      </w:pPr>
      <w:r>
        <w:t>10-20% of the assessment residual billed at tier 1.</w:t>
      </w:r>
    </w:p>
    <w:p w14:paraId="0309336E" w14:textId="77777777" w:rsidR="005B44D1" w:rsidRDefault="005B44D1" w:rsidP="0079641B">
      <w:pPr>
        <w:pStyle w:val="AspexNumberedBullet3"/>
        <w:numPr>
          <w:ilvl w:val="0"/>
          <w:numId w:val="10"/>
        </w:numPr>
      </w:pPr>
      <w:r>
        <w:lastRenderedPageBreak/>
        <w:t>60-80% of the assessment residual billed at tier 2.</w:t>
      </w:r>
    </w:p>
    <w:p w14:paraId="1306B1DE" w14:textId="77777777" w:rsidR="005B44D1" w:rsidRDefault="005B44D1" w:rsidP="0079641B">
      <w:pPr>
        <w:pStyle w:val="AspexNumberedBullet3"/>
        <w:numPr>
          <w:ilvl w:val="0"/>
          <w:numId w:val="10"/>
        </w:numPr>
      </w:pPr>
      <w:r>
        <w:t>10-20% of the assessment residual billed at tier 3.</w:t>
      </w:r>
    </w:p>
    <w:p w14:paraId="02E26041" w14:textId="77777777" w:rsidR="001D0AE4" w:rsidRPr="00377163" w:rsidRDefault="001D0AE4" w:rsidP="0079641B">
      <w:pPr>
        <w:pStyle w:val="Heading4"/>
      </w:pPr>
      <w:r w:rsidRPr="00377163">
        <w:t>Complex treatment and management planning</w:t>
      </w:r>
      <w:r w:rsidR="00377163" w:rsidRPr="00377163">
        <w:t>:</w:t>
      </w:r>
    </w:p>
    <w:p w14:paraId="4193567C" w14:textId="77777777" w:rsidR="005832EB" w:rsidRDefault="005832EB" w:rsidP="0079641B">
      <w:pPr>
        <w:pStyle w:val="AspexNumberedBullet2"/>
        <w:numPr>
          <w:ilvl w:val="1"/>
          <w:numId w:val="35"/>
        </w:numPr>
      </w:pPr>
      <w:r>
        <w:t xml:space="preserve">Costs </w:t>
      </w:r>
      <w:r w:rsidR="004F4E67">
        <w:t xml:space="preserve">for </w:t>
      </w:r>
      <w:r w:rsidR="00875C1F">
        <w:t>5% of</w:t>
      </w:r>
      <w:r>
        <w:t xml:space="preserve"> all observed assessment </w:t>
      </w:r>
      <w:r w:rsidR="004D5766">
        <w:t xml:space="preserve">(tier 4) </w:t>
      </w:r>
      <w:r>
        <w:t xml:space="preserve">items were transferred to rate of </w:t>
      </w:r>
      <w:r w:rsidR="00875C1F">
        <w:t>complex assessment and treatment planning at the</w:t>
      </w:r>
      <w:r>
        <w:t xml:space="preserve"> physician equivalent MBS item </w:t>
      </w:r>
      <w:r w:rsidR="00875C1F">
        <w:t xml:space="preserve">rate of 132 </w:t>
      </w:r>
      <w:r>
        <w:t>(initial attendance).</w:t>
      </w:r>
    </w:p>
    <w:p w14:paraId="4C69A7B8" w14:textId="77777777" w:rsidR="00377163" w:rsidRDefault="00875C1F" w:rsidP="00875C1F">
      <w:pPr>
        <w:pStyle w:val="AspexNumberedBullet2"/>
      </w:pPr>
      <w:r>
        <w:t xml:space="preserve">The number of services corresponding to 10% of assessments was also converted to a physician equivalent rate for follow-up of complex assessment and treatment planning </w:t>
      </w:r>
      <w:r w:rsidR="004D5766">
        <w:t xml:space="preserve">(tier 2) </w:t>
      </w:r>
      <w:r>
        <w:t>using MBS item 133. (10% of assessments were converted to account for a maximum of two follow-ups for each complex assessment undertaken).</w:t>
      </w:r>
    </w:p>
    <w:p w14:paraId="0C541211" w14:textId="77777777" w:rsidR="00875C1F" w:rsidRDefault="00875C1F" w:rsidP="00875C1F">
      <w:pPr>
        <w:pStyle w:val="AspexNumberedBullet2"/>
      </w:pPr>
      <w:r>
        <w:t xml:space="preserve">These converted rates were added to the existing </w:t>
      </w:r>
      <w:r w:rsidR="004D5766">
        <w:t xml:space="preserve">estimates derived for </w:t>
      </w:r>
      <w:r w:rsidR="003B7CD2">
        <w:t>time-tiered</w:t>
      </w:r>
      <w:r>
        <w:t xml:space="preserve"> items.</w:t>
      </w:r>
    </w:p>
    <w:p w14:paraId="1045CFF3" w14:textId="77777777" w:rsidR="001D0AE4" w:rsidRPr="00377163" w:rsidRDefault="001D0AE4" w:rsidP="0079641B">
      <w:pPr>
        <w:pStyle w:val="Heading4"/>
      </w:pPr>
      <w:r w:rsidRPr="00377163">
        <w:t>Case conferencing</w:t>
      </w:r>
      <w:r w:rsidR="00377163" w:rsidRPr="00377163">
        <w:t>:</w:t>
      </w:r>
    </w:p>
    <w:p w14:paraId="6147527A" w14:textId="77777777" w:rsidR="00995309" w:rsidRDefault="004D5766" w:rsidP="0079641B">
      <w:pPr>
        <w:pStyle w:val="AspexNumberedBullet2"/>
        <w:numPr>
          <w:ilvl w:val="1"/>
          <w:numId w:val="36"/>
        </w:numPr>
      </w:pPr>
      <w:r>
        <w:t xml:space="preserve">Costs for </w:t>
      </w:r>
      <w:r w:rsidR="00995309">
        <w:t xml:space="preserve">an additional </w:t>
      </w:r>
      <w:r>
        <w:t xml:space="preserve">5% of all </w:t>
      </w:r>
      <w:r w:rsidR="00995309">
        <w:t xml:space="preserve">treatment </w:t>
      </w:r>
      <w:r>
        <w:t xml:space="preserve">items </w:t>
      </w:r>
      <w:r w:rsidR="00995309">
        <w:t xml:space="preserve">(uniformly distributed across tiers 1-4) </w:t>
      </w:r>
      <w:r>
        <w:t xml:space="preserve">were </w:t>
      </w:r>
      <w:r w:rsidR="00995309">
        <w:t xml:space="preserve">incorporated at the newly established </w:t>
      </w:r>
      <w:r w:rsidR="003B7CD2">
        <w:t>time-tiered</w:t>
      </w:r>
      <w:r w:rsidR="00995309">
        <w:t xml:space="preserve"> rates to accommodate two new items relating to:</w:t>
      </w:r>
    </w:p>
    <w:p w14:paraId="0833EAD0" w14:textId="77777777" w:rsidR="00995309" w:rsidRDefault="00995309" w:rsidP="00995309">
      <w:pPr>
        <w:pStyle w:val="AspexNumberedBullet3"/>
      </w:pPr>
      <w:r>
        <w:t xml:space="preserve">Case conference participation having co-ordinated other professional involvement prior to the meeting (as an unbilled activity) and acting as case conference chair during the meeting, to be billed at the full rates of the new </w:t>
      </w:r>
      <w:r w:rsidR="003B7CD2">
        <w:t>time-tiered</w:t>
      </w:r>
      <w:r>
        <w:t xml:space="preserve"> schedule; and</w:t>
      </w:r>
    </w:p>
    <w:p w14:paraId="4AC3F4E5" w14:textId="77777777" w:rsidR="00995309" w:rsidRDefault="00995309" w:rsidP="00995309">
      <w:pPr>
        <w:pStyle w:val="AspexNumberedBullet3"/>
      </w:pPr>
      <w:r>
        <w:t xml:space="preserve">Case conference participation (without prior co-ordination and without responsibilities of the chair), to be billed at 80% of the full rates of the new </w:t>
      </w:r>
      <w:r w:rsidR="003B7CD2">
        <w:t>time-tiered</w:t>
      </w:r>
      <w:r>
        <w:t xml:space="preserve"> schedule.</w:t>
      </w:r>
    </w:p>
    <w:p w14:paraId="5A96CC08" w14:textId="77777777" w:rsidR="004D5766" w:rsidRDefault="004D5766" w:rsidP="004D5766">
      <w:pPr>
        <w:pStyle w:val="AspexNumberedBullet2"/>
      </w:pPr>
      <w:r>
        <w:t xml:space="preserve">These </w:t>
      </w:r>
      <w:r w:rsidR="00995309">
        <w:t>costs</w:t>
      </w:r>
      <w:r>
        <w:t xml:space="preserve"> were added to the existing estimates derived for </w:t>
      </w:r>
      <w:r w:rsidR="003B7CD2">
        <w:t>time-tiered</w:t>
      </w:r>
      <w:r>
        <w:t xml:space="preserve"> items</w:t>
      </w:r>
      <w:r w:rsidR="00995309">
        <w:t xml:space="preserve"> with complex treatment and management planning</w:t>
      </w:r>
      <w:r>
        <w:t>.</w:t>
      </w:r>
    </w:p>
    <w:p w14:paraId="661E3CC0" w14:textId="77777777" w:rsidR="001D0AE4" w:rsidRPr="00377163" w:rsidRDefault="001D0AE4" w:rsidP="0079641B">
      <w:pPr>
        <w:pStyle w:val="Heading4"/>
      </w:pPr>
      <w:r w:rsidRPr="00377163">
        <w:t>Workforce changes</w:t>
      </w:r>
      <w:r w:rsidR="00377163" w:rsidRPr="00377163">
        <w:t>:</w:t>
      </w:r>
    </w:p>
    <w:p w14:paraId="310D7688" w14:textId="77777777" w:rsidR="00E14513" w:rsidRPr="00433E42" w:rsidRDefault="00E14513" w:rsidP="0079641B">
      <w:pPr>
        <w:pStyle w:val="AspexNumberedBullet2"/>
        <w:numPr>
          <w:ilvl w:val="1"/>
          <w:numId w:val="38"/>
        </w:numPr>
      </w:pPr>
      <w:r w:rsidRPr="00433E42">
        <w:t>Costs associated with anticipated changes in workforce arrangements were based upon:</w:t>
      </w:r>
    </w:p>
    <w:p w14:paraId="6C88FEA5" w14:textId="1F033247" w:rsidR="00E14513" w:rsidRPr="00433E42" w:rsidRDefault="00E14513" w:rsidP="00E14513">
      <w:pPr>
        <w:pStyle w:val="AspexNumberedBullet3"/>
      </w:pPr>
      <w:r w:rsidRPr="00433E42">
        <w:t>A net reduction in practicing fellows from t</w:t>
      </w:r>
      <w:r w:rsidR="00433E42" w:rsidRPr="00433E42">
        <w:t>he current estimated base of 107</w:t>
      </w:r>
      <w:r w:rsidRPr="00433E42">
        <w:t xml:space="preserve"> by 5 in 2014 and an additional 10 in 2015 (from data on the number of fellows reaching the age of retirement: &gt;65 years).</w:t>
      </w:r>
    </w:p>
    <w:p w14:paraId="5E9DE578" w14:textId="5939B386" w:rsidR="00E14513" w:rsidRPr="00433E42" w:rsidRDefault="00E14513" w:rsidP="00E14513">
      <w:pPr>
        <w:pStyle w:val="AspexNumberedBullet3"/>
      </w:pPr>
      <w:r w:rsidRPr="00433E42">
        <w:t xml:space="preserve">A net increase in practicing fellows from graduating trainees above the estimated base of </w:t>
      </w:r>
      <w:r w:rsidR="00433E42" w:rsidRPr="00433E42">
        <w:t>107 in 2013 by 3 in 2015</w:t>
      </w:r>
      <w:r w:rsidRPr="00433E42">
        <w:t xml:space="preserve"> (from data on the number of trainees anticipated to graduate).</w:t>
      </w:r>
    </w:p>
    <w:p w14:paraId="6A790B3A" w14:textId="77777777" w:rsidR="00E14513" w:rsidRPr="00433E42" w:rsidRDefault="00E14513" w:rsidP="00E14513">
      <w:pPr>
        <w:pStyle w:val="AspexNumberedBullet3"/>
      </w:pPr>
      <w:r w:rsidRPr="00433E42">
        <w:t xml:space="preserve">A </w:t>
      </w:r>
      <w:r w:rsidR="005D3562" w:rsidRPr="00433E42">
        <w:t xml:space="preserve">constant rate of increment to a </w:t>
      </w:r>
      <w:r w:rsidRPr="00433E42">
        <w:t xml:space="preserve">net increase in the proportion of current fellows undertaking increased private practice activity, assumed at a 30% increase for all fellows engaging in private practice (but not working in private practice on a full time basis) </w:t>
      </w:r>
      <w:r w:rsidR="005D3562" w:rsidRPr="00433E42">
        <w:t>over the next two years (from 2014-1015).</w:t>
      </w:r>
    </w:p>
    <w:p w14:paraId="40B099B8" w14:textId="77777777" w:rsidR="00E14513" w:rsidRDefault="00E14513" w:rsidP="00E14513">
      <w:pPr>
        <w:pStyle w:val="AspexNumberedBullet2"/>
      </w:pPr>
      <w:r>
        <w:t xml:space="preserve">These costs were added to the existing estimates derived for </w:t>
      </w:r>
      <w:r w:rsidR="003B7CD2">
        <w:t>time-tiered</w:t>
      </w:r>
      <w:r>
        <w:t xml:space="preserve"> items with complex treatment and management planning</w:t>
      </w:r>
      <w:r w:rsidR="005D3562">
        <w:t xml:space="preserve"> and multi-disciplinary case conferencing</w:t>
      </w:r>
      <w:r>
        <w:t>.</w:t>
      </w:r>
    </w:p>
    <w:p w14:paraId="52060607" w14:textId="77777777" w:rsidR="001D0AE4" w:rsidRPr="00377163" w:rsidRDefault="008C29C6" w:rsidP="0079641B">
      <w:pPr>
        <w:pStyle w:val="Heading4"/>
      </w:pPr>
      <w:r>
        <w:lastRenderedPageBreak/>
        <w:t>Infectious Disease Physician</w:t>
      </w:r>
      <w:r w:rsidR="00377163" w:rsidRPr="00377163">
        <w:t>:</w:t>
      </w:r>
    </w:p>
    <w:p w14:paraId="4C2220BF" w14:textId="14258CAE" w:rsidR="005D3562" w:rsidRDefault="005D3562" w:rsidP="0079641B">
      <w:pPr>
        <w:pStyle w:val="AspexNumberedBullet2"/>
        <w:numPr>
          <w:ilvl w:val="1"/>
          <w:numId w:val="39"/>
        </w:numPr>
      </w:pPr>
      <w:r>
        <w:t xml:space="preserve">Costs </w:t>
      </w:r>
      <w:r w:rsidR="008C6646">
        <w:t xml:space="preserve">for current </w:t>
      </w:r>
      <w:r w:rsidR="000E2752" w:rsidRPr="000E2752">
        <w:t xml:space="preserve">sexual health medicine </w:t>
      </w:r>
      <w:r w:rsidR="008C6646">
        <w:t>specialists were transferred/substituted to the equivalent rate of activity that would otherwise be performed by the next most relevant specialty area -</w:t>
      </w:r>
      <w:r w:rsidR="006046EA">
        <w:t>i</w:t>
      </w:r>
      <w:r w:rsidR="008C29C6">
        <w:t xml:space="preserve">nfectious </w:t>
      </w:r>
      <w:r w:rsidR="006046EA">
        <w:t>d</w:t>
      </w:r>
      <w:r w:rsidR="008C29C6">
        <w:t xml:space="preserve">isease </w:t>
      </w:r>
      <w:r w:rsidR="006046EA">
        <w:t>p</w:t>
      </w:r>
      <w:r w:rsidR="008C29C6">
        <w:t>hysician</w:t>
      </w:r>
      <w:r>
        <w:t>:</w:t>
      </w:r>
    </w:p>
    <w:p w14:paraId="544F0FEF" w14:textId="2FF8E574" w:rsidR="008C6646" w:rsidRDefault="008C6646" w:rsidP="008C6646">
      <w:pPr>
        <w:pStyle w:val="AspexNumberedBullet2"/>
      </w:pPr>
      <w:r>
        <w:t xml:space="preserve">Costs of all observed assessment items were transferred/substituted to rate of the current </w:t>
      </w:r>
      <w:r w:rsidR="006046EA">
        <w:t>i</w:t>
      </w:r>
      <w:r w:rsidR="008C29C6">
        <w:t xml:space="preserve">nfectious </w:t>
      </w:r>
      <w:r w:rsidR="006046EA">
        <w:t>d</w:t>
      </w:r>
      <w:r w:rsidR="008C29C6">
        <w:t xml:space="preserve">isease </w:t>
      </w:r>
      <w:r w:rsidR="006046EA">
        <w:t>p</w:t>
      </w:r>
      <w:r w:rsidR="008C29C6">
        <w:t>hysician</w:t>
      </w:r>
      <w:r>
        <w:t xml:space="preserve"> equivalent MBS item </w:t>
      </w:r>
      <w:r w:rsidR="0079641B">
        <w:t>110</w:t>
      </w:r>
      <w:r>
        <w:t xml:space="preserve"> (initial </w:t>
      </w:r>
      <w:r w:rsidR="0079641B">
        <w:t>attendance</w:t>
      </w:r>
      <w:r w:rsidR="008B5CE2">
        <w:t xml:space="preserve"> following referral</w:t>
      </w:r>
      <w:r>
        <w:t>).</w:t>
      </w:r>
    </w:p>
    <w:p w14:paraId="782327C7" w14:textId="77777777" w:rsidR="008C6646" w:rsidRDefault="008C6646" w:rsidP="008C6646">
      <w:pPr>
        <w:pStyle w:val="AspexNumberedBullet3"/>
      </w:pPr>
      <w:r>
        <w:t>All assessment occasions of service were retained under an assumption of modified equivalence allowing a comprehensive assessment to occur at any point in the patient episode of care.</w:t>
      </w:r>
    </w:p>
    <w:p w14:paraId="77B9E2F8" w14:textId="77777777" w:rsidR="008C6646" w:rsidRDefault="008C6646" w:rsidP="008C6646">
      <w:pPr>
        <w:pStyle w:val="AspexNumberedBullet3"/>
      </w:pPr>
      <w:r>
        <w:t>Items relating to complex assessment or management planning were included as components of assessment.</w:t>
      </w:r>
    </w:p>
    <w:p w14:paraId="314530AB" w14:textId="3FEF6F4A" w:rsidR="008C6646" w:rsidRDefault="008C6646" w:rsidP="008C6646">
      <w:pPr>
        <w:pStyle w:val="AspexNumberedBullet2"/>
      </w:pPr>
      <w:r>
        <w:t xml:space="preserve">Costs of all observed treatment items were transferred/substituted to a rate of the current </w:t>
      </w:r>
      <w:r w:rsidR="006046EA">
        <w:t>i</w:t>
      </w:r>
      <w:r w:rsidR="008C29C6">
        <w:t xml:space="preserve">nfectious </w:t>
      </w:r>
      <w:r w:rsidR="006046EA">
        <w:t>d</w:t>
      </w:r>
      <w:r w:rsidR="008C29C6">
        <w:t xml:space="preserve">isease </w:t>
      </w:r>
      <w:r w:rsidR="006046EA">
        <w:t>p</w:t>
      </w:r>
      <w:r w:rsidR="008C29C6">
        <w:t>hysician</w:t>
      </w:r>
      <w:r>
        <w:t xml:space="preserve"> equivalent MBS item </w:t>
      </w:r>
      <w:r w:rsidR="0079641B">
        <w:t>116</w:t>
      </w:r>
      <w:r>
        <w:t xml:space="preserve"> (subsequent attendance).</w:t>
      </w:r>
    </w:p>
    <w:p w14:paraId="4668CB3D" w14:textId="77777777" w:rsidR="008C6646" w:rsidRDefault="008C6646" w:rsidP="008C6646">
      <w:pPr>
        <w:pStyle w:val="AspexNumberedBullet3"/>
      </w:pPr>
      <w:r>
        <w:t>Treatment occasions of service were retained under an assumption of modified equivalence allowing a patient review to occur at any point in the patient episode of care.</w:t>
      </w:r>
      <w:r w:rsidR="008B5CE2">
        <w:t xml:space="preserve"> </w:t>
      </w:r>
    </w:p>
    <w:p w14:paraId="3D49C910" w14:textId="4DEA76EC" w:rsidR="008C6646" w:rsidRDefault="008C6646" w:rsidP="008C6646">
      <w:pPr>
        <w:pStyle w:val="AspexNumberedBullet3"/>
      </w:pPr>
      <w:r>
        <w:t>Items relating to multidisciplinary case conferencing were included as components of treatment.</w:t>
      </w:r>
    </w:p>
    <w:p w14:paraId="52B345D9" w14:textId="77777777" w:rsidR="001D0AE4" w:rsidRPr="00377163" w:rsidRDefault="008C29C6" w:rsidP="0079641B">
      <w:pPr>
        <w:pStyle w:val="Heading4"/>
      </w:pPr>
      <w:r>
        <w:t>Infectious Disease Physician</w:t>
      </w:r>
      <w:r w:rsidR="001D0AE4" w:rsidRPr="00377163">
        <w:t xml:space="preserve"> with complex treatment and management planning and case conferencing</w:t>
      </w:r>
      <w:r w:rsidR="00377163" w:rsidRPr="00377163">
        <w:t>:</w:t>
      </w:r>
    </w:p>
    <w:p w14:paraId="428B8A45" w14:textId="273304CE" w:rsidR="003C2C56" w:rsidRDefault="003C2C56" w:rsidP="0079641B">
      <w:pPr>
        <w:pStyle w:val="AspexNumberedBullet2"/>
        <w:numPr>
          <w:ilvl w:val="1"/>
          <w:numId w:val="40"/>
        </w:numPr>
      </w:pPr>
      <w:r>
        <w:t xml:space="preserve">Costs for current </w:t>
      </w:r>
      <w:r w:rsidR="000E2752" w:rsidRPr="000E2752">
        <w:t xml:space="preserve">sexual health medicine </w:t>
      </w:r>
      <w:r>
        <w:t xml:space="preserve">specialists were transferred/substituted to the equivalent rate of activity that would otherwise be performed by the next most relevant specialty area </w:t>
      </w:r>
      <w:r w:rsidR="00393DFE">
        <w:t>–</w:t>
      </w:r>
      <w:r>
        <w:t xml:space="preserve"> </w:t>
      </w:r>
      <w:r w:rsidR="006046EA">
        <w:t>i</w:t>
      </w:r>
      <w:r w:rsidR="008C29C6">
        <w:t xml:space="preserve">nfectious </w:t>
      </w:r>
      <w:r w:rsidR="006046EA">
        <w:t>d</w:t>
      </w:r>
      <w:r w:rsidR="008C29C6">
        <w:t xml:space="preserve">isease </w:t>
      </w:r>
      <w:r w:rsidR="006046EA">
        <w:t>p</w:t>
      </w:r>
      <w:r w:rsidR="008C29C6">
        <w:t>hysician</w:t>
      </w:r>
      <w:r w:rsidR="00393DFE">
        <w:t xml:space="preserve">.  As for </w:t>
      </w:r>
      <w:r w:rsidR="0079641B">
        <w:t>the previous scenario</w:t>
      </w:r>
      <w:r>
        <w:t>:</w:t>
      </w:r>
    </w:p>
    <w:p w14:paraId="7E445D3E" w14:textId="04610629" w:rsidR="003C2C56" w:rsidRDefault="003C2C56" w:rsidP="00393DFE">
      <w:pPr>
        <w:pStyle w:val="AspexNumberedBullet3"/>
      </w:pPr>
      <w:r>
        <w:t xml:space="preserve">Costs of all observed assessment items were transferred/substituted to rate of the current </w:t>
      </w:r>
      <w:r w:rsidR="006046EA">
        <w:t>i</w:t>
      </w:r>
      <w:r w:rsidR="008C29C6">
        <w:t xml:space="preserve">nfectious </w:t>
      </w:r>
      <w:r w:rsidR="006046EA">
        <w:t>d</w:t>
      </w:r>
      <w:r w:rsidR="008C29C6">
        <w:t xml:space="preserve">isease </w:t>
      </w:r>
      <w:r w:rsidR="006046EA">
        <w:t>p</w:t>
      </w:r>
      <w:r w:rsidR="008C29C6">
        <w:t>hysician</w:t>
      </w:r>
      <w:r>
        <w:t xml:space="preserve"> equivalent MBS item </w:t>
      </w:r>
      <w:r w:rsidR="0079641B">
        <w:t>110</w:t>
      </w:r>
      <w:r>
        <w:t xml:space="preserve"> (initial consultation following referral).</w:t>
      </w:r>
    </w:p>
    <w:p w14:paraId="1FBA0E1C" w14:textId="104038A3" w:rsidR="00377163" w:rsidRDefault="003C2C56" w:rsidP="00393DFE">
      <w:pPr>
        <w:pStyle w:val="AspexNumberedBullet3"/>
      </w:pPr>
      <w:r>
        <w:t xml:space="preserve">Costs of all observed treatment items were transferred/substituted to a rate of the current </w:t>
      </w:r>
      <w:r w:rsidR="006046EA">
        <w:t>i</w:t>
      </w:r>
      <w:r w:rsidR="008C29C6">
        <w:t xml:space="preserve">nfectious </w:t>
      </w:r>
      <w:r w:rsidR="006046EA">
        <w:t>d</w:t>
      </w:r>
      <w:r w:rsidR="008C29C6">
        <w:t xml:space="preserve">isease </w:t>
      </w:r>
      <w:r w:rsidR="006046EA">
        <w:t>p</w:t>
      </w:r>
      <w:r w:rsidR="008C29C6">
        <w:t>hysician</w:t>
      </w:r>
      <w:r>
        <w:t xml:space="preserve"> equivalent MBS item </w:t>
      </w:r>
      <w:r w:rsidR="0079641B">
        <w:t>116</w:t>
      </w:r>
      <w:r>
        <w:t xml:space="preserve"> (subsequent attendance).</w:t>
      </w:r>
    </w:p>
    <w:p w14:paraId="3FBC01F1" w14:textId="77777777" w:rsidR="00393DFE" w:rsidRDefault="00393DFE" w:rsidP="00377163">
      <w:pPr>
        <w:pStyle w:val="AspexNumberedBullet2"/>
      </w:pPr>
      <w:r>
        <w:t xml:space="preserve">In addition to </w:t>
      </w:r>
      <w:r w:rsidR="0079641B">
        <w:t>the previous scenario</w:t>
      </w:r>
      <w:r>
        <w:t xml:space="preserve">, complex assessment or management planning was also transferred/substituted to a rate of the current </w:t>
      </w:r>
      <w:r w:rsidR="008C29C6">
        <w:t>Infectious Disease Physician</w:t>
      </w:r>
      <w:r>
        <w:t xml:space="preserve"> equivalent MBS item</w:t>
      </w:r>
      <w:r w:rsidR="0079641B">
        <w:t>s</w:t>
      </w:r>
      <w:r>
        <w:t xml:space="preserve"> </w:t>
      </w:r>
      <w:r w:rsidR="0079641B">
        <w:t>132 and 133</w:t>
      </w:r>
      <w:r>
        <w:t xml:space="preserve"> (referred patient assessment and management plan).</w:t>
      </w:r>
    </w:p>
    <w:p w14:paraId="2AA3561D" w14:textId="77777777" w:rsidR="001D0AE4" w:rsidRDefault="00377163" w:rsidP="00377163">
      <w:pPr>
        <w:pStyle w:val="AspexBodyStandard"/>
      </w:pPr>
      <w:r>
        <w:t>Graphical comparisons were made in all scenarios to present current modelled estim</w:t>
      </w:r>
      <w:r w:rsidR="003C2C56">
        <w:t xml:space="preserve">ates of services and costs for </w:t>
      </w:r>
      <w:r>
        <w:t xml:space="preserve">2010, 2011, 2012 followed by comparative costs for the estimated cohort of </w:t>
      </w:r>
      <w:r w:rsidR="000E2752" w:rsidRPr="000E2752">
        <w:t xml:space="preserve">sexual health medicine </w:t>
      </w:r>
      <w:r>
        <w:t>specialists funded under different rates of MBS reimbursement.</w:t>
      </w:r>
    </w:p>
    <w:p w14:paraId="572B6F06" w14:textId="77777777" w:rsidR="00307A1B" w:rsidRDefault="00DF1415" w:rsidP="00DF1415">
      <w:pPr>
        <w:pStyle w:val="AspexAppendixlevel1"/>
      </w:pPr>
      <w:r>
        <w:lastRenderedPageBreak/>
        <w:t>MBS item groups and classifications</w:t>
      </w:r>
    </w:p>
    <w:p w14:paraId="384F26E0" w14:textId="77777777" w:rsidR="00DF1415" w:rsidRDefault="00FD228E" w:rsidP="00DF1415">
      <w:pPr>
        <w:pStyle w:val="AspexBodyStandard"/>
      </w:pPr>
      <w:r>
        <w:t>Items classified as assessment involved prolonged or comprehensive consultations or initial attendances estimated to last for more than 40-45 minutes duration (in accordance with feedback on the length of time to undertake a comprehensive assessment, provided by Chapter fellows).</w:t>
      </w:r>
    </w:p>
    <w:p w14:paraId="4F933637" w14:textId="77777777" w:rsidR="00FD228E" w:rsidRDefault="00FD228E" w:rsidP="00DF1415">
      <w:pPr>
        <w:pStyle w:val="AspexBodyStandard"/>
      </w:pPr>
      <w:r>
        <w:t>All items involving development of a referred assessment and/or non-referred comprehensive or other dedicated treatment plan were classified as comprehensive assessment and treatment planning.</w:t>
      </w:r>
    </w:p>
    <w:p w14:paraId="5D93C9D3" w14:textId="77777777" w:rsidR="00FD228E" w:rsidRDefault="00FD228E" w:rsidP="00DF1415">
      <w:pPr>
        <w:pStyle w:val="AspexBodyStandard"/>
      </w:pPr>
      <w:r>
        <w:t>Other standard consultation items (at surgery or home/RACF) were classified as treatment items.</w:t>
      </w:r>
    </w:p>
    <w:p w14:paraId="09B2886F" w14:textId="77777777" w:rsidR="00FD228E" w:rsidRDefault="00FD228E" w:rsidP="00DF1415">
      <w:pPr>
        <w:pStyle w:val="AspexBodyStandard"/>
      </w:pPr>
      <w:r>
        <w:t>Multidisciplinary case conferencing, and group/family therapy items were separately classified.</w:t>
      </w:r>
    </w:p>
    <w:tbl>
      <w:tblPr>
        <w:tblStyle w:val="AspexTable1"/>
        <w:tblW w:w="9067" w:type="dxa"/>
        <w:tblLayout w:type="fixed"/>
        <w:tblLook w:val="04A0" w:firstRow="1" w:lastRow="0" w:firstColumn="1" w:lastColumn="0" w:noHBand="0" w:noVBand="1"/>
        <w:tblCaption w:val="MBS item groups and classifications"/>
      </w:tblPr>
      <w:tblGrid>
        <w:gridCol w:w="1555"/>
        <w:gridCol w:w="1984"/>
        <w:gridCol w:w="1843"/>
        <w:gridCol w:w="992"/>
        <w:gridCol w:w="1134"/>
        <w:gridCol w:w="1559"/>
      </w:tblGrid>
      <w:tr w:rsidR="00DF1415" w:rsidRPr="00DF1415" w14:paraId="763EF996" w14:textId="77777777" w:rsidTr="00743919">
        <w:trPr>
          <w:cnfStyle w:val="100000000000" w:firstRow="1" w:lastRow="0" w:firstColumn="0" w:lastColumn="0" w:oddVBand="0" w:evenVBand="0" w:oddHBand="0" w:evenHBand="0" w:firstRowFirstColumn="0" w:firstRowLastColumn="0" w:lastRowFirstColumn="0" w:lastRowLastColumn="0"/>
          <w:trHeight w:val="300"/>
          <w:tblHeader/>
        </w:trPr>
        <w:tc>
          <w:tcPr>
            <w:tcW w:w="1555" w:type="dxa"/>
            <w:noWrap/>
            <w:hideMark/>
          </w:tcPr>
          <w:p w14:paraId="2128C991" w14:textId="77777777" w:rsidR="00DF1415" w:rsidRPr="003F0101" w:rsidRDefault="00DF1415" w:rsidP="00DF1415">
            <w:pPr>
              <w:spacing w:beforeLines="0" w:before="144" w:afterLines="0" w:after="144" w:line="240" w:lineRule="auto"/>
              <w:rPr>
                <w:rFonts w:ascii="Arial Narrow" w:hAnsi="Arial Narrow"/>
                <w:color w:val="FFFFFF" w:themeColor="background1"/>
                <w:sz w:val="20"/>
              </w:rPr>
            </w:pPr>
            <w:r w:rsidRPr="003F0101">
              <w:rPr>
                <w:rFonts w:ascii="Arial Narrow" w:hAnsi="Arial Narrow"/>
                <w:color w:val="FFFFFF" w:themeColor="background1"/>
                <w:sz w:val="20"/>
              </w:rPr>
              <w:t>Category Description</w:t>
            </w:r>
          </w:p>
        </w:tc>
        <w:tc>
          <w:tcPr>
            <w:tcW w:w="1984" w:type="dxa"/>
            <w:noWrap/>
            <w:hideMark/>
          </w:tcPr>
          <w:p w14:paraId="34C97ED7" w14:textId="77777777" w:rsidR="00DF1415" w:rsidRPr="003F0101" w:rsidRDefault="00DF1415" w:rsidP="00DF1415">
            <w:pPr>
              <w:spacing w:beforeLines="0" w:before="144" w:afterLines="0" w:after="144" w:line="240" w:lineRule="auto"/>
              <w:rPr>
                <w:rFonts w:ascii="Arial Narrow" w:hAnsi="Arial Narrow"/>
                <w:color w:val="FFFFFF" w:themeColor="background1"/>
                <w:sz w:val="20"/>
              </w:rPr>
            </w:pPr>
            <w:r w:rsidRPr="003F0101">
              <w:rPr>
                <w:rFonts w:ascii="Arial Narrow" w:hAnsi="Arial Narrow"/>
                <w:color w:val="FFFFFF" w:themeColor="background1"/>
                <w:sz w:val="20"/>
              </w:rPr>
              <w:t>Group Description</w:t>
            </w:r>
          </w:p>
        </w:tc>
        <w:tc>
          <w:tcPr>
            <w:tcW w:w="1843" w:type="dxa"/>
            <w:noWrap/>
            <w:hideMark/>
          </w:tcPr>
          <w:p w14:paraId="3113DCAB" w14:textId="77777777" w:rsidR="00DF1415" w:rsidRPr="003F0101" w:rsidRDefault="00DF1415" w:rsidP="00DF1415">
            <w:pPr>
              <w:spacing w:beforeLines="0" w:before="144" w:afterLines="0" w:after="144" w:line="240" w:lineRule="auto"/>
              <w:rPr>
                <w:rFonts w:ascii="Arial Narrow" w:hAnsi="Arial Narrow"/>
                <w:color w:val="FFFFFF" w:themeColor="background1"/>
                <w:sz w:val="20"/>
              </w:rPr>
            </w:pPr>
            <w:r w:rsidRPr="003F0101">
              <w:rPr>
                <w:rFonts w:ascii="Arial Narrow" w:hAnsi="Arial Narrow"/>
                <w:color w:val="FFFFFF" w:themeColor="background1"/>
                <w:sz w:val="20"/>
              </w:rPr>
              <w:t>Sub Group Description</w:t>
            </w:r>
          </w:p>
        </w:tc>
        <w:tc>
          <w:tcPr>
            <w:tcW w:w="992" w:type="dxa"/>
            <w:noWrap/>
            <w:hideMark/>
          </w:tcPr>
          <w:p w14:paraId="62054870" w14:textId="77777777" w:rsidR="00DF1415" w:rsidRPr="003F0101" w:rsidRDefault="00DF1415" w:rsidP="00DF1415">
            <w:pPr>
              <w:spacing w:beforeLines="0" w:before="144" w:afterLines="0" w:after="144" w:line="240" w:lineRule="auto"/>
              <w:rPr>
                <w:rFonts w:ascii="Arial Narrow" w:hAnsi="Arial Narrow"/>
                <w:color w:val="FFFFFF" w:themeColor="background1"/>
                <w:sz w:val="20"/>
              </w:rPr>
            </w:pPr>
            <w:r w:rsidRPr="003F0101">
              <w:rPr>
                <w:rFonts w:ascii="Arial Narrow" w:hAnsi="Arial Narrow"/>
                <w:color w:val="FFFFFF" w:themeColor="background1"/>
                <w:sz w:val="20"/>
              </w:rPr>
              <w:t>aggr item No.</w:t>
            </w:r>
          </w:p>
        </w:tc>
        <w:tc>
          <w:tcPr>
            <w:tcW w:w="1134" w:type="dxa"/>
            <w:noWrap/>
            <w:hideMark/>
          </w:tcPr>
          <w:p w14:paraId="7FB8D2FD" w14:textId="77777777" w:rsidR="00DF1415" w:rsidRPr="003F0101" w:rsidRDefault="00DF1415" w:rsidP="00DF1415">
            <w:pPr>
              <w:spacing w:beforeLines="0" w:before="144" w:afterLines="0" w:after="144" w:line="240" w:lineRule="auto"/>
              <w:rPr>
                <w:rFonts w:ascii="Arial Narrow" w:hAnsi="Arial Narrow"/>
                <w:color w:val="FFFFFF" w:themeColor="background1"/>
                <w:sz w:val="20"/>
              </w:rPr>
            </w:pPr>
            <w:r w:rsidRPr="003F0101">
              <w:rPr>
                <w:rFonts w:ascii="Arial Narrow" w:hAnsi="Arial Narrow"/>
                <w:color w:val="FFFFFF" w:themeColor="background1"/>
                <w:sz w:val="20"/>
              </w:rPr>
              <w:t>Timed or untimed</w:t>
            </w:r>
          </w:p>
        </w:tc>
        <w:tc>
          <w:tcPr>
            <w:tcW w:w="1559" w:type="dxa"/>
            <w:noWrap/>
            <w:hideMark/>
          </w:tcPr>
          <w:p w14:paraId="70834019" w14:textId="77777777" w:rsidR="00DF1415" w:rsidRPr="003F0101" w:rsidRDefault="00DF1415" w:rsidP="00DF1415">
            <w:pPr>
              <w:spacing w:beforeLines="0" w:before="144" w:afterLines="0" w:after="144" w:line="240" w:lineRule="auto"/>
              <w:rPr>
                <w:rFonts w:ascii="Arial Narrow" w:hAnsi="Arial Narrow"/>
                <w:color w:val="FFFFFF" w:themeColor="background1"/>
                <w:sz w:val="20"/>
              </w:rPr>
            </w:pPr>
            <w:r w:rsidRPr="003F0101">
              <w:rPr>
                <w:rFonts w:ascii="Arial Narrow" w:hAnsi="Arial Narrow"/>
                <w:color w:val="FFFFFF" w:themeColor="background1"/>
                <w:sz w:val="20"/>
              </w:rPr>
              <w:t>probable assessment or treatment</w:t>
            </w:r>
          </w:p>
        </w:tc>
      </w:tr>
      <w:tr w:rsidR="00743919" w14:paraId="4E36524C" w14:textId="77777777" w:rsidTr="00743919">
        <w:trPr>
          <w:trHeight w:val="302"/>
        </w:trPr>
        <w:tc>
          <w:tcPr>
            <w:tcW w:w="1555" w:type="dxa"/>
          </w:tcPr>
          <w:p w14:paraId="68F9EF18" w14:textId="77777777" w:rsidR="00743919" w:rsidRPr="00F333A1" w:rsidRDefault="00743919" w:rsidP="00743919">
            <w:pPr>
              <w:widowControl w:val="0"/>
              <w:autoSpaceDE w:val="0"/>
              <w:autoSpaceDN w:val="0"/>
              <w:adjustRightInd w:val="0"/>
              <w:spacing w:before="144" w:after="144" w:line="240" w:lineRule="auto"/>
              <w:rPr>
                <w:rFonts w:ascii="Arial Narrow" w:hAnsi="Arial Narrow" w:cs="Calibri"/>
                <w:sz w:val="20"/>
                <w:lang w:val="en-US" w:eastAsia="en-AU"/>
              </w:rPr>
            </w:pPr>
            <w:r w:rsidRPr="00F333A1">
              <w:rPr>
                <w:rFonts w:ascii="Arial Narrow" w:hAnsi="Arial Narrow" w:cs="Calibri"/>
                <w:sz w:val="20"/>
                <w:lang w:val="en-US" w:eastAsia="en-AU"/>
              </w:rPr>
              <w:t>1 Professional Attendances</w:t>
            </w:r>
            <w:r w:rsidRPr="00F333A1">
              <w:rPr>
                <w:rFonts w:ascii="Arial Narrow" w:hAnsi="Arial Narrow" w:cs="Calibri"/>
                <w:sz w:val="20"/>
                <w:lang w:val="en-US" w:eastAsia="en-AU"/>
              </w:rPr>
              <w:tab/>
            </w:r>
          </w:p>
        </w:tc>
        <w:tc>
          <w:tcPr>
            <w:tcW w:w="1984" w:type="dxa"/>
          </w:tcPr>
          <w:p w14:paraId="57565272" w14:textId="77777777" w:rsidR="00743919" w:rsidRPr="00743919" w:rsidRDefault="00743919" w:rsidP="00743919">
            <w:pPr>
              <w:widowControl w:val="0"/>
              <w:autoSpaceDE w:val="0"/>
              <w:autoSpaceDN w:val="0"/>
              <w:adjustRightInd w:val="0"/>
              <w:spacing w:before="144" w:after="144"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 General Practitioner</w:t>
            </w:r>
          </w:p>
        </w:tc>
        <w:tc>
          <w:tcPr>
            <w:tcW w:w="1843" w:type="dxa"/>
          </w:tcPr>
          <w:p w14:paraId="25A5BA61" w14:textId="77777777" w:rsidR="00743919" w:rsidRPr="00743919" w:rsidRDefault="00743919" w:rsidP="00743919">
            <w:pPr>
              <w:widowControl w:val="0"/>
              <w:autoSpaceDE w:val="0"/>
              <w:autoSpaceDN w:val="0"/>
              <w:adjustRightInd w:val="0"/>
              <w:spacing w:before="144" w:after="144"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GP Attendances</w:t>
            </w:r>
          </w:p>
        </w:tc>
        <w:tc>
          <w:tcPr>
            <w:tcW w:w="992" w:type="dxa"/>
          </w:tcPr>
          <w:p w14:paraId="61EBE258" w14:textId="77777777" w:rsidR="00743919" w:rsidRPr="00743919" w:rsidRDefault="00743919" w:rsidP="00743919">
            <w:pPr>
              <w:widowControl w:val="0"/>
              <w:autoSpaceDE w:val="0"/>
              <w:autoSpaceDN w:val="0"/>
              <w:adjustRightInd w:val="0"/>
              <w:spacing w:before="144" w:after="144"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w:t>
            </w:r>
          </w:p>
        </w:tc>
        <w:tc>
          <w:tcPr>
            <w:tcW w:w="1134" w:type="dxa"/>
          </w:tcPr>
          <w:p w14:paraId="31573245" w14:textId="77777777" w:rsidR="00743919" w:rsidRPr="00743919" w:rsidRDefault="00743919" w:rsidP="00743919">
            <w:pPr>
              <w:widowControl w:val="0"/>
              <w:autoSpaceDE w:val="0"/>
              <w:autoSpaceDN w:val="0"/>
              <w:adjustRightInd w:val="0"/>
              <w:spacing w:before="144" w:after="144"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793054E8" w14:textId="77777777" w:rsidR="00743919" w:rsidRPr="00743919" w:rsidRDefault="00743919" w:rsidP="00743919">
            <w:pPr>
              <w:widowControl w:val="0"/>
              <w:autoSpaceDE w:val="0"/>
              <w:autoSpaceDN w:val="0"/>
              <w:adjustRightInd w:val="0"/>
              <w:spacing w:before="144" w:after="144"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F160F6" w14:textId="77777777" w:rsidTr="00743919">
        <w:trPr>
          <w:trHeight w:val="302"/>
        </w:trPr>
        <w:tc>
          <w:tcPr>
            <w:tcW w:w="1555" w:type="dxa"/>
          </w:tcPr>
          <w:p w14:paraId="15001DE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088F1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0AB64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A3635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w:t>
            </w:r>
          </w:p>
        </w:tc>
        <w:tc>
          <w:tcPr>
            <w:tcW w:w="1134" w:type="dxa"/>
          </w:tcPr>
          <w:p w14:paraId="7CB60B4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EDBB66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137B33A" w14:textId="77777777" w:rsidTr="00743919">
        <w:trPr>
          <w:trHeight w:val="302"/>
        </w:trPr>
        <w:tc>
          <w:tcPr>
            <w:tcW w:w="1555" w:type="dxa"/>
          </w:tcPr>
          <w:p w14:paraId="3021AB9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6C07A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134C8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10138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23</w:t>
            </w:r>
          </w:p>
        </w:tc>
        <w:tc>
          <w:tcPr>
            <w:tcW w:w="1134" w:type="dxa"/>
          </w:tcPr>
          <w:p w14:paraId="76E8389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0-19.9</w:t>
            </w:r>
          </w:p>
        </w:tc>
        <w:tc>
          <w:tcPr>
            <w:tcW w:w="1559" w:type="dxa"/>
          </w:tcPr>
          <w:p w14:paraId="45D0AAD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B8A1F2" w14:textId="77777777" w:rsidTr="00743919">
        <w:trPr>
          <w:trHeight w:val="302"/>
        </w:trPr>
        <w:tc>
          <w:tcPr>
            <w:tcW w:w="1555" w:type="dxa"/>
          </w:tcPr>
          <w:p w14:paraId="00E3BB3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9142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A5CB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759C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24</w:t>
            </w:r>
          </w:p>
        </w:tc>
        <w:tc>
          <w:tcPr>
            <w:tcW w:w="1134" w:type="dxa"/>
          </w:tcPr>
          <w:p w14:paraId="3FF325D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E001F2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E0D871D" w14:textId="77777777" w:rsidTr="00743919">
        <w:trPr>
          <w:trHeight w:val="302"/>
        </w:trPr>
        <w:tc>
          <w:tcPr>
            <w:tcW w:w="1555" w:type="dxa"/>
          </w:tcPr>
          <w:p w14:paraId="672974F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C79F0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1E12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5B923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w:t>
            </w:r>
          </w:p>
        </w:tc>
        <w:tc>
          <w:tcPr>
            <w:tcW w:w="1134" w:type="dxa"/>
          </w:tcPr>
          <w:p w14:paraId="5A874B4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0-20</w:t>
            </w:r>
          </w:p>
        </w:tc>
        <w:tc>
          <w:tcPr>
            <w:tcW w:w="1559" w:type="dxa"/>
          </w:tcPr>
          <w:p w14:paraId="13603CE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621F19" w14:textId="77777777" w:rsidTr="00743919">
        <w:trPr>
          <w:trHeight w:val="302"/>
        </w:trPr>
        <w:tc>
          <w:tcPr>
            <w:tcW w:w="1555" w:type="dxa"/>
          </w:tcPr>
          <w:p w14:paraId="180566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248D5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45A4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DC668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36</w:t>
            </w:r>
          </w:p>
        </w:tc>
        <w:tc>
          <w:tcPr>
            <w:tcW w:w="1134" w:type="dxa"/>
          </w:tcPr>
          <w:p w14:paraId="0FAB6C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20-20+</w:t>
            </w:r>
          </w:p>
        </w:tc>
        <w:tc>
          <w:tcPr>
            <w:tcW w:w="1559" w:type="dxa"/>
          </w:tcPr>
          <w:p w14:paraId="3E75E86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3C2446" w14:textId="77777777" w:rsidTr="00743919">
        <w:trPr>
          <w:trHeight w:val="302"/>
        </w:trPr>
        <w:tc>
          <w:tcPr>
            <w:tcW w:w="1555" w:type="dxa"/>
          </w:tcPr>
          <w:p w14:paraId="6B4FCDD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F9856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43B1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A0BC0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37</w:t>
            </w:r>
          </w:p>
        </w:tc>
        <w:tc>
          <w:tcPr>
            <w:tcW w:w="1134" w:type="dxa"/>
          </w:tcPr>
          <w:p w14:paraId="6FF458A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20-20+</w:t>
            </w:r>
          </w:p>
        </w:tc>
        <w:tc>
          <w:tcPr>
            <w:tcW w:w="1559" w:type="dxa"/>
          </w:tcPr>
          <w:p w14:paraId="0BF9C66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4A1009" w14:textId="77777777" w:rsidTr="00743919">
        <w:trPr>
          <w:trHeight w:val="302"/>
        </w:trPr>
        <w:tc>
          <w:tcPr>
            <w:tcW w:w="1555" w:type="dxa"/>
          </w:tcPr>
          <w:p w14:paraId="06484B4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E7C9E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EB17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FA75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43</w:t>
            </w:r>
          </w:p>
        </w:tc>
        <w:tc>
          <w:tcPr>
            <w:tcW w:w="1134" w:type="dxa"/>
          </w:tcPr>
          <w:p w14:paraId="59756A7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20-20+</w:t>
            </w:r>
          </w:p>
        </w:tc>
        <w:tc>
          <w:tcPr>
            <w:tcW w:w="1559" w:type="dxa"/>
          </w:tcPr>
          <w:p w14:paraId="088256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8C58B20" w14:textId="77777777" w:rsidTr="00743919">
        <w:trPr>
          <w:trHeight w:val="302"/>
        </w:trPr>
        <w:tc>
          <w:tcPr>
            <w:tcW w:w="1555" w:type="dxa"/>
          </w:tcPr>
          <w:p w14:paraId="3355D6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F2227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C449E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F7C53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44</w:t>
            </w:r>
          </w:p>
        </w:tc>
        <w:tc>
          <w:tcPr>
            <w:tcW w:w="1134" w:type="dxa"/>
          </w:tcPr>
          <w:p w14:paraId="6F9FA0B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40-40+</w:t>
            </w:r>
          </w:p>
        </w:tc>
        <w:tc>
          <w:tcPr>
            <w:tcW w:w="1559" w:type="dxa"/>
          </w:tcPr>
          <w:p w14:paraId="59E59D0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4A1E4355" w14:textId="77777777" w:rsidTr="00743919">
        <w:trPr>
          <w:trHeight w:val="302"/>
        </w:trPr>
        <w:tc>
          <w:tcPr>
            <w:tcW w:w="1555" w:type="dxa"/>
          </w:tcPr>
          <w:p w14:paraId="2D77415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1169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FA49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D787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w:t>
            </w:r>
          </w:p>
        </w:tc>
        <w:tc>
          <w:tcPr>
            <w:tcW w:w="1134" w:type="dxa"/>
          </w:tcPr>
          <w:p w14:paraId="1888D9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40-40+</w:t>
            </w:r>
          </w:p>
        </w:tc>
        <w:tc>
          <w:tcPr>
            <w:tcW w:w="1559" w:type="dxa"/>
          </w:tcPr>
          <w:p w14:paraId="551CBA2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51681F0B" w14:textId="77777777" w:rsidTr="00743919">
        <w:trPr>
          <w:trHeight w:val="302"/>
        </w:trPr>
        <w:tc>
          <w:tcPr>
            <w:tcW w:w="1555" w:type="dxa"/>
          </w:tcPr>
          <w:p w14:paraId="0609F39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6D1B3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DD4D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FF10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51</w:t>
            </w:r>
          </w:p>
        </w:tc>
        <w:tc>
          <w:tcPr>
            <w:tcW w:w="1134" w:type="dxa"/>
          </w:tcPr>
          <w:p w14:paraId="651608D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40-40+</w:t>
            </w:r>
          </w:p>
        </w:tc>
        <w:tc>
          <w:tcPr>
            <w:tcW w:w="1559" w:type="dxa"/>
          </w:tcPr>
          <w:p w14:paraId="195E4AC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5459D2AE" w14:textId="77777777" w:rsidTr="00743919">
        <w:trPr>
          <w:trHeight w:val="302"/>
        </w:trPr>
        <w:tc>
          <w:tcPr>
            <w:tcW w:w="1555" w:type="dxa"/>
          </w:tcPr>
          <w:p w14:paraId="227BC5E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64381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A11 After Hours</w:t>
            </w:r>
          </w:p>
        </w:tc>
        <w:tc>
          <w:tcPr>
            <w:tcW w:w="1843" w:type="dxa"/>
          </w:tcPr>
          <w:p w14:paraId="7CC97A6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General Practitioner - After Hours</w:t>
            </w:r>
          </w:p>
        </w:tc>
        <w:tc>
          <w:tcPr>
            <w:tcW w:w="992" w:type="dxa"/>
          </w:tcPr>
          <w:p w14:paraId="586A12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597</w:t>
            </w:r>
          </w:p>
        </w:tc>
        <w:tc>
          <w:tcPr>
            <w:tcW w:w="1134" w:type="dxa"/>
          </w:tcPr>
          <w:p w14:paraId="784503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A96C03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3DAF1EC" w14:textId="77777777" w:rsidTr="00743919">
        <w:trPr>
          <w:trHeight w:val="302"/>
        </w:trPr>
        <w:tc>
          <w:tcPr>
            <w:tcW w:w="1555" w:type="dxa"/>
          </w:tcPr>
          <w:p w14:paraId="14F433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77AE4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0A469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729E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598</w:t>
            </w:r>
          </w:p>
        </w:tc>
        <w:tc>
          <w:tcPr>
            <w:tcW w:w="1134" w:type="dxa"/>
          </w:tcPr>
          <w:p w14:paraId="0E38FD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55C10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77DBA5E" w14:textId="77777777" w:rsidTr="00743919">
        <w:trPr>
          <w:trHeight w:val="302"/>
        </w:trPr>
        <w:tc>
          <w:tcPr>
            <w:tcW w:w="1555" w:type="dxa"/>
          </w:tcPr>
          <w:p w14:paraId="617FD6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512E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69DD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 General Practitioner - Transitional Hours</w:t>
            </w:r>
          </w:p>
        </w:tc>
        <w:tc>
          <w:tcPr>
            <w:tcW w:w="992" w:type="dxa"/>
          </w:tcPr>
          <w:p w14:paraId="095A7A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600</w:t>
            </w:r>
          </w:p>
        </w:tc>
        <w:tc>
          <w:tcPr>
            <w:tcW w:w="1134" w:type="dxa"/>
          </w:tcPr>
          <w:p w14:paraId="6F2337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24FF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44B16A" w14:textId="77777777" w:rsidTr="00743919">
        <w:trPr>
          <w:trHeight w:val="302"/>
        </w:trPr>
        <w:tc>
          <w:tcPr>
            <w:tcW w:w="1555" w:type="dxa"/>
          </w:tcPr>
          <w:p w14:paraId="5D63951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5B97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A13 Public Health Physician Attendances</w:t>
            </w:r>
          </w:p>
        </w:tc>
        <w:tc>
          <w:tcPr>
            <w:tcW w:w="1843" w:type="dxa"/>
          </w:tcPr>
          <w:p w14:paraId="64D3DFA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2F3751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411</w:t>
            </w:r>
          </w:p>
        </w:tc>
        <w:tc>
          <w:tcPr>
            <w:tcW w:w="1134" w:type="dxa"/>
          </w:tcPr>
          <w:p w14:paraId="7834C0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C3BD5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30F53D" w14:textId="77777777" w:rsidTr="00743919">
        <w:trPr>
          <w:trHeight w:val="302"/>
        </w:trPr>
        <w:tc>
          <w:tcPr>
            <w:tcW w:w="1555" w:type="dxa"/>
          </w:tcPr>
          <w:p w14:paraId="0057096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114C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BF02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AD550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412</w:t>
            </w:r>
          </w:p>
        </w:tc>
        <w:tc>
          <w:tcPr>
            <w:tcW w:w="1134" w:type="dxa"/>
          </w:tcPr>
          <w:p w14:paraId="248E7D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980B1C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A71233" w14:textId="77777777" w:rsidTr="00743919">
        <w:trPr>
          <w:trHeight w:val="302"/>
        </w:trPr>
        <w:tc>
          <w:tcPr>
            <w:tcW w:w="1555" w:type="dxa"/>
          </w:tcPr>
          <w:p w14:paraId="563CE5B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946C0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4A5E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220A2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413</w:t>
            </w:r>
          </w:p>
        </w:tc>
        <w:tc>
          <w:tcPr>
            <w:tcW w:w="1134" w:type="dxa"/>
          </w:tcPr>
          <w:p w14:paraId="38FDFA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79F48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9DD38A7" w14:textId="77777777" w:rsidTr="00743919">
        <w:trPr>
          <w:trHeight w:val="302"/>
        </w:trPr>
        <w:tc>
          <w:tcPr>
            <w:tcW w:w="1555" w:type="dxa"/>
          </w:tcPr>
          <w:p w14:paraId="7371ED9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B5B4F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A14 Health Assessments</w:t>
            </w:r>
          </w:p>
        </w:tc>
        <w:tc>
          <w:tcPr>
            <w:tcW w:w="1843" w:type="dxa"/>
          </w:tcPr>
          <w:p w14:paraId="79ED520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206FF9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701</w:t>
            </w:r>
          </w:p>
        </w:tc>
        <w:tc>
          <w:tcPr>
            <w:tcW w:w="1134" w:type="dxa"/>
          </w:tcPr>
          <w:p w14:paraId="02C5AC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486FE7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F34D0D9" w14:textId="77777777" w:rsidTr="00743919">
        <w:trPr>
          <w:trHeight w:val="302"/>
        </w:trPr>
        <w:tc>
          <w:tcPr>
            <w:tcW w:w="1555" w:type="dxa"/>
          </w:tcPr>
          <w:p w14:paraId="36D3679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38D3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2088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140F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703</w:t>
            </w:r>
          </w:p>
        </w:tc>
        <w:tc>
          <w:tcPr>
            <w:tcW w:w="1134" w:type="dxa"/>
          </w:tcPr>
          <w:p w14:paraId="259E62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83FB5F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7F467CC8" w14:textId="77777777" w:rsidTr="00743919">
        <w:trPr>
          <w:trHeight w:val="302"/>
        </w:trPr>
        <w:tc>
          <w:tcPr>
            <w:tcW w:w="1555" w:type="dxa"/>
          </w:tcPr>
          <w:p w14:paraId="383CE1E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B464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729C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0EB02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705</w:t>
            </w:r>
          </w:p>
        </w:tc>
        <w:tc>
          <w:tcPr>
            <w:tcW w:w="1134" w:type="dxa"/>
          </w:tcPr>
          <w:p w14:paraId="72CB58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E0ACC2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52B2E5E0" w14:textId="77777777" w:rsidTr="00743919">
        <w:trPr>
          <w:trHeight w:val="302"/>
        </w:trPr>
        <w:tc>
          <w:tcPr>
            <w:tcW w:w="1555" w:type="dxa"/>
          </w:tcPr>
          <w:p w14:paraId="4E2E00A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DC44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E4C7F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7C812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707</w:t>
            </w:r>
          </w:p>
        </w:tc>
        <w:tc>
          <w:tcPr>
            <w:tcW w:w="1134" w:type="dxa"/>
          </w:tcPr>
          <w:p w14:paraId="3177FD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355192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6E3E6AE3" w14:textId="77777777" w:rsidTr="00743919">
        <w:trPr>
          <w:trHeight w:val="302"/>
        </w:trPr>
        <w:tc>
          <w:tcPr>
            <w:tcW w:w="1555" w:type="dxa"/>
          </w:tcPr>
          <w:p w14:paraId="3429B41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EFB2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9BC2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7531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715</w:t>
            </w:r>
          </w:p>
        </w:tc>
        <w:tc>
          <w:tcPr>
            <w:tcW w:w="1134" w:type="dxa"/>
          </w:tcPr>
          <w:p w14:paraId="00F357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269571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076684" w14:textId="77777777" w:rsidTr="00743919">
        <w:trPr>
          <w:trHeight w:val="302"/>
        </w:trPr>
        <w:tc>
          <w:tcPr>
            <w:tcW w:w="1555" w:type="dxa"/>
          </w:tcPr>
          <w:p w14:paraId="6B977C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D9F00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A15 Multidisciplinary Care Plans and Case Conferences</w:t>
            </w:r>
          </w:p>
        </w:tc>
        <w:tc>
          <w:tcPr>
            <w:tcW w:w="1843" w:type="dxa"/>
          </w:tcPr>
          <w:p w14:paraId="47EDDD4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Multidisciplinary care plans</w:t>
            </w:r>
          </w:p>
        </w:tc>
        <w:tc>
          <w:tcPr>
            <w:tcW w:w="992" w:type="dxa"/>
          </w:tcPr>
          <w:p w14:paraId="0B4F11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721</w:t>
            </w:r>
          </w:p>
        </w:tc>
        <w:tc>
          <w:tcPr>
            <w:tcW w:w="1134" w:type="dxa"/>
          </w:tcPr>
          <w:p w14:paraId="735325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57DFAD4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4F87E448" w14:textId="77777777" w:rsidTr="00743919">
        <w:trPr>
          <w:trHeight w:val="302"/>
        </w:trPr>
        <w:tc>
          <w:tcPr>
            <w:tcW w:w="1555" w:type="dxa"/>
          </w:tcPr>
          <w:p w14:paraId="25F4BB1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BADC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B8E7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79F91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723</w:t>
            </w:r>
          </w:p>
        </w:tc>
        <w:tc>
          <w:tcPr>
            <w:tcW w:w="1134" w:type="dxa"/>
          </w:tcPr>
          <w:p w14:paraId="5F9189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D4A1EA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6C70B9" w14:textId="77777777" w:rsidTr="00743919">
        <w:trPr>
          <w:trHeight w:val="302"/>
        </w:trPr>
        <w:tc>
          <w:tcPr>
            <w:tcW w:w="1555" w:type="dxa"/>
          </w:tcPr>
          <w:p w14:paraId="2B4D8DB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42DD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43FB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C0FA6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731</w:t>
            </w:r>
          </w:p>
        </w:tc>
        <w:tc>
          <w:tcPr>
            <w:tcW w:w="1134" w:type="dxa"/>
          </w:tcPr>
          <w:p w14:paraId="0F6ED8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62DAB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E86C8C" w14:textId="77777777" w:rsidTr="00743919">
        <w:trPr>
          <w:trHeight w:val="302"/>
        </w:trPr>
        <w:tc>
          <w:tcPr>
            <w:tcW w:w="1555" w:type="dxa"/>
          </w:tcPr>
          <w:p w14:paraId="342D3A6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62763E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0307B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0CE3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732</w:t>
            </w:r>
          </w:p>
        </w:tc>
        <w:tc>
          <w:tcPr>
            <w:tcW w:w="1134" w:type="dxa"/>
          </w:tcPr>
          <w:p w14:paraId="7C81202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00BAA8C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29EC84A" w14:textId="77777777" w:rsidTr="00743919">
        <w:trPr>
          <w:trHeight w:val="302"/>
        </w:trPr>
        <w:tc>
          <w:tcPr>
            <w:tcW w:w="1555" w:type="dxa"/>
          </w:tcPr>
          <w:p w14:paraId="5699037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725B7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EDD5F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 Case Conferences</w:t>
            </w:r>
          </w:p>
        </w:tc>
        <w:tc>
          <w:tcPr>
            <w:tcW w:w="992" w:type="dxa"/>
          </w:tcPr>
          <w:p w14:paraId="1B35E1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735</w:t>
            </w:r>
          </w:p>
        </w:tc>
        <w:tc>
          <w:tcPr>
            <w:tcW w:w="1134" w:type="dxa"/>
          </w:tcPr>
          <w:p w14:paraId="7D13599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15-19.9</w:t>
            </w:r>
          </w:p>
        </w:tc>
        <w:tc>
          <w:tcPr>
            <w:tcW w:w="1559" w:type="dxa"/>
          </w:tcPr>
          <w:p w14:paraId="6A60E78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82B400" w14:textId="77777777" w:rsidTr="00743919">
        <w:trPr>
          <w:trHeight w:val="302"/>
        </w:trPr>
        <w:tc>
          <w:tcPr>
            <w:tcW w:w="1555" w:type="dxa"/>
          </w:tcPr>
          <w:p w14:paraId="407672B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1C64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B4654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26E8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w:t>
            </w:r>
          </w:p>
        </w:tc>
        <w:tc>
          <w:tcPr>
            <w:tcW w:w="1134" w:type="dxa"/>
          </w:tcPr>
          <w:p w14:paraId="23AEE4A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20-39.9</w:t>
            </w:r>
          </w:p>
        </w:tc>
        <w:tc>
          <w:tcPr>
            <w:tcW w:w="1559" w:type="dxa"/>
          </w:tcPr>
          <w:p w14:paraId="0786B2B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8C6F0A" w14:textId="77777777" w:rsidTr="00743919">
        <w:trPr>
          <w:trHeight w:val="302"/>
        </w:trPr>
        <w:tc>
          <w:tcPr>
            <w:tcW w:w="1555" w:type="dxa"/>
          </w:tcPr>
          <w:p w14:paraId="1240539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8D2CD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19C9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A6643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743</w:t>
            </w:r>
          </w:p>
        </w:tc>
        <w:tc>
          <w:tcPr>
            <w:tcW w:w="1134" w:type="dxa"/>
          </w:tcPr>
          <w:p w14:paraId="303C45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338E3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ED0DAD" w14:textId="77777777" w:rsidTr="00743919">
        <w:trPr>
          <w:trHeight w:val="302"/>
        </w:trPr>
        <w:tc>
          <w:tcPr>
            <w:tcW w:w="1555" w:type="dxa"/>
          </w:tcPr>
          <w:p w14:paraId="0E8C7CB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9A620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3AED0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48290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747</w:t>
            </w:r>
          </w:p>
        </w:tc>
        <w:tc>
          <w:tcPr>
            <w:tcW w:w="1134" w:type="dxa"/>
          </w:tcPr>
          <w:p w14:paraId="3FF9E6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10A019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32A43E3" w14:textId="77777777" w:rsidTr="00743919">
        <w:trPr>
          <w:trHeight w:val="302"/>
        </w:trPr>
        <w:tc>
          <w:tcPr>
            <w:tcW w:w="1555" w:type="dxa"/>
          </w:tcPr>
          <w:p w14:paraId="4C32625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3F287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3D98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206A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750</w:t>
            </w:r>
          </w:p>
        </w:tc>
        <w:tc>
          <w:tcPr>
            <w:tcW w:w="1134" w:type="dxa"/>
          </w:tcPr>
          <w:p w14:paraId="4EA494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EAF79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DB14BB8" w14:textId="77777777" w:rsidTr="00743919">
        <w:trPr>
          <w:trHeight w:val="302"/>
        </w:trPr>
        <w:tc>
          <w:tcPr>
            <w:tcW w:w="1555" w:type="dxa"/>
          </w:tcPr>
          <w:p w14:paraId="477B2CF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B79B1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9613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66D6F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758</w:t>
            </w:r>
          </w:p>
        </w:tc>
        <w:tc>
          <w:tcPr>
            <w:tcW w:w="1134" w:type="dxa"/>
          </w:tcPr>
          <w:p w14:paraId="4F5FD3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3E93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DBD6D33" w14:textId="77777777" w:rsidTr="00743919">
        <w:trPr>
          <w:trHeight w:val="302"/>
        </w:trPr>
        <w:tc>
          <w:tcPr>
            <w:tcW w:w="1555" w:type="dxa"/>
          </w:tcPr>
          <w:p w14:paraId="55B2A45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15776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7A02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AD19A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820</w:t>
            </w:r>
          </w:p>
        </w:tc>
        <w:tc>
          <w:tcPr>
            <w:tcW w:w="1134" w:type="dxa"/>
          </w:tcPr>
          <w:p w14:paraId="26136F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A5CD2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384DCF" w14:textId="77777777" w:rsidTr="00743919">
        <w:trPr>
          <w:trHeight w:val="302"/>
        </w:trPr>
        <w:tc>
          <w:tcPr>
            <w:tcW w:w="1555" w:type="dxa"/>
          </w:tcPr>
          <w:p w14:paraId="271311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18B6D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CECCA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322C0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830</w:t>
            </w:r>
          </w:p>
        </w:tc>
        <w:tc>
          <w:tcPr>
            <w:tcW w:w="1134" w:type="dxa"/>
          </w:tcPr>
          <w:p w14:paraId="072D0F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BD537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0A14777" w14:textId="77777777" w:rsidTr="00743919">
        <w:trPr>
          <w:trHeight w:val="302"/>
        </w:trPr>
        <w:tc>
          <w:tcPr>
            <w:tcW w:w="1555" w:type="dxa"/>
          </w:tcPr>
          <w:p w14:paraId="730DB38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FADE8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B51E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4E90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871</w:t>
            </w:r>
          </w:p>
        </w:tc>
        <w:tc>
          <w:tcPr>
            <w:tcW w:w="1134" w:type="dxa"/>
          </w:tcPr>
          <w:p w14:paraId="691D49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3ACA0C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2FAB84" w14:textId="77777777" w:rsidTr="00743919">
        <w:trPr>
          <w:trHeight w:val="302"/>
        </w:trPr>
        <w:tc>
          <w:tcPr>
            <w:tcW w:w="1555" w:type="dxa"/>
          </w:tcPr>
          <w:p w14:paraId="363F71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E4C5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7D76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92565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872</w:t>
            </w:r>
          </w:p>
        </w:tc>
        <w:tc>
          <w:tcPr>
            <w:tcW w:w="1134" w:type="dxa"/>
          </w:tcPr>
          <w:p w14:paraId="5AC018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7AF5A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D620B53" w14:textId="77777777" w:rsidTr="00743919">
        <w:trPr>
          <w:trHeight w:val="302"/>
        </w:trPr>
        <w:tc>
          <w:tcPr>
            <w:tcW w:w="1555" w:type="dxa"/>
          </w:tcPr>
          <w:p w14:paraId="6DD3AD3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A9BF2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A17 Domiciliary Medication Management Review (DMMR)</w:t>
            </w:r>
          </w:p>
        </w:tc>
        <w:tc>
          <w:tcPr>
            <w:tcW w:w="1843" w:type="dxa"/>
          </w:tcPr>
          <w:p w14:paraId="4717D5D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7874B2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900</w:t>
            </w:r>
          </w:p>
        </w:tc>
        <w:tc>
          <w:tcPr>
            <w:tcW w:w="1134" w:type="dxa"/>
          </w:tcPr>
          <w:p w14:paraId="2FF417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245087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D89D34" w14:textId="77777777" w:rsidTr="00743919">
        <w:trPr>
          <w:trHeight w:val="302"/>
        </w:trPr>
        <w:tc>
          <w:tcPr>
            <w:tcW w:w="1555" w:type="dxa"/>
          </w:tcPr>
          <w:p w14:paraId="6559706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3A05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404D4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5F4D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903</w:t>
            </w:r>
          </w:p>
        </w:tc>
        <w:tc>
          <w:tcPr>
            <w:tcW w:w="1134" w:type="dxa"/>
          </w:tcPr>
          <w:p w14:paraId="5B1DEC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601605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F416F0" w14:textId="77777777" w:rsidTr="00743919">
        <w:trPr>
          <w:trHeight w:val="302"/>
        </w:trPr>
        <w:tc>
          <w:tcPr>
            <w:tcW w:w="1555" w:type="dxa"/>
          </w:tcPr>
          <w:p w14:paraId="1A1399F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D05D2B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A18 GP attendance associated with PIP incentive payments</w:t>
            </w:r>
          </w:p>
        </w:tc>
        <w:tc>
          <w:tcPr>
            <w:tcW w:w="1843" w:type="dxa"/>
          </w:tcPr>
          <w:p w14:paraId="6372D09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Taking of cervical smear from unscreened woman</w:t>
            </w:r>
          </w:p>
        </w:tc>
        <w:tc>
          <w:tcPr>
            <w:tcW w:w="992" w:type="dxa"/>
          </w:tcPr>
          <w:p w14:paraId="46B802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2501</w:t>
            </w:r>
          </w:p>
        </w:tc>
        <w:tc>
          <w:tcPr>
            <w:tcW w:w="1134" w:type="dxa"/>
          </w:tcPr>
          <w:p w14:paraId="1C5027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1489B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80CFDE" w14:textId="77777777" w:rsidTr="00743919">
        <w:trPr>
          <w:trHeight w:val="302"/>
        </w:trPr>
        <w:tc>
          <w:tcPr>
            <w:tcW w:w="1555" w:type="dxa"/>
          </w:tcPr>
          <w:p w14:paraId="7F20A6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29D17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F9413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EC1F0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2504</w:t>
            </w:r>
          </w:p>
        </w:tc>
        <w:tc>
          <w:tcPr>
            <w:tcW w:w="1134" w:type="dxa"/>
          </w:tcPr>
          <w:p w14:paraId="21412A9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0ADB0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84E94F" w14:textId="77777777" w:rsidTr="00743919">
        <w:trPr>
          <w:trHeight w:val="302"/>
        </w:trPr>
        <w:tc>
          <w:tcPr>
            <w:tcW w:w="1555" w:type="dxa"/>
          </w:tcPr>
          <w:p w14:paraId="13B33FF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EA958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1AF06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 Completion of an annual cycle of care for patients with diabetes mellitus</w:t>
            </w:r>
          </w:p>
        </w:tc>
        <w:tc>
          <w:tcPr>
            <w:tcW w:w="992" w:type="dxa"/>
          </w:tcPr>
          <w:p w14:paraId="529D2B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2517</w:t>
            </w:r>
          </w:p>
        </w:tc>
        <w:tc>
          <w:tcPr>
            <w:tcW w:w="1134" w:type="dxa"/>
          </w:tcPr>
          <w:p w14:paraId="729E44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B3099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BEAF17" w14:textId="77777777" w:rsidTr="00743919">
        <w:trPr>
          <w:trHeight w:val="302"/>
        </w:trPr>
        <w:tc>
          <w:tcPr>
            <w:tcW w:w="1555" w:type="dxa"/>
          </w:tcPr>
          <w:p w14:paraId="74F75FA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1D6F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1456F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D4E2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2521</w:t>
            </w:r>
          </w:p>
        </w:tc>
        <w:tc>
          <w:tcPr>
            <w:tcW w:w="1134" w:type="dxa"/>
          </w:tcPr>
          <w:p w14:paraId="7503A7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2D16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15EF9D" w14:textId="77777777" w:rsidTr="00743919">
        <w:trPr>
          <w:trHeight w:val="302"/>
        </w:trPr>
        <w:tc>
          <w:tcPr>
            <w:tcW w:w="1555" w:type="dxa"/>
          </w:tcPr>
          <w:p w14:paraId="024FFAF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5CC2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EAC2A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DE9F9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2525</w:t>
            </w:r>
          </w:p>
        </w:tc>
        <w:tc>
          <w:tcPr>
            <w:tcW w:w="1134" w:type="dxa"/>
          </w:tcPr>
          <w:p w14:paraId="74213A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9DC00C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4DBFF8" w14:textId="77777777" w:rsidTr="00743919">
        <w:trPr>
          <w:trHeight w:val="302"/>
        </w:trPr>
        <w:tc>
          <w:tcPr>
            <w:tcW w:w="1555" w:type="dxa"/>
          </w:tcPr>
          <w:p w14:paraId="0C962B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0C18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31AEA1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 Completion of the asthma cycle of care</w:t>
            </w:r>
          </w:p>
        </w:tc>
        <w:tc>
          <w:tcPr>
            <w:tcW w:w="992" w:type="dxa"/>
          </w:tcPr>
          <w:p w14:paraId="3A93D8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2552</w:t>
            </w:r>
          </w:p>
        </w:tc>
        <w:tc>
          <w:tcPr>
            <w:tcW w:w="1134" w:type="dxa"/>
          </w:tcPr>
          <w:p w14:paraId="54D4B7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F9F09F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8D032EF" w14:textId="77777777" w:rsidTr="00743919">
        <w:trPr>
          <w:trHeight w:val="302"/>
        </w:trPr>
        <w:tc>
          <w:tcPr>
            <w:tcW w:w="1555" w:type="dxa"/>
          </w:tcPr>
          <w:p w14:paraId="28CA36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0AC034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A19 Other non-referred attendance associated with PIP incentive payments</w:t>
            </w:r>
          </w:p>
        </w:tc>
        <w:tc>
          <w:tcPr>
            <w:tcW w:w="1843" w:type="dxa"/>
          </w:tcPr>
          <w:p w14:paraId="1206178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Taking of cervical smear from unscreened woman</w:t>
            </w:r>
          </w:p>
        </w:tc>
        <w:tc>
          <w:tcPr>
            <w:tcW w:w="992" w:type="dxa"/>
          </w:tcPr>
          <w:p w14:paraId="0EC074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2600</w:t>
            </w:r>
          </w:p>
        </w:tc>
        <w:tc>
          <w:tcPr>
            <w:tcW w:w="1134" w:type="dxa"/>
          </w:tcPr>
          <w:p w14:paraId="0844F4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865EA0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372FF8" w14:textId="77777777" w:rsidTr="00743919">
        <w:trPr>
          <w:trHeight w:val="302"/>
        </w:trPr>
        <w:tc>
          <w:tcPr>
            <w:tcW w:w="1555" w:type="dxa"/>
          </w:tcPr>
          <w:p w14:paraId="463EE89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6DED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22B0F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F588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2603</w:t>
            </w:r>
          </w:p>
        </w:tc>
        <w:tc>
          <w:tcPr>
            <w:tcW w:w="1134" w:type="dxa"/>
          </w:tcPr>
          <w:p w14:paraId="7E92FB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CA7D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4D1B1B8" w14:textId="77777777" w:rsidTr="00743919">
        <w:trPr>
          <w:trHeight w:val="302"/>
        </w:trPr>
        <w:tc>
          <w:tcPr>
            <w:tcW w:w="1555" w:type="dxa"/>
          </w:tcPr>
          <w:p w14:paraId="0638343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388D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A2 Other non-referred</w:t>
            </w:r>
          </w:p>
        </w:tc>
        <w:tc>
          <w:tcPr>
            <w:tcW w:w="1843" w:type="dxa"/>
          </w:tcPr>
          <w:p w14:paraId="55A9BCC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Surgery Consultations</w:t>
            </w:r>
          </w:p>
        </w:tc>
        <w:tc>
          <w:tcPr>
            <w:tcW w:w="992" w:type="dxa"/>
          </w:tcPr>
          <w:p w14:paraId="6BBBE5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52</w:t>
            </w:r>
          </w:p>
        </w:tc>
        <w:tc>
          <w:tcPr>
            <w:tcW w:w="1134" w:type="dxa"/>
          </w:tcPr>
          <w:p w14:paraId="2262221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0-5</w:t>
            </w:r>
          </w:p>
        </w:tc>
        <w:tc>
          <w:tcPr>
            <w:tcW w:w="1559" w:type="dxa"/>
          </w:tcPr>
          <w:p w14:paraId="29C2E4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6FE8DB" w14:textId="77777777" w:rsidTr="00743919">
        <w:trPr>
          <w:trHeight w:val="302"/>
        </w:trPr>
        <w:tc>
          <w:tcPr>
            <w:tcW w:w="1555" w:type="dxa"/>
          </w:tcPr>
          <w:p w14:paraId="6B9BC0B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3D74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9B6C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E8B07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53</w:t>
            </w:r>
          </w:p>
        </w:tc>
        <w:tc>
          <w:tcPr>
            <w:tcW w:w="1134" w:type="dxa"/>
          </w:tcPr>
          <w:p w14:paraId="069B644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5.1-25</w:t>
            </w:r>
          </w:p>
        </w:tc>
        <w:tc>
          <w:tcPr>
            <w:tcW w:w="1559" w:type="dxa"/>
          </w:tcPr>
          <w:p w14:paraId="1261F1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78ED6CF" w14:textId="77777777" w:rsidTr="00743919">
        <w:trPr>
          <w:trHeight w:val="302"/>
        </w:trPr>
        <w:tc>
          <w:tcPr>
            <w:tcW w:w="1555" w:type="dxa"/>
          </w:tcPr>
          <w:p w14:paraId="2A44E88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9994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EE1FB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E863F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54</w:t>
            </w:r>
          </w:p>
        </w:tc>
        <w:tc>
          <w:tcPr>
            <w:tcW w:w="1134" w:type="dxa"/>
          </w:tcPr>
          <w:p w14:paraId="4F33127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25.1-45</w:t>
            </w:r>
          </w:p>
        </w:tc>
        <w:tc>
          <w:tcPr>
            <w:tcW w:w="1559" w:type="dxa"/>
          </w:tcPr>
          <w:p w14:paraId="75584C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769EF9" w14:textId="77777777" w:rsidTr="00743919">
        <w:trPr>
          <w:trHeight w:val="302"/>
        </w:trPr>
        <w:tc>
          <w:tcPr>
            <w:tcW w:w="1555" w:type="dxa"/>
          </w:tcPr>
          <w:p w14:paraId="1DD3ACE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9DBE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B0EC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06F87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57</w:t>
            </w:r>
          </w:p>
        </w:tc>
        <w:tc>
          <w:tcPr>
            <w:tcW w:w="1134" w:type="dxa"/>
          </w:tcPr>
          <w:p w14:paraId="31B8E41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45.1-45+</w:t>
            </w:r>
          </w:p>
        </w:tc>
        <w:tc>
          <w:tcPr>
            <w:tcW w:w="1559" w:type="dxa"/>
          </w:tcPr>
          <w:p w14:paraId="1D13176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6D49E4FA" w14:textId="77777777" w:rsidTr="00743919">
        <w:trPr>
          <w:trHeight w:val="302"/>
        </w:trPr>
        <w:tc>
          <w:tcPr>
            <w:tcW w:w="1555" w:type="dxa"/>
          </w:tcPr>
          <w:p w14:paraId="61BD58E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0944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A352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ACB3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59</w:t>
            </w:r>
          </w:p>
        </w:tc>
        <w:tc>
          <w:tcPr>
            <w:tcW w:w="1134" w:type="dxa"/>
          </w:tcPr>
          <w:p w14:paraId="466D445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5.1-25</w:t>
            </w:r>
          </w:p>
        </w:tc>
        <w:tc>
          <w:tcPr>
            <w:tcW w:w="1559" w:type="dxa"/>
          </w:tcPr>
          <w:p w14:paraId="68E3268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1F9803" w14:textId="77777777" w:rsidTr="00743919">
        <w:trPr>
          <w:trHeight w:val="302"/>
        </w:trPr>
        <w:tc>
          <w:tcPr>
            <w:tcW w:w="1555" w:type="dxa"/>
          </w:tcPr>
          <w:p w14:paraId="46E246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1AA1F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83BF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53D9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60</w:t>
            </w:r>
          </w:p>
        </w:tc>
        <w:tc>
          <w:tcPr>
            <w:tcW w:w="1134" w:type="dxa"/>
          </w:tcPr>
          <w:p w14:paraId="56CAA9C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25.1-45</w:t>
            </w:r>
          </w:p>
        </w:tc>
        <w:tc>
          <w:tcPr>
            <w:tcW w:w="1559" w:type="dxa"/>
          </w:tcPr>
          <w:p w14:paraId="37DF572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0BD4D335" w14:textId="77777777" w:rsidTr="00743919">
        <w:trPr>
          <w:trHeight w:val="302"/>
        </w:trPr>
        <w:tc>
          <w:tcPr>
            <w:tcW w:w="1555" w:type="dxa"/>
          </w:tcPr>
          <w:p w14:paraId="6D1775F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148A0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A20 GP Mental Health Treatment</w:t>
            </w:r>
          </w:p>
        </w:tc>
        <w:tc>
          <w:tcPr>
            <w:tcW w:w="1843" w:type="dxa"/>
          </w:tcPr>
          <w:p w14:paraId="06FEE7C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GP Mental Health Care plans</w:t>
            </w:r>
          </w:p>
        </w:tc>
        <w:tc>
          <w:tcPr>
            <w:tcW w:w="992" w:type="dxa"/>
          </w:tcPr>
          <w:p w14:paraId="7C0DDB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2700</w:t>
            </w:r>
          </w:p>
        </w:tc>
        <w:tc>
          <w:tcPr>
            <w:tcW w:w="1134" w:type="dxa"/>
          </w:tcPr>
          <w:p w14:paraId="3AA828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39288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27131EF" w14:textId="77777777" w:rsidTr="00743919">
        <w:trPr>
          <w:trHeight w:val="302"/>
        </w:trPr>
        <w:tc>
          <w:tcPr>
            <w:tcW w:w="1555" w:type="dxa"/>
          </w:tcPr>
          <w:p w14:paraId="7EB75E0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B9E77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49FF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CEFF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2701</w:t>
            </w:r>
          </w:p>
        </w:tc>
        <w:tc>
          <w:tcPr>
            <w:tcW w:w="1134" w:type="dxa"/>
          </w:tcPr>
          <w:p w14:paraId="5E2B79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4D4CA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67507B5" w14:textId="77777777" w:rsidTr="00743919">
        <w:trPr>
          <w:trHeight w:val="302"/>
        </w:trPr>
        <w:tc>
          <w:tcPr>
            <w:tcW w:w="1555" w:type="dxa"/>
          </w:tcPr>
          <w:p w14:paraId="3B956FC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EEEB4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7C94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667C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2712</w:t>
            </w:r>
          </w:p>
        </w:tc>
        <w:tc>
          <w:tcPr>
            <w:tcW w:w="1134" w:type="dxa"/>
          </w:tcPr>
          <w:p w14:paraId="6AC810B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1837243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18EFEC6" w14:textId="77777777" w:rsidTr="00743919">
        <w:trPr>
          <w:trHeight w:val="302"/>
        </w:trPr>
        <w:tc>
          <w:tcPr>
            <w:tcW w:w="1555" w:type="dxa"/>
          </w:tcPr>
          <w:p w14:paraId="22B5674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4489F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11A24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0913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2713</w:t>
            </w:r>
          </w:p>
        </w:tc>
        <w:tc>
          <w:tcPr>
            <w:tcW w:w="1134" w:type="dxa"/>
          </w:tcPr>
          <w:p w14:paraId="7E35C58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20-20+</w:t>
            </w:r>
          </w:p>
        </w:tc>
        <w:tc>
          <w:tcPr>
            <w:tcW w:w="1559" w:type="dxa"/>
          </w:tcPr>
          <w:p w14:paraId="6FE7254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3B5B76E" w14:textId="77777777" w:rsidTr="00743919">
        <w:trPr>
          <w:trHeight w:val="302"/>
        </w:trPr>
        <w:tc>
          <w:tcPr>
            <w:tcW w:w="1555" w:type="dxa"/>
          </w:tcPr>
          <w:p w14:paraId="35D0B8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351B6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0DFBF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B32B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2715</w:t>
            </w:r>
          </w:p>
        </w:tc>
        <w:tc>
          <w:tcPr>
            <w:tcW w:w="1134" w:type="dxa"/>
          </w:tcPr>
          <w:p w14:paraId="5E92EC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20-20+</w:t>
            </w:r>
          </w:p>
        </w:tc>
        <w:tc>
          <w:tcPr>
            <w:tcW w:w="1559" w:type="dxa"/>
          </w:tcPr>
          <w:p w14:paraId="45896A0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A19D52" w14:textId="77777777" w:rsidTr="00743919">
        <w:trPr>
          <w:trHeight w:val="302"/>
        </w:trPr>
        <w:tc>
          <w:tcPr>
            <w:tcW w:w="1555" w:type="dxa"/>
          </w:tcPr>
          <w:p w14:paraId="2D4AE0D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A03E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A895B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28583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2717</w:t>
            </w:r>
          </w:p>
        </w:tc>
        <w:tc>
          <w:tcPr>
            <w:tcW w:w="1134" w:type="dxa"/>
          </w:tcPr>
          <w:p w14:paraId="76FF4A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C7BCC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955765" w14:textId="77777777" w:rsidTr="00743919">
        <w:trPr>
          <w:trHeight w:val="302"/>
        </w:trPr>
        <w:tc>
          <w:tcPr>
            <w:tcW w:w="1555" w:type="dxa"/>
          </w:tcPr>
          <w:p w14:paraId="221D1E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232261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A22 GP after-hours attendances to which no other item applies</w:t>
            </w:r>
          </w:p>
        </w:tc>
        <w:tc>
          <w:tcPr>
            <w:tcW w:w="1843" w:type="dxa"/>
          </w:tcPr>
          <w:p w14:paraId="68EBEE8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3E29ED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5020</w:t>
            </w:r>
          </w:p>
        </w:tc>
        <w:tc>
          <w:tcPr>
            <w:tcW w:w="1134" w:type="dxa"/>
          </w:tcPr>
          <w:p w14:paraId="697EE1D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0-19.9</w:t>
            </w:r>
          </w:p>
        </w:tc>
        <w:tc>
          <w:tcPr>
            <w:tcW w:w="1559" w:type="dxa"/>
          </w:tcPr>
          <w:p w14:paraId="43AC285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E1DABF" w14:textId="77777777" w:rsidTr="00743919">
        <w:trPr>
          <w:trHeight w:val="302"/>
        </w:trPr>
        <w:tc>
          <w:tcPr>
            <w:tcW w:w="1555" w:type="dxa"/>
          </w:tcPr>
          <w:p w14:paraId="02468ED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E29D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BB0F3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7430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5040</w:t>
            </w:r>
          </w:p>
        </w:tc>
        <w:tc>
          <w:tcPr>
            <w:tcW w:w="1134" w:type="dxa"/>
          </w:tcPr>
          <w:p w14:paraId="5A7E9E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8BA91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F7EA97" w14:textId="77777777" w:rsidTr="00743919">
        <w:trPr>
          <w:trHeight w:val="302"/>
        </w:trPr>
        <w:tc>
          <w:tcPr>
            <w:tcW w:w="1555" w:type="dxa"/>
          </w:tcPr>
          <w:p w14:paraId="5191CEF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1BDC4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8171D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CA54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5043</w:t>
            </w:r>
          </w:p>
        </w:tc>
        <w:tc>
          <w:tcPr>
            <w:tcW w:w="1134" w:type="dxa"/>
          </w:tcPr>
          <w:p w14:paraId="2216BA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ECBC1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448458" w14:textId="77777777" w:rsidTr="00743919">
        <w:trPr>
          <w:trHeight w:val="302"/>
        </w:trPr>
        <w:tc>
          <w:tcPr>
            <w:tcW w:w="1555" w:type="dxa"/>
          </w:tcPr>
          <w:p w14:paraId="41EF537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56291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1736A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3BF37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5049</w:t>
            </w:r>
          </w:p>
        </w:tc>
        <w:tc>
          <w:tcPr>
            <w:tcW w:w="1134" w:type="dxa"/>
          </w:tcPr>
          <w:p w14:paraId="19CB4E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78959B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79CF5A" w14:textId="77777777" w:rsidTr="00743919">
        <w:trPr>
          <w:trHeight w:val="302"/>
        </w:trPr>
        <w:tc>
          <w:tcPr>
            <w:tcW w:w="1555" w:type="dxa"/>
          </w:tcPr>
          <w:p w14:paraId="6E96184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2D72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83AA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3F60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5060</w:t>
            </w:r>
          </w:p>
        </w:tc>
        <w:tc>
          <w:tcPr>
            <w:tcW w:w="1134" w:type="dxa"/>
          </w:tcPr>
          <w:p w14:paraId="5D5630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9C83D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511E91" w14:textId="77777777" w:rsidTr="00743919">
        <w:trPr>
          <w:trHeight w:val="302"/>
        </w:trPr>
        <w:tc>
          <w:tcPr>
            <w:tcW w:w="1555" w:type="dxa"/>
          </w:tcPr>
          <w:p w14:paraId="0D1495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9AAAA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57CB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A2682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5063</w:t>
            </w:r>
          </w:p>
        </w:tc>
        <w:tc>
          <w:tcPr>
            <w:tcW w:w="1134" w:type="dxa"/>
          </w:tcPr>
          <w:p w14:paraId="62711C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6867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0BF1D7A3" w14:textId="77777777" w:rsidTr="00743919">
        <w:trPr>
          <w:trHeight w:val="302"/>
        </w:trPr>
        <w:tc>
          <w:tcPr>
            <w:tcW w:w="1555" w:type="dxa"/>
          </w:tcPr>
          <w:p w14:paraId="6B0E6FB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3E0FE4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A23 Other non-referred after-hours attendances to which no other item applies</w:t>
            </w:r>
          </w:p>
        </w:tc>
        <w:tc>
          <w:tcPr>
            <w:tcW w:w="1843" w:type="dxa"/>
          </w:tcPr>
          <w:p w14:paraId="0986A26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0D1162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5207</w:t>
            </w:r>
          </w:p>
        </w:tc>
        <w:tc>
          <w:tcPr>
            <w:tcW w:w="1134" w:type="dxa"/>
          </w:tcPr>
          <w:p w14:paraId="6F051F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2874F1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0A85B68" w14:textId="77777777" w:rsidTr="00743919">
        <w:trPr>
          <w:trHeight w:val="302"/>
        </w:trPr>
        <w:tc>
          <w:tcPr>
            <w:tcW w:w="1555" w:type="dxa"/>
          </w:tcPr>
          <w:p w14:paraId="57EA371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F516E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216DC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21691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5208</w:t>
            </w:r>
          </w:p>
        </w:tc>
        <w:tc>
          <w:tcPr>
            <w:tcW w:w="1134" w:type="dxa"/>
          </w:tcPr>
          <w:p w14:paraId="76DFEF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FB599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D8CC6D" w14:textId="77777777" w:rsidTr="00743919">
        <w:trPr>
          <w:trHeight w:val="302"/>
        </w:trPr>
        <w:tc>
          <w:tcPr>
            <w:tcW w:w="1555" w:type="dxa"/>
          </w:tcPr>
          <w:p w14:paraId="65C77A0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A213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A29 Early Intervention Services for Children</w:t>
            </w:r>
          </w:p>
        </w:tc>
        <w:tc>
          <w:tcPr>
            <w:tcW w:w="1843" w:type="dxa"/>
          </w:tcPr>
          <w:p w14:paraId="54CC1F6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35DCD0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135</w:t>
            </w:r>
          </w:p>
        </w:tc>
        <w:tc>
          <w:tcPr>
            <w:tcW w:w="1134" w:type="dxa"/>
          </w:tcPr>
          <w:p w14:paraId="733155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45.1-45+</w:t>
            </w:r>
          </w:p>
        </w:tc>
        <w:tc>
          <w:tcPr>
            <w:tcW w:w="1559" w:type="dxa"/>
          </w:tcPr>
          <w:p w14:paraId="46BD00E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D8296C" w14:textId="77777777" w:rsidTr="00743919">
        <w:trPr>
          <w:trHeight w:val="302"/>
        </w:trPr>
        <w:tc>
          <w:tcPr>
            <w:tcW w:w="1555" w:type="dxa"/>
          </w:tcPr>
          <w:p w14:paraId="27274D0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9C236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A3 Specialist</w:t>
            </w:r>
          </w:p>
        </w:tc>
        <w:tc>
          <w:tcPr>
            <w:tcW w:w="1843" w:type="dxa"/>
          </w:tcPr>
          <w:p w14:paraId="1AB7278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7F73C9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99</w:t>
            </w:r>
          </w:p>
        </w:tc>
        <w:tc>
          <w:tcPr>
            <w:tcW w:w="1134" w:type="dxa"/>
          </w:tcPr>
          <w:p w14:paraId="17F49FE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10.1-10+</w:t>
            </w:r>
          </w:p>
        </w:tc>
        <w:tc>
          <w:tcPr>
            <w:tcW w:w="1559" w:type="dxa"/>
          </w:tcPr>
          <w:p w14:paraId="1EA688B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561AEC" w14:textId="77777777" w:rsidTr="00743919">
        <w:trPr>
          <w:trHeight w:val="302"/>
        </w:trPr>
        <w:tc>
          <w:tcPr>
            <w:tcW w:w="1555" w:type="dxa"/>
          </w:tcPr>
          <w:p w14:paraId="00BA1CF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EF68F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F350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594E5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104</w:t>
            </w:r>
          </w:p>
        </w:tc>
        <w:tc>
          <w:tcPr>
            <w:tcW w:w="1134" w:type="dxa"/>
          </w:tcPr>
          <w:p w14:paraId="551EF27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1F49768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11C9AB21" w14:textId="77777777" w:rsidTr="00743919">
        <w:trPr>
          <w:trHeight w:val="302"/>
        </w:trPr>
        <w:tc>
          <w:tcPr>
            <w:tcW w:w="1555" w:type="dxa"/>
          </w:tcPr>
          <w:p w14:paraId="6253BAC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132605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A65B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D0372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105</w:t>
            </w:r>
          </w:p>
        </w:tc>
        <w:tc>
          <w:tcPr>
            <w:tcW w:w="1134" w:type="dxa"/>
          </w:tcPr>
          <w:p w14:paraId="483D639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7622029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DA06D3" w14:textId="77777777" w:rsidTr="00743919">
        <w:trPr>
          <w:trHeight w:val="302"/>
        </w:trPr>
        <w:tc>
          <w:tcPr>
            <w:tcW w:w="1555" w:type="dxa"/>
          </w:tcPr>
          <w:p w14:paraId="00B6CFD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50C7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5F888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AA0B4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107</w:t>
            </w:r>
          </w:p>
        </w:tc>
        <w:tc>
          <w:tcPr>
            <w:tcW w:w="1134" w:type="dxa"/>
          </w:tcPr>
          <w:p w14:paraId="222F9CF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17A5A5E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DF54B57" w14:textId="77777777" w:rsidTr="00743919">
        <w:trPr>
          <w:trHeight w:val="302"/>
        </w:trPr>
        <w:tc>
          <w:tcPr>
            <w:tcW w:w="1555" w:type="dxa"/>
          </w:tcPr>
          <w:p w14:paraId="6F44B52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E768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915E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CE413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108</w:t>
            </w:r>
          </w:p>
        </w:tc>
        <w:tc>
          <w:tcPr>
            <w:tcW w:w="1134" w:type="dxa"/>
          </w:tcPr>
          <w:p w14:paraId="64CEA5D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6BC397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047226" w14:textId="77777777" w:rsidTr="00743919">
        <w:trPr>
          <w:trHeight w:val="302"/>
        </w:trPr>
        <w:tc>
          <w:tcPr>
            <w:tcW w:w="1555" w:type="dxa"/>
          </w:tcPr>
          <w:p w14:paraId="265842E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30AE91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A4 Consultant Physician (other than Psychiatry)</w:t>
            </w:r>
          </w:p>
        </w:tc>
        <w:tc>
          <w:tcPr>
            <w:tcW w:w="1843" w:type="dxa"/>
          </w:tcPr>
          <w:p w14:paraId="749CDD0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40D89F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110</w:t>
            </w:r>
          </w:p>
        </w:tc>
        <w:tc>
          <w:tcPr>
            <w:tcW w:w="1134" w:type="dxa"/>
          </w:tcPr>
          <w:p w14:paraId="5170929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6B59AE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60D11F72" w14:textId="77777777" w:rsidTr="00743919">
        <w:trPr>
          <w:trHeight w:val="302"/>
        </w:trPr>
        <w:tc>
          <w:tcPr>
            <w:tcW w:w="1555" w:type="dxa"/>
          </w:tcPr>
          <w:p w14:paraId="259BFAA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EC23F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2BF3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A19ED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112</w:t>
            </w:r>
          </w:p>
        </w:tc>
        <w:tc>
          <w:tcPr>
            <w:tcW w:w="1134" w:type="dxa"/>
          </w:tcPr>
          <w:p w14:paraId="4FB59B2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10.1-10+</w:t>
            </w:r>
          </w:p>
        </w:tc>
        <w:tc>
          <w:tcPr>
            <w:tcW w:w="1559" w:type="dxa"/>
          </w:tcPr>
          <w:p w14:paraId="050D0D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D139747" w14:textId="77777777" w:rsidTr="00743919">
        <w:trPr>
          <w:trHeight w:val="302"/>
        </w:trPr>
        <w:tc>
          <w:tcPr>
            <w:tcW w:w="1555" w:type="dxa"/>
          </w:tcPr>
          <w:p w14:paraId="51B0549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A93E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BE70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3FB7B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116</w:t>
            </w:r>
          </w:p>
        </w:tc>
        <w:tc>
          <w:tcPr>
            <w:tcW w:w="1134" w:type="dxa"/>
          </w:tcPr>
          <w:p w14:paraId="11C9ABA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00CA54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956D71" w14:textId="77777777" w:rsidTr="00743919">
        <w:trPr>
          <w:trHeight w:val="302"/>
        </w:trPr>
        <w:tc>
          <w:tcPr>
            <w:tcW w:w="1555" w:type="dxa"/>
          </w:tcPr>
          <w:p w14:paraId="239F65A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0C45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D843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D8F27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119</w:t>
            </w:r>
          </w:p>
        </w:tc>
        <w:tc>
          <w:tcPr>
            <w:tcW w:w="1134" w:type="dxa"/>
          </w:tcPr>
          <w:p w14:paraId="67DBCA9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75F7DAE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78B588" w14:textId="77777777" w:rsidTr="00743919">
        <w:trPr>
          <w:trHeight w:val="302"/>
        </w:trPr>
        <w:tc>
          <w:tcPr>
            <w:tcW w:w="1555" w:type="dxa"/>
          </w:tcPr>
          <w:p w14:paraId="3F9451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03D5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633BC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9E458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122</w:t>
            </w:r>
          </w:p>
        </w:tc>
        <w:tc>
          <w:tcPr>
            <w:tcW w:w="1134" w:type="dxa"/>
          </w:tcPr>
          <w:p w14:paraId="1821E0A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6B485A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1DF78D95" w14:textId="77777777" w:rsidTr="00743919">
        <w:trPr>
          <w:trHeight w:val="302"/>
        </w:trPr>
        <w:tc>
          <w:tcPr>
            <w:tcW w:w="1555" w:type="dxa"/>
          </w:tcPr>
          <w:p w14:paraId="4FD8F60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6339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99C8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AA60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128</w:t>
            </w:r>
          </w:p>
        </w:tc>
        <w:tc>
          <w:tcPr>
            <w:tcW w:w="1134" w:type="dxa"/>
          </w:tcPr>
          <w:p w14:paraId="0731C38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1B260E1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8997EA" w14:textId="77777777" w:rsidTr="00743919">
        <w:trPr>
          <w:trHeight w:val="302"/>
        </w:trPr>
        <w:tc>
          <w:tcPr>
            <w:tcW w:w="1555" w:type="dxa"/>
          </w:tcPr>
          <w:p w14:paraId="3CFF3EF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71F0E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889B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CD4B2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131</w:t>
            </w:r>
          </w:p>
        </w:tc>
        <w:tc>
          <w:tcPr>
            <w:tcW w:w="1134" w:type="dxa"/>
          </w:tcPr>
          <w:p w14:paraId="76C3E8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54B2984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25C535" w14:textId="77777777" w:rsidTr="00743919">
        <w:trPr>
          <w:trHeight w:val="302"/>
        </w:trPr>
        <w:tc>
          <w:tcPr>
            <w:tcW w:w="1555" w:type="dxa"/>
          </w:tcPr>
          <w:p w14:paraId="5395D2F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CAF0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877C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B174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132</w:t>
            </w:r>
          </w:p>
        </w:tc>
        <w:tc>
          <w:tcPr>
            <w:tcW w:w="1134" w:type="dxa"/>
          </w:tcPr>
          <w:p w14:paraId="27C85D6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0-45</w:t>
            </w:r>
          </w:p>
        </w:tc>
        <w:tc>
          <w:tcPr>
            <w:tcW w:w="1559" w:type="dxa"/>
          </w:tcPr>
          <w:p w14:paraId="4CB537A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1EAF203B" w14:textId="77777777" w:rsidTr="00743919">
        <w:trPr>
          <w:trHeight w:val="302"/>
        </w:trPr>
        <w:tc>
          <w:tcPr>
            <w:tcW w:w="1555" w:type="dxa"/>
          </w:tcPr>
          <w:p w14:paraId="470B688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B600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04E3D9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9CC9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133</w:t>
            </w:r>
          </w:p>
        </w:tc>
        <w:tc>
          <w:tcPr>
            <w:tcW w:w="1134" w:type="dxa"/>
          </w:tcPr>
          <w:p w14:paraId="4DF3CD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0-20</w:t>
            </w:r>
          </w:p>
        </w:tc>
        <w:tc>
          <w:tcPr>
            <w:tcW w:w="1559" w:type="dxa"/>
          </w:tcPr>
          <w:p w14:paraId="1D2139B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0E2FDFB" w14:textId="77777777" w:rsidTr="00743919">
        <w:trPr>
          <w:trHeight w:val="302"/>
        </w:trPr>
        <w:tc>
          <w:tcPr>
            <w:tcW w:w="1555" w:type="dxa"/>
          </w:tcPr>
          <w:p w14:paraId="3F74449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78F1F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A5 Prolonged</w:t>
            </w:r>
          </w:p>
        </w:tc>
        <w:tc>
          <w:tcPr>
            <w:tcW w:w="1843" w:type="dxa"/>
          </w:tcPr>
          <w:p w14:paraId="3CE7235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0A428F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160</w:t>
            </w:r>
          </w:p>
        </w:tc>
        <w:tc>
          <w:tcPr>
            <w:tcW w:w="1134" w:type="dxa"/>
          </w:tcPr>
          <w:p w14:paraId="368FA57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60-119.9</w:t>
            </w:r>
          </w:p>
        </w:tc>
        <w:tc>
          <w:tcPr>
            <w:tcW w:w="1559" w:type="dxa"/>
          </w:tcPr>
          <w:p w14:paraId="3FCC6F9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D9A1BBB" w14:textId="77777777" w:rsidTr="00743919">
        <w:trPr>
          <w:trHeight w:val="302"/>
        </w:trPr>
        <w:tc>
          <w:tcPr>
            <w:tcW w:w="1555" w:type="dxa"/>
          </w:tcPr>
          <w:p w14:paraId="3F364A2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C73D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69397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2850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161</w:t>
            </w:r>
          </w:p>
        </w:tc>
        <w:tc>
          <w:tcPr>
            <w:tcW w:w="1134" w:type="dxa"/>
          </w:tcPr>
          <w:p w14:paraId="20A575D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120-179.9</w:t>
            </w:r>
          </w:p>
        </w:tc>
        <w:tc>
          <w:tcPr>
            <w:tcW w:w="1559" w:type="dxa"/>
          </w:tcPr>
          <w:p w14:paraId="06A6F1E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0B0B079" w14:textId="77777777" w:rsidTr="00743919">
        <w:trPr>
          <w:trHeight w:val="302"/>
        </w:trPr>
        <w:tc>
          <w:tcPr>
            <w:tcW w:w="1555" w:type="dxa"/>
          </w:tcPr>
          <w:p w14:paraId="2C26AA5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621B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BB8C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14D9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162</w:t>
            </w:r>
          </w:p>
        </w:tc>
        <w:tc>
          <w:tcPr>
            <w:tcW w:w="1134" w:type="dxa"/>
          </w:tcPr>
          <w:p w14:paraId="00E9059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180-239.9</w:t>
            </w:r>
          </w:p>
        </w:tc>
        <w:tc>
          <w:tcPr>
            <w:tcW w:w="1559" w:type="dxa"/>
          </w:tcPr>
          <w:p w14:paraId="0687BED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3FEF54" w14:textId="77777777" w:rsidTr="00743919">
        <w:trPr>
          <w:trHeight w:val="302"/>
        </w:trPr>
        <w:tc>
          <w:tcPr>
            <w:tcW w:w="1555" w:type="dxa"/>
          </w:tcPr>
          <w:p w14:paraId="356ECEA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FBD7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74A8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8017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164</w:t>
            </w:r>
          </w:p>
        </w:tc>
        <w:tc>
          <w:tcPr>
            <w:tcW w:w="1134" w:type="dxa"/>
          </w:tcPr>
          <w:p w14:paraId="31053BB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300-300+</w:t>
            </w:r>
          </w:p>
        </w:tc>
        <w:tc>
          <w:tcPr>
            <w:tcW w:w="1559" w:type="dxa"/>
          </w:tcPr>
          <w:p w14:paraId="30CFA6D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3CE5AC8" w14:textId="77777777" w:rsidTr="00743919">
        <w:trPr>
          <w:trHeight w:val="302"/>
        </w:trPr>
        <w:tc>
          <w:tcPr>
            <w:tcW w:w="1555" w:type="dxa"/>
          </w:tcPr>
          <w:p w14:paraId="14CD3AF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5BDA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A6 Group Therapy (other than by psychiatrist)</w:t>
            </w:r>
          </w:p>
        </w:tc>
        <w:tc>
          <w:tcPr>
            <w:tcW w:w="1843" w:type="dxa"/>
          </w:tcPr>
          <w:p w14:paraId="7ECF4A9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716C8D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170</w:t>
            </w:r>
          </w:p>
        </w:tc>
        <w:tc>
          <w:tcPr>
            <w:tcW w:w="1134" w:type="dxa"/>
          </w:tcPr>
          <w:p w14:paraId="6C83AFA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0-60</w:t>
            </w:r>
          </w:p>
        </w:tc>
        <w:tc>
          <w:tcPr>
            <w:tcW w:w="1559" w:type="dxa"/>
          </w:tcPr>
          <w:p w14:paraId="12F6DEC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56BF456" w14:textId="77777777" w:rsidTr="00743919">
        <w:trPr>
          <w:trHeight w:val="302"/>
        </w:trPr>
        <w:tc>
          <w:tcPr>
            <w:tcW w:w="1555" w:type="dxa"/>
          </w:tcPr>
          <w:p w14:paraId="3E7D6B3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88196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A7 Acupuncture</w:t>
            </w:r>
          </w:p>
        </w:tc>
        <w:tc>
          <w:tcPr>
            <w:tcW w:w="1843" w:type="dxa"/>
          </w:tcPr>
          <w:p w14:paraId="3C42F27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6F5B75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173</w:t>
            </w:r>
          </w:p>
        </w:tc>
        <w:tc>
          <w:tcPr>
            <w:tcW w:w="1134" w:type="dxa"/>
          </w:tcPr>
          <w:p w14:paraId="22C1100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Unspecified</w:t>
            </w:r>
          </w:p>
        </w:tc>
        <w:tc>
          <w:tcPr>
            <w:tcW w:w="1559" w:type="dxa"/>
          </w:tcPr>
          <w:p w14:paraId="6390CF4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7C2CF1" w14:textId="77777777" w:rsidTr="00743919">
        <w:trPr>
          <w:trHeight w:val="302"/>
        </w:trPr>
        <w:tc>
          <w:tcPr>
            <w:tcW w:w="1555" w:type="dxa"/>
          </w:tcPr>
          <w:p w14:paraId="59896D8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83B5E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A8 Consultant Psychiatrist</w:t>
            </w:r>
          </w:p>
        </w:tc>
        <w:tc>
          <w:tcPr>
            <w:tcW w:w="1843" w:type="dxa"/>
          </w:tcPr>
          <w:p w14:paraId="68B1F13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0D7F8AA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291</w:t>
            </w:r>
          </w:p>
        </w:tc>
        <w:tc>
          <w:tcPr>
            <w:tcW w:w="1134" w:type="dxa"/>
          </w:tcPr>
          <w:p w14:paraId="70F7AB1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45.1-45+</w:t>
            </w:r>
          </w:p>
        </w:tc>
        <w:tc>
          <w:tcPr>
            <w:tcW w:w="1559" w:type="dxa"/>
          </w:tcPr>
          <w:p w14:paraId="686BA3E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1920E3D4" w14:textId="77777777" w:rsidTr="00743919">
        <w:trPr>
          <w:trHeight w:val="302"/>
        </w:trPr>
        <w:tc>
          <w:tcPr>
            <w:tcW w:w="1555" w:type="dxa"/>
          </w:tcPr>
          <w:p w14:paraId="2AD4C05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E48D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104CAD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E6C2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296</w:t>
            </w:r>
          </w:p>
        </w:tc>
        <w:tc>
          <w:tcPr>
            <w:tcW w:w="1134" w:type="dxa"/>
          </w:tcPr>
          <w:p w14:paraId="22BF550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45.1-45+</w:t>
            </w:r>
          </w:p>
        </w:tc>
        <w:tc>
          <w:tcPr>
            <w:tcW w:w="1559" w:type="dxa"/>
          </w:tcPr>
          <w:p w14:paraId="212EBD4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75683DBB" w14:textId="77777777" w:rsidTr="00743919">
        <w:trPr>
          <w:trHeight w:val="302"/>
        </w:trPr>
        <w:tc>
          <w:tcPr>
            <w:tcW w:w="1555" w:type="dxa"/>
          </w:tcPr>
          <w:p w14:paraId="1DD0FFF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5F8E9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359C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8CB45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297</w:t>
            </w:r>
          </w:p>
        </w:tc>
        <w:tc>
          <w:tcPr>
            <w:tcW w:w="1134" w:type="dxa"/>
          </w:tcPr>
          <w:p w14:paraId="393F7B9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45.1-45+</w:t>
            </w:r>
          </w:p>
        </w:tc>
        <w:tc>
          <w:tcPr>
            <w:tcW w:w="1559" w:type="dxa"/>
          </w:tcPr>
          <w:p w14:paraId="53761DF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A2EC532" w14:textId="77777777" w:rsidTr="00743919">
        <w:trPr>
          <w:trHeight w:val="302"/>
        </w:trPr>
        <w:tc>
          <w:tcPr>
            <w:tcW w:w="1555" w:type="dxa"/>
          </w:tcPr>
          <w:p w14:paraId="3B15273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8D71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E3B6D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8F0B3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w:t>
            </w:r>
          </w:p>
        </w:tc>
        <w:tc>
          <w:tcPr>
            <w:tcW w:w="1134" w:type="dxa"/>
          </w:tcPr>
          <w:p w14:paraId="652A025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15.1-30</w:t>
            </w:r>
          </w:p>
        </w:tc>
        <w:tc>
          <w:tcPr>
            <w:tcW w:w="1559" w:type="dxa"/>
          </w:tcPr>
          <w:p w14:paraId="17A96FB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CEC5D4" w14:textId="77777777" w:rsidTr="00743919">
        <w:trPr>
          <w:trHeight w:val="302"/>
        </w:trPr>
        <w:tc>
          <w:tcPr>
            <w:tcW w:w="1555" w:type="dxa"/>
          </w:tcPr>
          <w:p w14:paraId="4F4FFE9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E677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68E5C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72CB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w:t>
            </w:r>
          </w:p>
        </w:tc>
        <w:tc>
          <w:tcPr>
            <w:tcW w:w="1134" w:type="dxa"/>
          </w:tcPr>
          <w:p w14:paraId="34E339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30.1-45</w:t>
            </w:r>
          </w:p>
        </w:tc>
        <w:tc>
          <w:tcPr>
            <w:tcW w:w="1559" w:type="dxa"/>
          </w:tcPr>
          <w:p w14:paraId="0C2CABF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3F4AD6" w14:textId="77777777" w:rsidTr="00743919">
        <w:trPr>
          <w:trHeight w:val="302"/>
        </w:trPr>
        <w:tc>
          <w:tcPr>
            <w:tcW w:w="1555" w:type="dxa"/>
          </w:tcPr>
          <w:p w14:paraId="1F88235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4C0AB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E8CBB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F1F10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306</w:t>
            </w:r>
          </w:p>
        </w:tc>
        <w:tc>
          <w:tcPr>
            <w:tcW w:w="1134" w:type="dxa"/>
          </w:tcPr>
          <w:p w14:paraId="47B7FED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45.1-75</w:t>
            </w:r>
          </w:p>
        </w:tc>
        <w:tc>
          <w:tcPr>
            <w:tcW w:w="1559" w:type="dxa"/>
          </w:tcPr>
          <w:p w14:paraId="78B9715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17BE68" w14:textId="77777777" w:rsidTr="00743919">
        <w:trPr>
          <w:trHeight w:val="302"/>
        </w:trPr>
        <w:tc>
          <w:tcPr>
            <w:tcW w:w="1555" w:type="dxa"/>
          </w:tcPr>
          <w:p w14:paraId="0026E15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EA07C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DDE0A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A53D5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314</w:t>
            </w:r>
          </w:p>
        </w:tc>
        <w:tc>
          <w:tcPr>
            <w:tcW w:w="1134" w:type="dxa"/>
          </w:tcPr>
          <w:p w14:paraId="2D2B692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30.1-45</w:t>
            </w:r>
          </w:p>
        </w:tc>
        <w:tc>
          <w:tcPr>
            <w:tcW w:w="1559" w:type="dxa"/>
          </w:tcPr>
          <w:p w14:paraId="756CF59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D6F06E" w14:textId="77777777" w:rsidTr="00743919">
        <w:trPr>
          <w:trHeight w:val="302"/>
        </w:trPr>
        <w:tc>
          <w:tcPr>
            <w:tcW w:w="1555" w:type="dxa"/>
          </w:tcPr>
          <w:p w14:paraId="59F0A07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F495C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C6FC3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69A5D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319</w:t>
            </w:r>
          </w:p>
        </w:tc>
        <w:tc>
          <w:tcPr>
            <w:tcW w:w="1134" w:type="dxa"/>
          </w:tcPr>
          <w:p w14:paraId="0B0A958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45.1-45+</w:t>
            </w:r>
          </w:p>
        </w:tc>
        <w:tc>
          <w:tcPr>
            <w:tcW w:w="1559" w:type="dxa"/>
          </w:tcPr>
          <w:p w14:paraId="3016C6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0E92174" w14:textId="77777777" w:rsidTr="00743919">
        <w:trPr>
          <w:trHeight w:val="302"/>
        </w:trPr>
        <w:tc>
          <w:tcPr>
            <w:tcW w:w="1555" w:type="dxa"/>
          </w:tcPr>
          <w:p w14:paraId="74D2B35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2378C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81951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E50C5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322</w:t>
            </w:r>
          </w:p>
        </w:tc>
        <w:tc>
          <w:tcPr>
            <w:tcW w:w="1134" w:type="dxa"/>
          </w:tcPr>
          <w:p w14:paraId="3BBB408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15.1-30</w:t>
            </w:r>
          </w:p>
        </w:tc>
        <w:tc>
          <w:tcPr>
            <w:tcW w:w="1559" w:type="dxa"/>
          </w:tcPr>
          <w:p w14:paraId="19A66E7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4F08FCC" w14:textId="77777777" w:rsidTr="00743919">
        <w:trPr>
          <w:trHeight w:val="302"/>
        </w:trPr>
        <w:tc>
          <w:tcPr>
            <w:tcW w:w="1555" w:type="dxa"/>
          </w:tcPr>
          <w:p w14:paraId="2AB51E8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6114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45C95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EE1D8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324</w:t>
            </w:r>
          </w:p>
        </w:tc>
        <w:tc>
          <w:tcPr>
            <w:tcW w:w="1134" w:type="dxa"/>
          </w:tcPr>
          <w:p w14:paraId="694BE2D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15.1-30</w:t>
            </w:r>
          </w:p>
        </w:tc>
        <w:tc>
          <w:tcPr>
            <w:tcW w:w="1559" w:type="dxa"/>
          </w:tcPr>
          <w:p w14:paraId="1F4AD59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3B76DDE8" w14:textId="77777777" w:rsidTr="00743919">
        <w:trPr>
          <w:trHeight w:val="302"/>
        </w:trPr>
        <w:tc>
          <w:tcPr>
            <w:tcW w:w="1555" w:type="dxa"/>
          </w:tcPr>
          <w:p w14:paraId="6BC9305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5072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94138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62810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326</w:t>
            </w:r>
          </w:p>
        </w:tc>
        <w:tc>
          <w:tcPr>
            <w:tcW w:w="1134" w:type="dxa"/>
          </w:tcPr>
          <w:p w14:paraId="2A03509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45.1-75</w:t>
            </w:r>
          </w:p>
        </w:tc>
        <w:tc>
          <w:tcPr>
            <w:tcW w:w="1559" w:type="dxa"/>
          </w:tcPr>
          <w:p w14:paraId="5C36C02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5302D6D6" w14:textId="77777777" w:rsidTr="00743919">
        <w:trPr>
          <w:trHeight w:val="302"/>
        </w:trPr>
        <w:tc>
          <w:tcPr>
            <w:tcW w:w="1555" w:type="dxa"/>
          </w:tcPr>
          <w:p w14:paraId="5A2BCE2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D912C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57829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DE1A3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336</w:t>
            </w:r>
          </w:p>
        </w:tc>
        <w:tc>
          <w:tcPr>
            <w:tcW w:w="1134" w:type="dxa"/>
          </w:tcPr>
          <w:p w14:paraId="2451522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45.1-75</w:t>
            </w:r>
          </w:p>
        </w:tc>
        <w:tc>
          <w:tcPr>
            <w:tcW w:w="1559" w:type="dxa"/>
          </w:tcPr>
          <w:p w14:paraId="5EC8A8D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Assessment</w:t>
            </w:r>
          </w:p>
        </w:tc>
      </w:tr>
      <w:tr w:rsidR="00743919" w14:paraId="377BDF67" w14:textId="77777777" w:rsidTr="00743919">
        <w:trPr>
          <w:trHeight w:val="302"/>
        </w:trPr>
        <w:tc>
          <w:tcPr>
            <w:tcW w:w="1555" w:type="dxa"/>
          </w:tcPr>
          <w:p w14:paraId="2EF8C48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8995C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749C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AA4BC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352</w:t>
            </w:r>
          </w:p>
        </w:tc>
        <w:tc>
          <w:tcPr>
            <w:tcW w:w="1134" w:type="dxa"/>
          </w:tcPr>
          <w:p w14:paraId="4CE0912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20-20+</w:t>
            </w:r>
          </w:p>
        </w:tc>
        <w:tc>
          <w:tcPr>
            <w:tcW w:w="1559" w:type="dxa"/>
          </w:tcPr>
          <w:p w14:paraId="5E2E764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6E4BD30" w14:textId="77777777" w:rsidTr="00743919">
        <w:trPr>
          <w:trHeight w:val="302"/>
        </w:trPr>
        <w:tc>
          <w:tcPr>
            <w:tcW w:w="1555" w:type="dxa"/>
          </w:tcPr>
          <w:p w14:paraId="26363DF3" w14:textId="77777777" w:rsidR="00743919" w:rsidRPr="00F333A1" w:rsidRDefault="00743919">
            <w:pPr>
              <w:widowControl w:val="0"/>
              <w:numPr>
                <w:ilvl w:val="0"/>
                <w:numId w:val="5"/>
              </w:numPr>
              <w:tabs>
                <w:tab w:val="clear" w:pos="340"/>
              </w:tabs>
              <w:autoSpaceDE w:val="0"/>
              <w:autoSpaceDN w:val="0"/>
              <w:adjustRightInd w:val="0"/>
              <w:spacing w:before="0" w:after="0" w:line="240" w:lineRule="auto"/>
              <w:rPr>
                <w:rFonts w:ascii="Arial Narrow" w:hAnsi="Arial Narrow" w:cs="Calibri"/>
                <w:sz w:val="20"/>
                <w:lang w:val="en-US" w:eastAsia="en-AU"/>
              </w:rPr>
            </w:pPr>
            <w:r w:rsidRPr="00F333A1">
              <w:rPr>
                <w:rFonts w:ascii="Arial Narrow" w:hAnsi="Arial Narrow" w:cs="Calibri"/>
                <w:sz w:val="20"/>
                <w:lang w:val="en-US" w:eastAsia="en-AU"/>
              </w:rPr>
              <w:t>2 Diagnostic Procedures</w:t>
            </w:r>
            <w:r w:rsidRPr="00F333A1">
              <w:rPr>
                <w:rFonts w:ascii="Arial Narrow" w:hAnsi="Arial Narrow" w:cs="Calibri"/>
                <w:sz w:val="20"/>
                <w:lang w:val="en-US" w:eastAsia="en-AU"/>
              </w:rPr>
              <w:tab/>
              <w:t>and Investigations</w:t>
            </w:r>
          </w:p>
        </w:tc>
        <w:tc>
          <w:tcPr>
            <w:tcW w:w="1984" w:type="dxa"/>
          </w:tcPr>
          <w:p w14:paraId="09F34A5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D1 Miscellaneous Diagnostic Procedures and Investigations</w:t>
            </w:r>
          </w:p>
        </w:tc>
        <w:tc>
          <w:tcPr>
            <w:tcW w:w="1843" w:type="dxa"/>
          </w:tcPr>
          <w:p w14:paraId="5578259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Neurology</w:t>
            </w:r>
          </w:p>
        </w:tc>
        <w:tc>
          <w:tcPr>
            <w:tcW w:w="992" w:type="dxa"/>
          </w:tcPr>
          <w:p w14:paraId="7D4672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11000</w:t>
            </w:r>
          </w:p>
        </w:tc>
        <w:tc>
          <w:tcPr>
            <w:tcW w:w="1134" w:type="dxa"/>
          </w:tcPr>
          <w:p w14:paraId="12966F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311AF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D5AD0AA" w14:textId="77777777" w:rsidTr="00743919">
        <w:trPr>
          <w:trHeight w:val="302"/>
        </w:trPr>
        <w:tc>
          <w:tcPr>
            <w:tcW w:w="1555" w:type="dxa"/>
          </w:tcPr>
          <w:p w14:paraId="703AC88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A2AF6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4132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2BCF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11003</w:t>
            </w:r>
          </w:p>
        </w:tc>
        <w:tc>
          <w:tcPr>
            <w:tcW w:w="1134" w:type="dxa"/>
          </w:tcPr>
          <w:p w14:paraId="30CD337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3B4F3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F06B887" w14:textId="77777777" w:rsidTr="00743919">
        <w:trPr>
          <w:trHeight w:val="302"/>
        </w:trPr>
        <w:tc>
          <w:tcPr>
            <w:tcW w:w="1555" w:type="dxa"/>
          </w:tcPr>
          <w:p w14:paraId="6003E1D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FD19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BBDB1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5000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11006</w:t>
            </w:r>
          </w:p>
        </w:tc>
        <w:tc>
          <w:tcPr>
            <w:tcW w:w="1134" w:type="dxa"/>
          </w:tcPr>
          <w:p w14:paraId="134054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5EAE2A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A5B46F" w14:textId="77777777" w:rsidTr="00743919">
        <w:trPr>
          <w:trHeight w:val="302"/>
        </w:trPr>
        <w:tc>
          <w:tcPr>
            <w:tcW w:w="1555" w:type="dxa"/>
          </w:tcPr>
          <w:p w14:paraId="7FE1D6E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5FF31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A2132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69880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11018</w:t>
            </w:r>
          </w:p>
        </w:tc>
        <w:tc>
          <w:tcPr>
            <w:tcW w:w="1134" w:type="dxa"/>
          </w:tcPr>
          <w:p w14:paraId="03858B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57F6D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056DFA" w14:textId="77777777" w:rsidTr="00743919">
        <w:trPr>
          <w:trHeight w:val="302"/>
        </w:trPr>
        <w:tc>
          <w:tcPr>
            <w:tcW w:w="1555" w:type="dxa"/>
          </w:tcPr>
          <w:p w14:paraId="1207B26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C532B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C9D4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2F000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11024</w:t>
            </w:r>
          </w:p>
        </w:tc>
        <w:tc>
          <w:tcPr>
            <w:tcW w:w="1134" w:type="dxa"/>
          </w:tcPr>
          <w:p w14:paraId="3C5130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1BFA40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FFED17" w14:textId="77777777" w:rsidTr="00743919">
        <w:trPr>
          <w:trHeight w:val="302"/>
        </w:trPr>
        <w:tc>
          <w:tcPr>
            <w:tcW w:w="1555" w:type="dxa"/>
          </w:tcPr>
          <w:p w14:paraId="6B58CED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03B8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EC4C0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 Other diagnostic Procedures and investigations</w:t>
            </w:r>
          </w:p>
        </w:tc>
        <w:tc>
          <w:tcPr>
            <w:tcW w:w="992" w:type="dxa"/>
          </w:tcPr>
          <w:p w14:paraId="4D1F53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12203</w:t>
            </w:r>
          </w:p>
        </w:tc>
        <w:tc>
          <w:tcPr>
            <w:tcW w:w="1134" w:type="dxa"/>
          </w:tcPr>
          <w:p w14:paraId="45C9D2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A9317A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5C10D3" w14:textId="77777777" w:rsidTr="00743919">
        <w:trPr>
          <w:trHeight w:val="302"/>
        </w:trPr>
        <w:tc>
          <w:tcPr>
            <w:tcW w:w="1555" w:type="dxa"/>
          </w:tcPr>
          <w:p w14:paraId="2037496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40790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4B75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6EF0A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12213</w:t>
            </w:r>
          </w:p>
        </w:tc>
        <w:tc>
          <w:tcPr>
            <w:tcW w:w="1134" w:type="dxa"/>
          </w:tcPr>
          <w:p w14:paraId="0B6CEC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BE660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2D884A" w14:textId="77777777" w:rsidTr="00743919">
        <w:trPr>
          <w:trHeight w:val="302"/>
        </w:trPr>
        <w:tc>
          <w:tcPr>
            <w:tcW w:w="1555" w:type="dxa"/>
          </w:tcPr>
          <w:p w14:paraId="69FE4E2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0A51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2E9ED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48E5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12250</w:t>
            </w:r>
          </w:p>
        </w:tc>
        <w:tc>
          <w:tcPr>
            <w:tcW w:w="1134" w:type="dxa"/>
          </w:tcPr>
          <w:p w14:paraId="0E981F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01768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EC460A3" w14:textId="77777777" w:rsidTr="00743919">
        <w:trPr>
          <w:trHeight w:val="302"/>
        </w:trPr>
        <w:tc>
          <w:tcPr>
            <w:tcW w:w="1555" w:type="dxa"/>
          </w:tcPr>
          <w:p w14:paraId="39D257F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85C4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7C3A8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 Otolaryngology</w:t>
            </w:r>
          </w:p>
        </w:tc>
        <w:tc>
          <w:tcPr>
            <w:tcW w:w="992" w:type="dxa"/>
          </w:tcPr>
          <w:p w14:paraId="78195D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11306</w:t>
            </w:r>
          </w:p>
        </w:tc>
        <w:tc>
          <w:tcPr>
            <w:tcW w:w="1134" w:type="dxa"/>
          </w:tcPr>
          <w:p w14:paraId="0018C3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FF574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400A2F" w14:textId="77777777" w:rsidTr="00743919">
        <w:trPr>
          <w:trHeight w:val="302"/>
        </w:trPr>
        <w:tc>
          <w:tcPr>
            <w:tcW w:w="1555" w:type="dxa"/>
          </w:tcPr>
          <w:p w14:paraId="7EBC41E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3827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05181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E861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11324</w:t>
            </w:r>
          </w:p>
        </w:tc>
        <w:tc>
          <w:tcPr>
            <w:tcW w:w="1134" w:type="dxa"/>
          </w:tcPr>
          <w:p w14:paraId="3AE6BB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AD1D0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1A62D9" w14:textId="77777777" w:rsidTr="00743919">
        <w:trPr>
          <w:trHeight w:val="302"/>
        </w:trPr>
        <w:tc>
          <w:tcPr>
            <w:tcW w:w="1555" w:type="dxa"/>
          </w:tcPr>
          <w:p w14:paraId="4FD3891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3EEC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143B6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 Respiratory</w:t>
            </w:r>
          </w:p>
        </w:tc>
        <w:tc>
          <w:tcPr>
            <w:tcW w:w="992" w:type="dxa"/>
          </w:tcPr>
          <w:p w14:paraId="3138C4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11503</w:t>
            </w:r>
          </w:p>
        </w:tc>
        <w:tc>
          <w:tcPr>
            <w:tcW w:w="1134" w:type="dxa"/>
          </w:tcPr>
          <w:p w14:paraId="69C60A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9D142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E314E6" w14:textId="77777777" w:rsidTr="00743919">
        <w:trPr>
          <w:trHeight w:val="302"/>
        </w:trPr>
        <w:tc>
          <w:tcPr>
            <w:tcW w:w="1555" w:type="dxa"/>
          </w:tcPr>
          <w:p w14:paraId="154EFA7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1EBAD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5AB5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7E9FB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11506</w:t>
            </w:r>
          </w:p>
        </w:tc>
        <w:tc>
          <w:tcPr>
            <w:tcW w:w="1134" w:type="dxa"/>
          </w:tcPr>
          <w:p w14:paraId="766EB7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94C1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85FFA2" w14:textId="77777777" w:rsidTr="00743919">
        <w:trPr>
          <w:trHeight w:val="302"/>
        </w:trPr>
        <w:tc>
          <w:tcPr>
            <w:tcW w:w="1555" w:type="dxa"/>
          </w:tcPr>
          <w:p w14:paraId="63A59D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394A7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8EBAC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44494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11509</w:t>
            </w:r>
          </w:p>
        </w:tc>
        <w:tc>
          <w:tcPr>
            <w:tcW w:w="1134" w:type="dxa"/>
          </w:tcPr>
          <w:p w14:paraId="35F8ED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9C1668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2D72BF" w14:textId="77777777" w:rsidTr="00743919">
        <w:trPr>
          <w:trHeight w:val="302"/>
        </w:trPr>
        <w:tc>
          <w:tcPr>
            <w:tcW w:w="1555" w:type="dxa"/>
          </w:tcPr>
          <w:p w14:paraId="5EACE07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92BFD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7A495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0110D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11512</w:t>
            </w:r>
          </w:p>
        </w:tc>
        <w:tc>
          <w:tcPr>
            <w:tcW w:w="1134" w:type="dxa"/>
          </w:tcPr>
          <w:p w14:paraId="494BA7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6564F4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1F88D6D" w14:textId="77777777" w:rsidTr="00743919">
        <w:trPr>
          <w:trHeight w:val="302"/>
        </w:trPr>
        <w:tc>
          <w:tcPr>
            <w:tcW w:w="1555" w:type="dxa"/>
          </w:tcPr>
          <w:p w14:paraId="3297FCB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C64D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1A26A3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5 Vascular</w:t>
            </w:r>
          </w:p>
        </w:tc>
        <w:tc>
          <w:tcPr>
            <w:tcW w:w="992" w:type="dxa"/>
          </w:tcPr>
          <w:p w14:paraId="5ED280A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11600</w:t>
            </w:r>
          </w:p>
        </w:tc>
        <w:tc>
          <w:tcPr>
            <w:tcW w:w="1134" w:type="dxa"/>
          </w:tcPr>
          <w:p w14:paraId="4C9F30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214C5E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7E8C342" w14:textId="77777777" w:rsidTr="00743919">
        <w:trPr>
          <w:trHeight w:val="302"/>
        </w:trPr>
        <w:tc>
          <w:tcPr>
            <w:tcW w:w="1555" w:type="dxa"/>
          </w:tcPr>
          <w:p w14:paraId="7756610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7D4CF2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1C49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A44A1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11610</w:t>
            </w:r>
          </w:p>
        </w:tc>
        <w:tc>
          <w:tcPr>
            <w:tcW w:w="1134" w:type="dxa"/>
          </w:tcPr>
          <w:p w14:paraId="75F7C2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ED552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AE3CCC1" w14:textId="77777777" w:rsidTr="00743919">
        <w:trPr>
          <w:trHeight w:val="302"/>
        </w:trPr>
        <w:tc>
          <w:tcPr>
            <w:tcW w:w="1555" w:type="dxa"/>
          </w:tcPr>
          <w:p w14:paraId="3797B21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98D5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F372CF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6 Cardiovascular</w:t>
            </w:r>
          </w:p>
        </w:tc>
        <w:tc>
          <w:tcPr>
            <w:tcW w:w="992" w:type="dxa"/>
          </w:tcPr>
          <w:p w14:paraId="32C4BE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11700</w:t>
            </w:r>
          </w:p>
        </w:tc>
        <w:tc>
          <w:tcPr>
            <w:tcW w:w="1134" w:type="dxa"/>
          </w:tcPr>
          <w:p w14:paraId="40D676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E7CF58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3BB1205" w14:textId="77777777" w:rsidTr="00743919">
        <w:trPr>
          <w:trHeight w:val="302"/>
        </w:trPr>
        <w:tc>
          <w:tcPr>
            <w:tcW w:w="1555" w:type="dxa"/>
          </w:tcPr>
          <w:p w14:paraId="3032CF1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3EBF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54DD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4AF52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11702</w:t>
            </w:r>
          </w:p>
        </w:tc>
        <w:tc>
          <w:tcPr>
            <w:tcW w:w="1134" w:type="dxa"/>
          </w:tcPr>
          <w:p w14:paraId="04F3F1E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D94778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D86A4B4" w14:textId="77777777" w:rsidTr="00743919">
        <w:trPr>
          <w:trHeight w:val="302"/>
        </w:trPr>
        <w:tc>
          <w:tcPr>
            <w:tcW w:w="1555" w:type="dxa"/>
          </w:tcPr>
          <w:p w14:paraId="1AAF33B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5EDA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7DF18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B739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11709</w:t>
            </w:r>
          </w:p>
        </w:tc>
        <w:tc>
          <w:tcPr>
            <w:tcW w:w="1134" w:type="dxa"/>
          </w:tcPr>
          <w:p w14:paraId="741D0B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5B458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267F83" w14:textId="77777777" w:rsidTr="00743919">
        <w:trPr>
          <w:trHeight w:val="302"/>
        </w:trPr>
        <w:tc>
          <w:tcPr>
            <w:tcW w:w="1555" w:type="dxa"/>
          </w:tcPr>
          <w:p w14:paraId="11697FB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5609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C36B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5FDCA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11710</w:t>
            </w:r>
          </w:p>
        </w:tc>
        <w:tc>
          <w:tcPr>
            <w:tcW w:w="1134" w:type="dxa"/>
          </w:tcPr>
          <w:p w14:paraId="443D6C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379510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2D6E5B" w14:textId="77777777" w:rsidTr="00743919">
        <w:trPr>
          <w:trHeight w:val="302"/>
        </w:trPr>
        <w:tc>
          <w:tcPr>
            <w:tcW w:w="1555" w:type="dxa"/>
          </w:tcPr>
          <w:p w14:paraId="3FF6BC1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79B00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06BF3F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87A54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11712</w:t>
            </w:r>
          </w:p>
        </w:tc>
        <w:tc>
          <w:tcPr>
            <w:tcW w:w="1134" w:type="dxa"/>
          </w:tcPr>
          <w:p w14:paraId="27F9EE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3F51A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8AA1A2" w14:textId="77777777" w:rsidTr="00743919">
        <w:trPr>
          <w:trHeight w:val="302"/>
        </w:trPr>
        <w:tc>
          <w:tcPr>
            <w:tcW w:w="1555" w:type="dxa"/>
          </w:tcPr>
          <w:p w14:paraId="2BEF735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C28F2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EA0C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FA0B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11718</w:t>
            </w:r>
          </w:p>
        </w:tc>
        <w:tc>
          <w:tcPr>
            <w:tcW w:w="1134" w:type="dxa"/>
          </w:tcPr>
          <w:p w14:paraId="5D90B2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323CD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2C1F0EC" w14:textId="77777777" w:rsidTr="00743919">
        <w:trPr>
          <w:trHeight w:val="302"/>
        </w:trPr>
        <w:tc>
          <w:tcPr>
            <w:tcW w:w="1555" w:type="dxa"/>
          </w:tcPr>
          <w:p w14:paraId="6467A1C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B779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CAC9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ADD3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11721</w:t>
            </w:r>
          </w:p>
        </w:tc>
        <w:tc>
          <w:tcPr>
            <w:tcW w:w="1134" w:type="dxa"/>
          </w:tcPr>
          <w:p w14:paraId="5C8C889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602D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F10F2C" w14:textId="77777777" w:rsidTr="00743919">
        <w:trPr>
          <w:trHeight w:val="302"/>
        </w:trPr>
        <w:tc>
          <w:tcPr>
            <w:tcW w:w="1555" w:type="dxa"/>
          </w:tcPr>
          <w:p w14:paraId="654432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4617E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B51B4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7953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11722</w:t>
            </w:r>
          </w:p>
        </w:tc>
        <w:tc>
          <w:tcPr>
            <w:tcW w:w="1134" w:type="dxa"/>
          </w:tcPr>
          <w:p w14:paraId="617A92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65C3F3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9D2B78" w14:textId="77777777" w:rsidTr="00743919">
        <w:trPr>
          <w:trHeight w:val="302"/>
        </w:trPr>
        <w:tc>
          <w:tcPr>
            <w:tcW w:w="1555" w:type="dxa"/>
          </w:tcPr>
          <w:p w14:paraId="39DFD2B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AA2A39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6BE4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216BA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11727</w:t>
            </w:r>
          </w:p>
        </w:tc>
        <w:tc>
          <w:tcPr>
            <w:tcW w:w="1134" w:type="dxa"/>
          </w:tcPr>
          <w:p w14:paraId="7D036C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6C80F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88F871" w14:textId="77777777" w:rsidTr="00743919">
        <w:trPr>
          <w:trHeight w:val="302"/>
        </w:trPr>
        <w:tc>
          <w:tcPr>
            <w:tcW w:w="1555" w:type="dxa"/>
          </w:tcPr>
          <w:p w14:paraId="7099985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F757A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D80CB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7 Gastroenterology and Colorectal</w:t>
            </w:r>
          </w:p>
        </w:tc>
        <w:tc>
          <w:tcPr>
            <w:tcW w:w="992" w:type="dxa"/>
          </w:tcPr>
          <w:p w14:paraId="436D2A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11820</w:t>
            </w:r>
          </w:p>
        </w:tc>
        <w:tc>
          <w:tcPr>
            <w:tcW w:w="1134" w:type="dxa"/>
          </w:tcPr>
          <w:p w14:paraId="4E0E69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03C42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935D4A6" w14:textId="77777777" w:rsidTr="00743919">
        <w:trPr>
          <w:trHeight w:val="302"/>
        </w:trPr>
        <w:tc>
          <w:tcPr>
            <w:tcW w:w="1555" w:type="dxa"/>
          </w:tcPr>
          <w:p w14:paraId="2AAFCC9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485F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865B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171D9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11823</w:t>
            </w:r>
          </w:p>
        </w:tc>
        <w:tc>
          <w:tcPr>
            <w:tcW w:w="1134" w:type="dxa"/>
          </w:tcPr>
          <w:p w14:paraId="27A2A7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60DC47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ECCF4F" w14:textId="77777777" w:rsidTr="00743919">
        <w:trPr>
          <w:trHeight w:val="302"/>
        </w:trPr>
        <w:tc>
          <w:tcPr>
            <w:tcW w:w="1555" w:type="dxa"/>
          </w:tcPr>
          <w:p w14:paraId="212BEDF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D5450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6A7EF0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8 Genito/Urinary Physiological Investigations</w:t>
            </w:r>
          </w:p>
        </w:tc>
        <w:tc>
          <w:tcPr>
            <w:tcW w:w="992" w:type="dxa"/>
          </w:tcPr>
          <w:p w14:paraId="438A25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11900</w:t>
            </w:r>
          </w:p>
        </w:tc>
        <w:tc>
          <w:tcPr>
            <w:tcW w:w="1134" w:type="dxa"/>
          </w:tcPr>
          <w:p w14:paraId="25D07B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1FBE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EA66E7" w14:textId="77777777" w:rsidTr="00743919">
        <w:trPr>
          <w:trHeight w:val="302"/>
        </w:trPr>
        <w:tc>
          <w:tcPr>
            <w:tcW w:w="1555" w:type="dxa"/>
          </w:tcPr>
          <w:p w14:paraId="1DD9E68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B6DF1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DBA1D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9 Allergy Testing</w:t>
            </w:r>
          </w:p>
        </w:tc>
        <w:tc>
          <w:tcPr>
            <w:tcW w:w="992" w:type="dxa"/>
          </w:tcPr>
          <w:p w14:paraId="2BDD05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12000</w:t>
            </w:r>
          </w:p>
        </w:tc>
        <w:tc>
          <w:tcPr>
            <w:tcW w:w="1134" w:type="dxa"/>
          </w:tcPr>
          <w:p w14:paraId="59253F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4F3680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B9650CE" w14:textId="77777777" w:rsidTr="00743919">
        <w:trPr>
          <w:trHeight w:val="302"/>
        </w:trPr>
        <w:tc>
          <w:tcPr>
            <w:tcW w:w="1555" w:type="dxa"/>
          </w:tcPr>
          <w:p w14:paraId="237A72A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B8D362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6252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F384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12003</w:t>
            </w:r>
          </w:p>
        </w:tc>
        <w:tc>
          <w:tcPr>
            <w:tcW w:w="1134" w:type="dxa"/>
          </w:tcPr>
          <w:p w14:paraId="123608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E039C7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2FCA96C" w14:textId="77777777" w:rsidTr="00743919">
        <w:trPr>
          <w:trHeight w:val="302"/>
        </w:trPr>
        <w:tc>
          <w:tcPr>
            <w:tcW w:w="1555" w:type="dxa"/>
          </w:tcPr>
          <w:p w14:paraId="40A6C4E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DDAC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B4227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3E5A4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12015</w:t>
            </w:r>
          </w:p>
        </w:tc>
        <w:tc>
          <w:tcPr>
            <w:tcW w:w="1134" w:type="dxa"/>
          </w:tcPr>
          <w:p w14:paraId="5BF1AE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1BFB7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F7C1C11" w14:textId="77777777" w:rsidTr="00743919">
        <w:trPr>
          <w:trHeight w:val="302"/>
        </w:trPr>
        <w:tc>
          <w:tcPr>
            <w:tcW w:w="1555" w:type="dxa"/>
          </w:tcPr>
          <w:p w14:paraId="01FC4072" w14:textId="77777777" w:rsidR="00743919" w:rsidRPr="00F333A1" w:rsidRDefault="00743919">
            <w:pPr>
              <w:widowControl w:val="0"/>
              <w:numPr>
                <w:ilvl w:val="0"/>
                <w:numId w:val="5"/>
              </w:numPr>
              <w:tabs>
                <w:tab w:val="clear" w:pos="340"/>
              </w:tabs>
              <w:autoSpaceDE w:val="0"/>
              <w:autoSpaceDN w:val="0"/>
              <w:adjustRightInd w:val="0"/>
              <w:spacing w:before="0" w:after="0" w:line="240" w:lineRule="auto"/>
              <w:rPr>
                <w:rFonts w:ascii="Arial Narrow" w:hAnsi="Arial Narrow" w:cs="Calibri"/>
                <w:sz w:val="20"/>
                <w:lang w:val="en-US" w:eastAsia="en-AU"/>
              </w:rPr>
            </w:pPr>
            <w:r w:rsidRPr="00F333A1">
              <w:rPr>
                <w:rFonts w:ascii="Arial Narrow" w:hAnsi="Arial Narrow" w:cs="Calibri"/>
                <w:sz w:val="20"/>
                <w:lang w:val="en-US" w:eastAsia="en-AU"/>
              </w:rPr>
              <w:t>3 Therapeutic Procedures</w:t>
            </w:r>
            <w:r w:rsidRPr="00F333A1">
              <w:rPr>
                <w:rFonts w:ascii="Arial Narrow" w:hAnsi="Arial Narrow" w:cs="Calibri"/>
                <w:sz w:val="20"/>
                <w:lang w:val="en-US" w:eastAsia="en-AU"/>
              </w:rPr>
              <w:tab/>
            </w:r>
          </w:p>
        </w:tc>
        <w:tc>
          <w:tcPr>
            <w:tcW w:w="1984" w:type="dxa"/>
          </w:tcPr>
          <w:p w14:paraId="45410F5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T1 Miscellaneous Therapeutic Procedures</w:t>
            </w:r>
          </w:p>
        </w:tc>
        <w:tc>
          <w:tcPr>
            <w:tcW w:w="1843" w:type="dxa"/>
          </w:tcPr>
          <w:p w14:paraId="6BF6196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 Management/Procedures in Intensive Care</w:t>
            </w:r>
          </w:p>
        </w:tc>
        <w:tc>
          <w:tcPr>
            <w:tcW w:w="992" w:type="dxa"/>
          </w:tcPr>
          <w:p w14:paraId="5B3885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13870</w:t>
            </w:r>
          </w:p>
        </w:tc>
        <w:tc>
          <w:tcPr>
            <w:tcW w:w="1134" w:type="dxa"/>
          </w:tcPr>
          <w:p w14:paraId="2265F1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FF62B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465C17" w14:textId="77777777" w:rsidTr="00743919">
        <w:trPr>
          <w:trHeight w:val="302"/>
        </w:trPr>
        <w:tc>
          <w:tcPr>
            <w:tcW w:w="1555" w:type="dxa"/>
          </w:tcPr>
          <w:p w14:paraId="674D9A7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72C46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99E3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BF9C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13873</w:t>
            </w:r>
          </w:p>
        </w:tc>
        <w:tc>
          <w:tcPr>
            <w:tcW w:w="1134" w:type="dxa"/>
          </w:tcPr>
          <w:p w14:paraId="3BE730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F429B2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F4D24D2" w14:textId="77777777" w:rsidTr="00743919">
        <w:trPr>
          <w:trHeight w:val="302"/>
        </w:trPr>
        <w:tc>
          <w:tcPr>
            <w:tcW w:w="1555" w:type="dxa"/>
          </w:tcPr>
          <w:p w14:paraId="0B47B80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6C68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EE242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1844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13876</w:t>
            </w:r>
          </w:p>
        </w:tc>
        <w:tc>
          <w:tcPr>
            <w:tcW w:w="1134" w:type="dxa"/>
          </w:tcPr>
          <w:p w14:paraId="72FC1E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35AD7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3B2796" w14:textId="77777777" w:rsidTr="00743919">
        <w:trPr>
          <w:trHeight w:val="302"/>
        </w:trPr>
        <w:tc>
          <w:tcPr>
            <w:tcW w:w="1555" w:type="dxa"/>
          </w:tcPr>
          <w:p w14:paraId="6D8A5DA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03800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6F5C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317B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13881</w:t>
            </w:r>
          </w:p>
        </w:tc>
        <w:tc>
          <w:tcPr>
            <w:tcW w:w="1134" w:type="dxa"/>
          </w:tcPr>
          <w:p w14:paraId="2B532F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159EF3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CE7EF23" w14:textId="77777777" w:rsidTr="00743919">
        <w:trPr>
          <w:trHeight w:val="302"/>
        </w:trPr>
        <w:tc>
          <w:tcPr>
            <w:tcW w:w="1555" w:type="dxa"/>
          </w:tcPr>
          <w:p w14:paraId="126A831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336B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E9FF6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B2CA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13882</w:t>
            </w:r>
          </w:p>
        </w:tc>
        <w:tc>
          <w:tcPr>
            <w:tcW w:w="1134" w:type="dxa"/>
          </w:tcPr>
          <w:p w14:paraId="5B0B86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435541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DE3EBBB" w14:textId="77777777" w:rsidTr="00743919">
        <w:trPr>
          <w:trHeight w:val="302"/>
        </w:trPr>
        <w:tc>
          <w:tcPr>
            <w:tcW w:w="1555" w:type="dxa"/>
          </w:tcPr>
          <w:p w14:paraId="18CE0A6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72C3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4B1A03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11 Chemotherapeutic Procedures</w:t>
            </w:r>
          </w:p>
        </w:tc>
        <w:tc>
          <w:tcPr>
            <w:tcW w:w="992" w:type="dxa"/>
          </w:tcPr>
          <w:p w14:paraId="3D5B42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13915</w:t>
            </w:r>
          </w:p>
        </w:tc>
        <w:tc>
          <w:tcPr>
            <w:tcW w:w="1134" w:type="dxa"/>
          </w:tcPr>
          <w:p w14:paraId="711EAB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B3D44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4F48CF" w14:textId="77777777" w:rsidTr="00743919">
        <w:trPr>
          <w:trHeight w:val="302"/>
        </w:trPr>
        <w:tc>
          <w:tcPr>
            <w:tcW w:w="1555" w:type="dxa"/>
          </w:tcPr>
          <w:p w14:paraId="3BD73E6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B81A4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786F2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2094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13918</w:t>
            </w:r>
          </w:p>
        </w:tc>
        <w:tc>
          <w:tcPr>
            <w:tcW w:w="1134" w:type="dxa"/>
          </w:tcPr>
          <w:p w14:paraId="3FEC03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4F2BC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8A4F96" w14:textId="77777777" w:rsidTr="00743919">
        <w:trPr>
          <w:trHeight w:val="302"/>
        </w:trPr>
        <w:tc>
          <w:tcPr>
            <w:tcW w:w="1555" w:type="dxa"/>
          </w:tcPr>
          <w:p w14:paraId="50A90D0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65D1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348C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113F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13921</w:t>
            </w:r>
          </w:p>
        </w:tc>
        <w:tc>
          <w:tcPr>
            <w:tcW w:w="1134" w:type="dxa"/>
          </w:tcPr>
          <w:p w14:paraId="64AB6F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FEBA0F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16890F0" w14:textId="77777777" w:rsidTr="00743919">
        <w:trPr>
          <w:trHeight w:val="302"/>
        </w:trPr>
        <w:tc>
          <w:tcPr>
            <w:tcW w:w="1555" w:type="dxa"/>
          </w:tcPr>
          <w:p w14:paraId="2E1C080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46BF8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24C8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7319A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13924</w:t>
            </w:r>
          </w:p>
        </w:tc>
        <w:tc>
          <w:tcPr>
            <w:tcW w:w="1134" w:type="dxa"/>
          </w:tcPr>
          <w:p w14:paraId="54F110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0F84D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2E45C9D" w14:textId="77777777" w:rsidTr="00743919">
        <w:trPr>
          <w:trHeight w:val="302"/>
        </w:trPr>
        <w:tc>
          <w:tcPr>
            <w:tcW w:w="1555" w:type="dxa"/>
          </w:tcPr>
          <w:p w14:paraId="338D16B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6AC2D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4991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F5E1C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13939</w:t>
            </w:r>
          </w:p>
        </w:tc>
        <w:tc>
          <w:tcPr>
            <w:tcW w:w="1134" w:type="dxa"/>
          </w:tcPr>
          <w:p w14:paraId="3881FD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E69B6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B06FA0E" w14:textId="77777777" w:rsidTr="00743919">
        <w:trPr>
          <w:trHeight w:val="302"/>
        </w:trPr>
        <w:tc>
          <w:tcPr>
            <w:tcW w:w="1555" w:type="dxa"/>
          </w:tcPr>
          <w:p w14:paraId="4DC1D4A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0871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EFACD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6A5D1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13942</w:t>
            </w:r>
          </w:p>
        </w:tc>
        <w:tc>
          <w:tcPr>
            <w:tcW w:w="1134" w:type="dxa"/>
          </w:tcPr>
          <w:p w14:paraId="52522F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6064EB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5254F0" w14:textId="77777777" w:rsidTr="00743919">
        <w:trPr>
          <w:trHeight w:val="302"/>
        </w:trPr>
        <w:tc>
          <w:tcPr>
            <w:tcW w:w="1555" w:type="dxa"/>
          </w:tcPr>
          <w:p w14:paraId="45B3C5A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CB348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4F046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0DB5E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13945</w:t>
            </w:r>
          </w:p>
        </w:tc>
        <w:tc>
          <w:tcPr>
            <w:tcW w:w="1134" w:type="dxa"/>
          </w:tcPr>
          <w:p w14:paraId="6ABBD8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37BED7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86CC10" w14:textId="77777777" w:rsidTr="00743919">
        <w:trPr>
          <w:trHeight w:val="302"/>
        </w:trPr>
        <w:tc>
          <w:tcPr>
            <w:tcW w:w="1555" w:type="dxa"/>
          </w:tcPr>
          <w:p w14:paraId="6591391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478F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75731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70581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13948</w:t>
            </w:r>
          </w:p>
        </w:tc>
        <w:tc>
          <w:tcPr>
            <w:tcW w:w="1134" w:type="dxa"/>
          </w:tcPr>
          <w:p w14:paraId="2936BD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41B548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FAD06D" w14:textId="77777777" w:rsidTr="00743919">
        <w:trPr>
          <w:trHeight w:val="302"/>
        </w:trPr>
        <w:tc>
          <w:tcPr>
            <w:tcW w:w="1555" w:type="dxa"/>
          </w:tcPr>
          <w:p w14:paraId="294F2F7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DDBF3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1EC28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12 Dermatology</w:t>
            </w:r>
          </w:p>
        </w:tc>
        <w:tc>
          <w:tcPr>
            <w:tcW w:w="992" w:type="dxa"/>
          </w:tcPr>
          <w:p w14:paraId="6918A6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14050</w:t>
            </w:r>
          </w:p>
        </w:tc>
        <w:tc>
          <w:tcPr>
            <w:tcW w:w="1134" w:type="dxa"/>
          </w:tcPr>
          <w:p w14:paraId="71ADF75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9F63FD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24DF77" w14:textId="77777777" w:rsidTr="00743919">
        <w:trPr>
          <w:trHeight w:val="302"/>
        </w:trPr>
        <w:tc>
          <w:tcPr>
            <w:tcW w:w="1555" w:type="dxa"/>
          </w:tcPr>
          <w:p w14:paraId="4F1AB27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3DB3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024FC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0045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14053</w:t>
            </w:r>
          </w:p>
        </w:tc>
        <w:tc>
          <w:tcPr>
            <w:tcW w:w="1134" w:type="dxa"/>
          </w:tcPr>
          <w:p w14:paraId="237F1E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EBA38E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CAB1CD" w14:textId="77777777" w:rsidTr="00743919">
        <w:trPr>
          <w:trHeight w:val="302"/>
        </w:trPr>
        <w:tc>
          <w:tcPr>
            <w:tcW w:w="1555" w:type="dxa"/>
          </w:tcPr>
          <w:p w14:paraId="069D95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68C5E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1F20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F1FF9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14100</w:t>
            </w:r>
          </w:p>
        </w:tc>
        <w:tc>
          <w:tcPr>
            <w:tcW w:w="1134" w:type="dxa"/>
          </w:tcPr>
          <w:p w14:paraId="38BB9A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28C2E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E587270" w14:textId="77777777" w:rsidTr="00743919">
        <w:trPr>
          <w:trHeight w:val="302"/>
        </w:trPr>
        <w:tc>
          <w:tcPr>
            <w:tcW w:w="1555" w:type="dxa"/>
          </w:tcPr>
          <w:p w14:paraId="2913C5B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93BD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CEB7C1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 Other Therapeutic Procedures</w:t>
            </w:r>
          </w:p>
        </w:tc>
        <w:tc>
          <w:tcPr>
            <w:tcW w:w="992" w:type="dxa"/>
          </w:tcPr>
          <w:p w14:paraId="1103F2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14201</w:t>
            </w:r>
          </w:p>
        </w:tc>
        <w:tc>
          <w:tcPr>
            <w:tcW w:w="1134" w:type="dxa"/>
          </w:tcPr>
          <w:p w14:paraId="5F89F6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C979F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5CA942" w14:textId="77777777" w:rsidTr="00743919">
        <w:trPr>
          <w:trHeight w:val="302"/>
        </w:trPr>
        <w:tc>
          <w:tcPr>
            <w:tcW w:w="1555" w:type="dxa"/>
          </w:tcPr>
          <w:p w14:paraId="122B02A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10F9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14B74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B997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14202</w:t>
            </w:r>
          </w:p>
        </w:tc>
        <w:tc>
          <w:tcPr>
            <w:tcW w:w="1134" w:type="dxa"/>
          </w:tcPr>
          <w:p w14:paraId="58F4CD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2713DC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977080" w14:textId="77777777" w:rsidTr="00743919">
        <w:trPr>
          <w:trHeight w:val="302"/>
        </w:trPr>
        <w:tc>
          <w:tcPr>
            <w:tcW w:w="1555" w:type="dxa"/>
          </w:tcPr>
          <w:p w14:paraId="36D5FC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53FF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6BE3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CFBAB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14203</w:t>
            </w:r>
          </w:p>
        </w:tc>
        <w:tc>
          <w:tcPr>
            <w:tcW w:w="1134" w:type="dxa"/>
          </w:tcPr>
          <w:p w14:paraId="4DDF21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4196D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7FFD89A" w14:textId="77777777" w:rsidTr="00743919">
        <w:trPr>
          <w:trHeight w:val="302"/>
        </w:trPr>
        <w:tc>
          <w:tcPr>
            <w:tcW w:w="1555" w:type="dxa"/>
          </w:tcPr>
          <w:p w14:paraId="72C3BC7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A21CC2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A244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20E8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14206</w:t>
            </w:r>
          </w:p>
        </w:tc>
        <w:tc>
          <w:tcPr>
            <w:tcW w:w="1134" w:type="dxa"/>
          </w:tcPr>
          <w:p w14:paraId="4A7D7D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5431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B3C82E" w14:textId="77777777" w:rsidTr="00743919">
        <w:trPr>
          <w:trHeight w:val="302"/>
        </w:trPr>
        <w:tc>
          <w:tcPr>
            <w:tcW w:w="1555" w:type="dxa"/>
          </w:tcPr>
          <w:p w14:paraId="2D258F3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F43A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8689A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FF180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14209</w:t>
            </w:r>
          </w:p>
        </w:tc>
        <w:tc>
          <w:tcPr>
            <w:tcW w:w="1134" w:type="dxa"/>
          </w:tcPr>
          <w:p w14:paraId="4EE181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4233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7BE02F" w14:textId="77777777" w:rsidTr="00743919">
        <w:trPr>
          <w:trHeight w:val="302"/>
        </w:trPr>
        <w:tc>
          <w:tcPr>
            <w:tcW w:w="1555" w:type="dxa"/>
          </w:tcPr>
          <w:p w14:paraId="5613689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19F9D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6655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EFD9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14221</w:t>
            </w:r>
          </w:p>
        </w:tc>
        <w:tc>
          <w:tcPr>
            <w:tcW w:w="1134" w:type="dxa"/>
          </w:tcPr>
          <w:p w14:paraId="378479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40800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9784B25" w14:textId="77777777" w:rsidTr="00743919">
        <w:trPr>
          <w:trHeight w:val="302"/>
        </w:trPr>
        <w:tc>
          <w:tcPr>
            <w:tcW w:w="1555" w:type="dxa"/>
          </w:tcPr>
          <w:p w14:paraId="2C5456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9677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97B90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58FE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14224</w:t>
            </w:r>
          </w:p>
        </w:tc>
        <w:tc>
          <w:tcPr>
            <w:tcW w:w="1134" w:type="dxa"/>
          </w:tcPr>
          <w:p w14:paraId="7530F0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1872A8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E3CDD6A" w14:textId="77777777" w:rsidTr="00743919">
        <w:trPr>
          <w:trHeight w:val="302"/>
        </w:trPr>
        <w:tc>
          <w:tcPr>
            <w:tcW w:w="1555" w:type="dxa"/>
          </w:tcPr>
          <w:p w14:paraId="46E7C83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4F9F1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3BC3C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7A12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14245</w:t>
            </w:r>
          </w:p>
        </w:tc>
        <w:tc>
          <w:tcPr>
            <w:tcW w:w="1134" w:type="dxa"/>
          </w:tcPr>
          <w:p w14:paraId="111E36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215EC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7769D2" w14:textId="77777777" w:rsidTr="00743919">
        <w:trPr>
          <w:trHeight w:val="302"/>
        </w:trPr>
        <w:tc>
          <w:tcPr>
            <w:tcW w:w="1555" w:type="dxa"/>
          </w:tcPr>
          <w:p w14:paraId="10071A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8CB4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FBB00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 Assisted Reproductive Services</w:t>
            </w:r>
          </w:p>
        </w:tc>
        <w:tc>
          <w:tcPr>
            <w:tcW w:w="992" w:type="dxa"/>
          </w:tcPr>
          <w:p w14:paraId="559CE7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13209</w:t>
            </w:r>
          </w:p>
        </w:tc>
        <w:tc>
          <w:tcPr>
            <w:tcW w:w="1134" w:type="dxa"/>
          </w:tcPr>
          <w:p w14:paraId="7F68A1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1388E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12C54B" w14:textId="77777777" w:rsidTr="00743919">
        <w:trPr>
          <w:trHeight w:val="302"/>
        </w:trPr>
        <w:tc>
          <w:tcPr>
            <w:tcW w:w="1555" w:type="dxa"/>
          </w:tcPr>
          <w:p w14:paraId="342372C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F746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F4B75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D92B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13221</w:t>
            </w:r>
          </w:p>
        </w:tc>
        <w:tc>
          <w:tcPr>
            <w:tcW w:w="1134" w:type="dxa"/>
          </w:tcPr>
          <w:p w14:paraId="02660C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FF611B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A2B092A" w14:textId="77777777" w:rsidTr="00743919">
        <w:trPr>
          <w:trHeight w:val="302"/>
        </w:trPr>
        <w:tc>
          <w:tcPr>
            <w:tcW w:w="1555" w:type="dxa"/>
          </w:tcPr>
          <w:p w14:paraId="7127AB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FD9E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C746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ECBE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13251</w:t>
            </w:r>
          </w:p>
        </w:tc>
        <w:tc>
          <w:tcPr>
            <w:tcW w:w="1134" w:type="dxa"/>
          </w:tcPr>
          <w:p w14:paraId="494DF5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D4F0E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7CEEE5C" w14:textId="77777777" w:rsidTr="00743919">
        <w:trPr>
          <w:trHeight w:val="302"/>
        </w:trPr>
        <w:tc>
          <w:tcPr>
            <w:tcW w:w="1555" w:type="dxa"/>
          </w:tcPr>
          <w:p w14:paraId="400B670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07C38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87F59F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 Paediatric &amp; Neonatal</w:t>
            </w:r>
          </w:p>
        </w:tc>
        <w:tc>
          <w:tcPr>
            <w:tcW w:w="992" w:type="dxa"/>
          </w:tcPr>
          <w:p w14:paraId="18ABFD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13309</w:t>
            </w:r>
          </w:p>
        </w:tc>
        <w:tc>
          <w:tcPr>
            <w:tcW w:w="1134" w:type="dxa"/>
          </w:tcPr>
          <w:p w14:paraId="19337D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74D2F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828761" w14:textId="77777777" w:rsidTr="00743919">
        <w:trPr>
          <w:trHeight w:val="302"/>
        </w:trPr>
        <w:tc>
          <w:tcPr>
            <w:tcW w:w="1555" w:type="dxa"/>
          </w:tcPr>
          <w:p w14:paraId="289AE69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8DC8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4F3B6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5 Cardiovascular</w:t>
            </w:r>
          </w:p>
        </w:tc>
        <w:tc>
          <w:tcPr>
            <w:tcW w:w="992" w:type="dxa"/>
          </w:tcPr>
          <w:p w14:paraId="0DA648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13400</w:t>
            </w:r>
          </w:p>
        </w:tc>
        <w:tc>
          <w:tcPr>
            <w:tcW w:w="1134" w:type="dxa"/>
          </w:tcPr>
          <w:p w14:paraId="3F452D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00DF4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8D983C7" w14:textId="77777777" w:rsidTr="00743919">
        <w:trPr>
          <w:trHeight w:val="302"/>
        </w:trPr>
        <w:tc>
          <w:tcPr>
            <w:tcW w:w="1555" w:type="dxa"/>
          </w:tcPr>
          <w:p w14:paraId="32904C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E260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B92810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8 Haematology</w:t>
            </w:r>
          </w:p>
        </w:tc>
        <w:tc>
          <w:tcPr>
            <w:tcW w:w="992" w:type="dxa"/>
          </w:tcPr>
          <w:p w14:paraId="1E6C38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13706</w:t>
            </w:r>
          </w:p>
        </w:tc>
        <w:tc>
          <w:tcPr>
            <w:tcW w:w="1134" w:type="dxa"/>
          </w:tcPr>
          <w:p w14:paraId="38B388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8AC5F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239769F" w14:textId="77777777" w:rsidTr="00743919">
        <w:trPr>
          <w:trHeight w:val="302"/>
        </w:trPr>
        <w:tc>
          <w:tcPr>
            <w:tcW w:w="1555" w:type="dxa"/>
          </w:tcPr>
          <w:p w14:paraId="6BA1241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FF336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0811D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6267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13757</w:t>
            </w:r>
          </w:p>
        </w:tc>
        <w:tc>
          <w:tcPr>
            <w:tcW w:w="1134" w:type="dxa"/>
          </w:tcPr>
          <w:p w14:paraId="4E2280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AFE0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A600F0" w14:textId="77777777" w:rsidTr="00743919">
        <w:trPr>
          <w:trHeight w:val="302"/>
        </w:trPr>
        <w:tc>
          <w:tcPr>
            <w:tcW w:w="1555" w:type="dxa"/>
          </w:tcPr>
          <w:p w14:paraId="1188870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DB10C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C399F7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9 Procedures Associated with Intensive Care</w:t>
            </w:r>
          </w:p>
        </w:tc>
        <w:tc>
          <w:tcPr>
            <w:tcW w:w="992" w:type="dxa"/>
          </w:tcPr>
          <w:p w14:paraId="59A729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13815</w:t>
            </w:r>
          </w:p>
        </w:tc>
        <w:tc>
          <w:tcPr>
            <w:tcW w:w="1134" w:type="dxa"/>
          </w:tcPr>
          <w:p w14:paraId="7CE5EB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B98594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C4A2467" w14:textId="77777777" w:rsidTr="00743919">
        <w:trPr>
          <w:trHeight w:val="302"/>
        </w:trPr>
        <w:tc>
          <w:tcPr>
            <w:tcW w:w="1555" w:type="dxa"/>
          </w:tcPr>
          <w:p w14:paraId="017ED29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96228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B886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FC68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13839</w:t>
            </w:r>
          </w:p>
        </w:tc>
        <w:tc>
          <w:tcPr>
            <w:tcW w:w="1134" w:type="dxa"/>
          </w:tcPr>
          <w:p w14:paraId="38431D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1C5CCB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849B7AE" w14:textId="77777777" w:rsidTr="00743919">
        <w:trPr>
          <w:trHeight w:val="302"/>
        </w:trPr>
        <w:tc>
          <w:tcPr>
            <w:tcW w:w="1555" w:type="dxa"/>
          </w:tcPr>
          <w:p w14:paraId="63633A3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0BC522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T10 Relative Value Guide for Anaesthesia</w:t>
            </w:r>
          </w:p>
        </w:tc>
        <w:tc>
          <w:tcPr>
            <w:tcW w:w="1843" w:type="dxa"/>
          </w:tcPr>
          <w:p w14:paraId="03A9632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Head</w:t>
            </w:r>
          </w:p>
        </w:tc>
        <w:tc>
          <w:tcPr>
            <w:tcW w:w="992" w:type="dxa"/>
          </w:tcPr>
          <w:p w14:paraId="144DFB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20160</w:t>
            </w:r>
          </w:p>
        </w:tc>
        <w:tc>
          <w:tcPr>
            <w:tcW w:w="1134" w:type="dxa"/>
          </w:tcPr>
          <w:p w14:paraId="0EB375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A1B92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233864" w14:textId="77777777" w:rsidTr="00743919">
        <w:trPr>
          <w:trHeight w:val="302"/>
        </w:trPr>
        <w:tc>
          <w:tcPr>
            <w:tcW w:w="1555" w:type="dxa"/>
          </w:tcPr>
          <w:p w14:paraId="3F18813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A2261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3F0B3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 Forearm wrist and Hand</w:t>
            </w:r>
          </w:p>
        </w:tc>
        <w:tc>
          <w:tcPr>
            <w:tcW w:w="992" w:type="dxa"/>
          </w:tcPr>
          <w:p w14:paraId="441819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21830</w:t>
            </w:r>
          </w:p>
        </w:tc>
        <w:tc>
          <w:tcPr>
            <w:tcW w:w="1134" w:type="dxa"/>
          </w:tcPr>
          <w:p w14:paraId="6BA578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0C7CF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A4BFF7D" w14:textId="77777777" w:rsidTr="00743919">
        <w:trPr>
          <w:trHeight w:val="302"/>
        </w:trPr>
        <w:tc>
          <w:tcPr>
            <w:tcW w:w="1555" w:type="dxa"/>
          </w:tcPr>
          <w:p w14:paraId="2A374FA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F7DF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E4570C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19 Therapeutic and diagnostic services</w:t>
            </w:r>
          </w:p>
        </w:tc>
        <w:tc>
          <w:tcPr>
            <w:tcW w:w="992" w:type="dxa"/>
          </w:tcPr>
          <w:p w14:paraId="1903C5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22002</w:t>
            </w:r>
          </w:p>
        </w:tc>
        <w:tc>
          <w:tcPr>
            <w:tcW w:w="1134" w:type="dxa"/>
          </w:tcPr>
          <w:p w14:paraId="40AC5A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F2219F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B46E67" w14:textId="77777777" w:rsidTr="00743919">
        <w:trPr>
          <w:trHeight w:val="302"/>
        </w:trPr>
        <w:tc>
          <w:tcPr>
            <w:tcW w:w="1555" w:type="dxa"/>
          </w:tcPr>
          <w:p w14:paraId="60952C8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DB55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5C70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4875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22012</w:t>
            </w:r>
          </w:p>
        </w:tc>
        <w:tc>
          <w:tcPr>
            <w:tcW w:w="1134" w:type="dxa"/>
          </w:tcPr>
          <w:p w14:paraId="21C5BD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9FF42D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08165E" w14:textId="77777777" w:rsidTr="00743919">
        <w:trPr>
          <w:trHeight w:val="302"/>
        </w:trPr>
        <w:tc>
          <w:tcPr>
            <w:tcW w:w="1555" w:type="dxa"/>
          </w:tcPr>
          <w:p w14:paraId="74FC2AA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8FD1C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13031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 Intrathoracic</w:t>
            </w:r>
          </w:p>
        </w:tc>
        <w:tc>
          <w:tcPr>
            <w:tcW w:w="992" w:type="dxa"/>
          </w:tcPr>
          <w:p w14:paraId="60F4BF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20560</w:t>
            </w:r>
          </w:p>
        </w:tc>
        <w:tc>
          <w:tcPr>
            <w:tcW w:w="1134" w:type="dxa"/>
          </w:tcPr>
          <w:p w14:paraId="287691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AB2DC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8437381" w14:textId="77777777" w:rsidTr="00743919">
        <w:trPr>
          <w:trHeight w:val="302"/>
        </w:trPr>
        <w:tc>
          <w:tcPr>
            <w:tcW w:w="1555" w:type="dxa"/>
          </w:tcPr>
          <w:p w14:paraId="2A4EDD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E8BD1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EDF3E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6 Upper Abdomen</w:t>
            </w:r>
          </w:p>
        </w:tc>
        <w:tc>
          <w:tcPr>
            <w:tcW w:w="992" w:type="dxa"/>
          </w:tcPr>
          <w:p w14:paraId="77B2AC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20740</w:t>
            </w:r>
          </w:p>
        </w:tc>
        <w:tc>
          <w:tcPr>
            <w:tcW w:w="1134" w:type="dxa"/>
          </w:tcPr>
          <w:p w14:paraId="1C89C9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15CC1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46DEA30" w14:textId="77777777" w:rsidTr="00743919">
        <w:trPr>
          <w:trHeight w:val="302"/>
        </w:trPr>
        <w:tc>
          <w:tcPr>
            <w:tcW w:w="1555" w:type="dxa"/>
          </w:tcPr>
          <w:p w14:paraId="4EB3247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8A7B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0AE56D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7 Lower Abdomen</w:t>
            </w:r>
          </w:p>
        </w:tc>
        <w:tc>
          <w:tcPr>
            <w:tcW w:w="992" w:type="dxa"/>
          </w:tcPr>
          <w:p w14:paraId="1B4690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20806</w:t>
            </w:r>
          </w:p>
        </w:tc>
        <w:tc>
          <w:tcPr>
            <w:tcW w:w="1134" w:type="dxa"/>
          </w:tcPr>
          <w:p w14:paraId="7D2399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9B589A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022B51" w14:textId="77777777" w:rsidTr="00743919">
        <w:trPr>
          <w:trHeight w:val="302"/>
        </w:trPr>
        <w:tc>
          <w:tcPr>
            <w:tcW w:w="1555" w:type="dxa"/>
          </w:tcPr>
          <w:p w14:paraId="27BE013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F4163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8ACC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C985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20810</w:t>
            </w:r>
          </w:p>
        </w:tc>
        <w:tc>
          <w:tcPr>
            <w:tcW w:w="1134" w:type="dxa"/>
          </w:tcPr>
          <w:p w14:paraId="530D44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004FC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94428A7" w14:textId="77777777" w:rsidTr="00743919">
        <w:trPr>
          <w:trHeight w:val="302"/>
        </w:trPr>
        <w:tc>
          <w:tcPr>
            <w:tcW w:w="1555" w:type="dxa"/>
          </w:tcPr>
          <w:p w14:paraId="10446C9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0780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DE5FC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8 Perineum</w:t>
            </w:r>
          </w:p>
        </w:tc>
        <w:tc>
          <w:tcPr>
            <w:tcW w:w="992" w:type="dxa"/>
          </w:tcPr>
          <w:p w14:paraId="0C0E27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20940</w:t>
            </w:r>
          </w:p>
        </w:tc>
        <w:tc>
          <w:tcPr>
            <w:tcW w:w="1134" w:type="dxa"/>
          </w:tcPr>
          <w:p w14:paraId="16202F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BCC577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02B4B56" w14:textId="77777777" w:rsidTr="00743919">
        <w:trPr>
          <w:trHeight w:val="302"/>
        </w:trPr>
        <w:tc>
          <w:tcPr>
            <w:tcW w:w="1555" w:type="dxa"/>
          </w:tcPr>
          <w:p w14:paraId="66D85FF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5E663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T4 Obstetrics</w:t>
            </w:r>
          </w:p>
        </w:tc>
        <w:tc>
          <w:tcPr>
            <w:tcW w:w="1843" w:type="dxa"/>
          </w:tcPr>
          <w:p w14:paraId="42896D6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2D371F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16400</w:t>
            </w:r>
          </w:p>
        </w:tc>
        <w:tc>
          <w:tcPr>
            <w:tcW w:w="1134" w:type="dxa"/>
          </w:tcPr>
          <w:p w14:paraId="36AE06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46620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CB75A2" w14:textId="77777777" w:rsidTr="00743919">
        <w:trPr>
          <w:trHeight w:val="302"/>
        </w:trPr>
        <w:tc>
          <w:tcPr>
            <w:tcW w:w="1555" w:type="dxa"/>
          </w:tcPr>
          <w:p w14:paraId="37F5DCD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E25D9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0B7D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EBEB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16500</w:t>
            </w:r>
          </w:p>
        </w:tc>
        <w:tc>
          <w:tcPr>
            <w:tcW w:w="1134" w:type="dxa"/>
          </w:tcPr>
          <w:p w14:paraId="01B4BD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DE8C49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F60BE90" w14:textId="77777777" w:rsidTr="00743919">
        <w:trPr>
          <w:trHeight w:val="302"/>
        </w:trPr>
        <w:tc>
          <w:tcPr>
            <w:tcW w:w="1555" w:type="dxa"/>
          </w:tcPr>
          <w:p w14:paraId="596C93F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75CC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3387B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F456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16514</w:t>
            </w:r>
          </w:p>
        </w:tc>
        <w:tc>
          <w:tcPr>
            <w:tcW w:w="1134" w:type="dxa"/>
          </w:tcPr>
          <w:p w14:paraId="40B892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3DFE4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0C7D90" w14:textId="77777777" w:rsidTr="00743919">
        <w:trPr>
          <w:trHeight w:val="302"/>
        </w:trPr>
        <w:tc>
          <w:tcPr>
            <w:tcW w:w="1555" w:type="dxa"/>
          </w:tcPr>
          <w:p w14:paraId="7D7B6F6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36EB5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9487B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B51B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16590</w:t>
            </w:r>
          </w:p>
        </w:tc>
        <w:tc>
          <w:tcPr>
            <w:tcW w:w="1134" w:type="dxa"/>
          </w:tcPr>
          <w:p w14:paraId="4AEB3D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D96FA4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0EC58E" w14:textId="77777777" w:rsidTr="00743919">
        <w:trPr>
          <w:trHeight w:val="302"/>
        </w:trPr>
        <w:tc>
          <w:tcPr>
            <w:tcW w:w="1555" w:type="dxa"/>
          </w:tcPr>
          <w:p w14:paraId="4E39DC3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CC33C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8E366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CF35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16591</w:t>
            </w:r>
          </w:p>
        </w:tc>
        <w:tc>
          <w:tcPr>
            <w:tcW w:w="1134" w:type="dxa"/>
          </w:tcPr>
          <w:p w14:paraId="2636DB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948DC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E8998BA" w14:textId="77777777" w:rsidTr="00743919">
        <w:trPr>
          <w:trHeight w:val="302"/>
        </w:trPr>
        <w:tc>
          <w:tcPr>
            <w:tcW w:w="1555" w:type="dxa"/>
          </w:tcPr>
          <w:p w14:paraId="60BDCB6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30063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T6 Anaesthetics</w:t>
            </w:r>
          </w:p>
        </w:tc>
        <w:tc>
          <w:tcPr>
            <w:tcW w:w="1843" w:type="dxa"/>
          </w:tcPr>
          <w:p w14:paraId="096ADB0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Examination by an Anaesthetist</w:t>
            </w:r>
          </w:p>
        </w:tc>
        <w:tc>
          <w:tcPr>
            <w:tcW w:w="992" w:type="dxa"/>
          </w:tcPr>
          <w:p w14:paraId="636233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17610</w:t>
            </w:r>
          </w:p>
        </w:tc>
        <w:tc>
          <w:tcPr>
            <w:tcW w:w="1134" w:type="dxa"/>
          </w:tcPr>
          <w:p w14:paraId="495ABA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8AA0B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F487083" w14:textId="77777777" w:rsidTr="00743919">
        <w:trPr>
          <w:trHeight w:val="302"/>
        </w:trPr>
        <w:tc>
          <w:tcPr>
            <w:tcW w:w="1555" w:type="dxa"/>
          </w:tcPr>
          <w:p w14:paraId="2FB5117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6C638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T7 Regional or Field Nerve Blocks</w:t>
            </w:r>
          </w:p>
        </w:tc>
        <w:tc>
          <w:tcPr>
            <w:tcW w:w="1843" w:type="dxa"/>
          </w:tcPr>
          <w:p w14:paraId="6933866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78B77B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18260</w:t>
            </w:r>
          </w:p>
        </w:tc>
        <w:tc>
          <w:tcPr>
            <w:tcW w:w="1134" w:type="dxa"/>
          </w:tcPr>
          <w:p w14:paraId="320306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91F428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FA08DA7" w14:textId="77777777" w:rsidTr="00743919">
        <w:trPr>
          <w:trHeight w:val="302"/>
        </w:trPr>
        <w:tc>
          <w:tcPr>
            <w:tcW w:w="1555" w:type="dxa"/>
          </w:tcPr>
          <w:p w14:paraId="19113D4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5680D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T8 Surgical Operations</w:t>
            </w:r>
          </w:p>
        </w:tc>
        <w:tc>
          <w:tcPr>
            <w:tcW w:w="1843" w:type="dxa"/>
          </w:tcPr>
          <w:p w14:paraId="43EB2E1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General</w:t>
            </w:r>
          </w:p>
        </w:tc>
        <w:tc>
          <w:tcPr>
            <w:tcW w:w="992" w:type="dxa"/>
          </w:tcPr>
          <w:p w14:paraId="3053FE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30003</w:t>
            </w:r>
          </w:p>
        </w:tc>
        <w:tc>
          <w:tcPr>
            <w:tcW w:w="1134" w:type="dxa"/>
          </w:tcPr>
          <w:p w14:paraId="21668F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69CFCF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2B707DE" w14:textId="77777777" w:rsidTr="00743919">
        <w:trPr>
          <w:trHeight w:val="302"/>
        </w:trPr>
        <w:tc>
          <w:tcPr>
            <w:tcW w:w="1555" w:type="dxa"/>
          </w:tcPr>
          <w:p w14:paraId="4D6733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2735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A3BB8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0167A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30023</w:t>
            </w:r>
          </w:p>
        </w:tc>
        <w:tc>
          <w:tcPr>
            <w:tcW w:w="1134" w:type="dxa"/>
          </w:tcPr>
          <w:p w14:paraId="597127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4F3A96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E8E7D0" w14:textId="77777777" w:rsidTr="00743919">
        <w:trPr>
          <w:trHeight w:val="302"/>
        </w:trPr>
        <w:tc>
          <w:tcPr>
            <w:tcW w:w="1555" w:type="dxa"/>
          </w:tcPr>
          <w:p w14:paraId="72B5D0F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41ECE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CD4A5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D301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30024</w:t>
            </w:r>
          </w:p>
        </w:tc>
        <w:tc>
          <w:tcPr>
            <w:tcW w:w="1134" w:type="dxa"/>
          </w:tcPr>
          <w:p w14:paraId="1DEF5E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30F241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8C9D82" w14:textId="77777777" w:rsidTr="00743919">
        <w:trPr>
          <w:trHeight w:val="302"/>
        </w:trPr>
        <w:tc>
          <w:tcPr>
            <w:tcW w:w="1555" w:type="dxa"/>
          </w:tcPr>
          <w:p w14:paraId="601205C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E73C3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1893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BE915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30026</w:t>
            </w:r>
          </w:p>
        </w:tc>
        <w:tc>
          <w:tcPr>
            <w:tcW w:w="1134" w:type="dxa"/>
          </w:tcPr>
          <w:p w14:paraId="07F346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E0C25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F69EF5" w14:textId="77777777" w:rsidTr="00743919">
        <w:trPr>
          <w:trHeight w:val="302"/>
        </w:trPr>
        <w:tc>
          <w:tcPr>
            <w:tcW w:w="1555" w:type="dxa"/>
          </w:tcPr>
          <w:p w14:paraId="1C83618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740BD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9C1FC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F4C35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30029</w:t>
            </w:r>
          </w:p>
        </w:tc>
        <w:tc>
          <w:tcPr>
            <w:tcW w:w="1134" w:type="dxa"/>
          </w:tcPr>
          <w:p w14:paraId="55F684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42F67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989777A" w14:textId="77777777" w:rsidTr="00743919">
        <w:trPr>
          <w:trHeight w:val="302"/>
        </w:trPr>
        <w:tc>
          <w:tcPr>
            <w:tcW w:w="1555" w:type="dxa"/>
          </w:tcPr>
          <w:p w14:paraId="5C3CE19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A632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0FA5B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F95D4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30032</w:t>
            </w:r>
          </w:p>
        </w:tc>
        <w:tc>
          <w:tcPr>
            <w:tcW w:w="1134" w:type="dxa"/>
          </w:tcPr>
          <w:p w14:paraId="21FBD0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70E1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6E9E27" w14:textId="77777777" w:rsidTr="00743919">
        <w:trPr>
          <w:trHeight w:val="302"/>
        </w:trPr>
        <w:tc>
          <w:tcPr>
            <w:tcW w:w="1555" w:type="dxa"/>
          </w:tcPr>
          <w:p w14:paraId="79B93EF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2B153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E445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B3FB3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30038</w:t>
            </w:r>
          </w:p>
        </w:tc>
        <w:tc>
          <w:tcPr>
            <w:tcW w:w="1134" w:type="dxa"/>
          </w:tcPr>
          <w:p w14:paraId="25D83C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3960C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9489976" w14:textId="77777777" w:rsidTr="00743919">
        <w:trPr>
          <w:trHeight w:val="302"/>
        </w:trPr>
        <w:tc>
          <w:tcPr>
            <w:tcW w:w="1555" w:type="dxa"/>
          </w:tcPr>
          <w:p w14:paraId="54B6242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9581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493E2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6E04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30041</w:t>
            </w:r>
          </w:p>
        </w:tc>
        <w:tc>
          <w:tcPr>
            <w:tcW w:w="1134" w:type="dxa"/>
          </w:tcPr>
          <w:p w14:paraId="6FAF00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7A3FD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31A26AB" w14:textId="77777777" w:rsidTr="00743919">
        <w:trPr>
          <w:trHeight w:val="302"/>
        </w:trPr>
        <w:tc>
          <w:tcPr>
            <w:tcW w:w="1555" w:type="dxa"/>
          </w:tcPr>
          <w:p w14:paraId="5134311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A4CF8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5F6A2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CB5C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30042</w:t>
            </w:r>
          </w:p>
        </w:tc>
        <w:tc>
          <w:tcPr>
            <w:tcW w:w="1134" w:type="dxa"/>
          </w:tcPr>
          <w:p w14:paraId="21AE47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E8127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5630D4" w14:textId="77777777" w:rsidTr="00743919">
        <w:trPr>
          <w:trHeight w:val="302"/>
        </w:trPr>
        <w:tc>
          <w:tcPr>
            <w:tcW w:w="1555" w:type="dxa"/>
          </w:tcPr>
          <w:p w14:paraId="3D4A3F1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6449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65CDB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6DDB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30055</w:t>
            </w:r>
          </w:p>
        </w:tc>
        <w:tc>
          <w:tcPr>
            <w:tcW w:w="1134" w:type="dxa"/>
          </w:tcPr>
          <w:p w14:paraId="0889C3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10248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1CDFCB" w14:textId="77777777" w:rsidTr="00743919">
        <w:trPr>
          <w:trHeight w:val="302"/>
        </w:trPr>
        <w:tc>
          <w:tcPr>
            <w:tcW w:w="1555" w:type="dxa"/>
          </w:tcPr>
          <w:p w14:paraId="1B9BEA1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76F58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5ABCD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AF7CA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30061</w:t>
            </w:r>
          </w:p>
        </w:tc>
        <w:tc>
          <w:tcPr>
            <w:tcW w:w="1134" w:type="dxa"/>
          </w:tcPr>
          <w:p w14:paraId="0F197A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F7636B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13DEC2B" w14:textId="77777777" w:rsidTr="00743919">
        <w:trPr>
          <w:trHeight w:val="302"/>
        </w:trPr>
        <w:tc>
          <w:tcPr>
            <w:tcW w:w="1555" w:type="dxa"/>
          </w:tcPr>
          <w:p w14:paraId="4FC2512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AF25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63B70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14B8D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30062</w:t>
            </w:r>
          </w:p>
        </w:tc>
        <w:tc>
          <w:tcPr>
            <w:tcW w:w="1134" w:type="dxa"/>
          </w:tcPr>
          <w:p w14:paraId="4A88B3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94B851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6B85D0" w14:textId="77777777" w:rsidTr="00743919">
        <w:trPr>
          <w:trHeight w:val="302"/>
        </w:trPr>
        <w:tc>
          <w:tcPr>
            <w:tcW w:w="1555" w:type="dxa"/>
          </w:tcPr>
          <w:p w14:paraId="1F9A109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7BBB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9DEFD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AA3C9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30064</w:t>
            </w:r>
          </w:p>
        </w:tc>
        <w:tc>
          <w:tcPr>
            <w:tcW w:w="1134" w:type="dxa"/>
          </w:tcPr>
          <w:p w14:paraId="487E62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A5D1B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62A873" w14:textId="77777777" w:rsidTr="00743919">
        <w:trPr>
          <w:trHeight w:val="302"/>
        </w:trPr>
        <w:tc>
          <w:tcPr>
            <w:tcW w:w="1555" w:type="dxa"/>
          </w:tcPr>
          <w:p w14:paraId="66F9741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AE6CB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2B1B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C3DD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30067</w:t>
            </w:r>
          </w:p>
        </w:tc>
        <w:tc>
          <w:tcPr>
            <w:tcW w:w="1134" w:type="dxa"/>
          </w:tcPr>
          <w:p w14:paraId="7020C0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76ECA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29ACD4F" w14:textId="77777777" w:rsidTr="00743919">
        <w:trPr>
          <w:trHeight w:val="302"/>
        </w:trPr>
        <w:tc>
          <w:tcPr>
            <w:tcW w:w="1555" w:type="dxa"/>
          </w:tcPr>
          <w:p w14:paraId="07E52A6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D9992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786EE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8AA6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30068</w:t>
            </w:r>
          </w:p>
        </w:tc>
        <w:tc>
          <w:tcPr>
            <w:tcW w:w="1134" w:type="dxa"/>
          </w:tcPr>
          <w:p w14:paraId="081A4A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3B99BC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14AD3E" w14:textId="77777777" w:rsidTr="00743919">
        <w:trPr>
          <w:trHeight w:val="302"/>
        </w:trPr>
        <w:tc>
          <w:tcPr>
            <w:tcW w:w="1555" w:type="dxa"/>
          </w:tcPr>
          <w:p w14:paraId="77C30E4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10713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7927C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9B291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30071</w:t>
            </w:r>
          </w:p>
        </w:tc>
        <w:tc>
          <w:tcPr>
            <w:tcW w:w="1134" w:type="dxa"/>
          </w:tcPr>
          <w:p w14:paraId="427A57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A88403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88FBB7" w14:textId="77777777" w:rsidTr="00743919">
        <w:trPr>
          <w:trHeight w:val="302"/>
        </w:trPr>
        <w:tc>
          <w:tcPr>
            <w:tcW w:w="1555" w:type="dxa"/>
          </w:tcPr>
          <w:p w14:paraId="1C46D18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3E116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D1A29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FC48FC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30090</w:t>
            </w:r>
          </w:p>
        </w:tc>
        <w:tc>
          <w:tcPr>
            <w:tcW w:w="1134" w:type="dxa"/>
          </w:tcPr>
          <w:p w14:paraId="32CD6BC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DABEBF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7025A37" w14:textId="77777777" w:rsidTr="00743919">
        <w:trPr>
          <w:trHeight w:val="302"/>
        </w:trPr>
        <w:tc>
          <w:tcPr>
            <w:tcW w:w="1555" w:type="dxa"/>
          </w:tcPr>
          <w:p w14:paraId="7D2D54C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F1B14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CF1AF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EEE9E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30094</w:t>
            </w:r>
          </w:p>
        </w:tc>
        <w:tc>
          <w:tcPr>
            <w:tcW w:w="1134" w:type="dxa"/>
          </w:tcPr>
          <w:p w14:paraId="6337F6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4F85C8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65952B" w14:textId="77777777" w:rsidTr="00743919">
        <w:trPr>
          <w:trHeight w:val="302"/>
        </w:trPr>
        <w:tc>
          <w:tcPr>
            <w:tcW w:w="1555" w:type="dxa"/>
          </w:tcPr>
          <w:p w14:paraId="304BF29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A608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8A7F1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DB15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30097</w:t>
            </w:r>
          </w:p>
        </w:tc>
        <w:tc>
          <w:tcPr>
            <w:tcW w:w="1134" w:type="dxa"/>
          </w:tcPr>
          <w:p w14:paraId="78C349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6F3DCA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60C24C" w14:textId="77777777" w:rsidTr="00743919">
        <w:trPr>
          <w:trHeight w:val="302"/>
        </w:trPr>
        <w:tc>
          <w:tcPr>
            <w:tcW w:w="1555" w:type="dxa"/>
          </w:tcPr>
          <w:p w14:paraId="48184EA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8DB0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A633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000D9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30185</w:t>
            </w:r>
          </w:p>
        </w:tc>
        <w:tc>
          <w:tcPr>
            <w:tcW w:w="1134" w:type="dxa"/>
          </w:tcPr>
          <w:p w14:paraId="5B9980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D7017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7B3D9D" w14:textId="77777777" w:rsidTr="00743919">
        <w:trPr>
          <w:trHeight w:val="302"/>
        </w:trPr>
        <w:tc>
          <w:tcPr>
            <w:tcW w:w="1555" w:type="dxa"/>
          </w:tcPr>
          <w:p w14:paraId="3C0AA5B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F8347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A4B75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BD768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30186</w:t>
            </w:r>
          </w:p>
        </w:tc>
        <w:tc>
          <w:tcPr>
            <w:tcW w:w="1134" w:type="dxa"/>
          </w:tcPr>
          <w:p w14:paraId="41DBF6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E7E4DC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390D1B7" w14:textId="77777777" w:rsidTr="00743919">
        <w:trPr>
          <w:trHeight w:val="302"/>
        </w:trPr>
        <w:tc>
          <w:tcPr>
            <w:tcW w:w="1555" w:type="dxa"/>
          </w:tcPr>
          <w:p w14:paraId="18F773D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8240E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3C91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0B5D1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30189</w:t>
            </w:r>
          </w:p>
        </w:tc>
        <w:tc>
          <w:tcPr>
            <w:tcW w:w="1134" w:type="dxa"/>
          </w:tcPr>
          <w:p w14:paraId="2A2DA8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49642E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2E8CA6" w14:textId="77777777" w:rsidTr="00743919">
        <w:trPr>
          <w:trHeight w:val="302"/>
        </w:trPr>
        <w:tc>
          <w:tcPr>
            <w:tcW w:w="1555" w:type="dxa"/>
          </w:tcPr>
          <w:p w14:paraId="65CA056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3D91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0CD3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A123F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30190</w:t>
            </w:r>
          </w:p>
        </w:tc>
        <w:tc>
          <w:tcPr>
            <w:tcW w:w="1134" w:type="dxa"/>
          </w:tcPr>
          <w:p w14:paraId="792A7D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E1B7A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9C3CCB0" w14:textId="77777777" w:rsidTr="00743919">
        <w:trPr>
          <w:trHeight w:val="302"/>
        </w:trPr>
        <w:tc>
          <w:tcPr>
            <w:tcW w:w="1555" w:type="dxa"/>
          </w:tcPr>
          <w:p w14:paraId="27D67F3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DB42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89A2E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F234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30192</w:t>
            </w:r>
          </w:p>
        </w:tc>
        <w:tc>
          <w:tcPr>
            <w:tcW w:w="1134" w:type="dxa"/>
          </w:tcPr>
          <w:p w14:paraId="5FCF36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7B71A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37BEAC0" w14:textId="77777777" w:rsidTr="00743919">
        <w:trPr>
          <w:trHeight w:val="302"/>
        </w:trPr>
        <w:tc>
          <w:tcPr>
            <w:tcW w:w="1555" w:type="dxa"/>
          </w:tcPr>
          <w:p w14:paraId="27905E8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887D5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E23365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E808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30195</w:t>
            </w:r>
          </w:p>
        </w:tc>
        <w:tc>
          <w:tcPr>
            <w:tcW w:w="1134" w:type="dxa"/>
          </w:tcPr>
          <w:p w14:paraId="4B8FD5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F8164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5070CA8" w14:textId="77777777" w:rsidTr="00743919">
        <w:trPr>
          <w:trHeight w:val="302"/>
        </w:trPr>
        <w:tc>
          <w:tcPr>
            <w:tcW w:w="1555" w:type="dxa"/>
          </w:tcPr>
          <w:p w14:paraId="33E9A7B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D4A4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C7D2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E20C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30196</w:t>
            </w:r>
          </w:p>
        </w:tc>
        <w:tc>
          <w:tcPr>
            <w:tcW w:w="1134" w:type="dxa"/>
          </w:tcPr>
          <w:p w14:paraId="47F9F8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BB4E02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CDA9BAE" w14:textId="77777777" w:rsidTr="00743919">
        <w:trPr>
          <w:trHeight w:val="302"/>
        </w:trPr>
        <w:tc>
          <w:tcPr>
            <w:tcW w:w="1555" w:type="dxa"/>
          </w:tcPr>
          <w:p w14:paraId="3A7D6B7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9167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4862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CF369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30202</w:t>
            </w:r>
          </w:p>
        </w:tc>
        <w:tc>
          <w:tcPr>
            <w:tcW w:w="1134" w:type="dxa"/>
          </w:tcPr>
          <w:p w14:paraId="011A7F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912F9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9754552" w14:textId="77777777" w:rsidTr="00743919">
        <w:trPr>
          <w:trHeight w:val="302"/>
        </w:trPr>
        <w:tc>
          <w:tcPr>
            <w:tcW w:w="1555" w:type="dxa"/>
          </w:tcPr>
          <w:p w14:paraId="399324A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F2B8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A63E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ACD0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30203</w:t>
            </w:r>
          </w:p>
        </w:tc>
        <w:tc>
          <w:tcPr>
            <w:tcW w:w="1134" w:type="dxa"/>
          </w:tcPr>
          <w:p w14:paraId="0ACB15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F88E3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AF61026" w14:textId="77777777" w:rsidTr="00743919">
        <w:trPr>
          <w:trHeight w:val="302"/>
        </w:trPr>
        <w:tc>
          <w:tcPr>
            <w:tcW w:w="1555" w:type="dxa"/>
          </w:tcPr>
          <w:p w14:paraId="22F15D7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9B6F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6182AB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82AC9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30205</w:t>
            </w:r>
          </w:p>
        </w:tc>
        <w:tc>
          <w:tcPr>
            <w:tcW w:w="1134" w:type="dxa"/>
          </w:tcPr>
          <w:p w14:paraId="4C778D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725A1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1E54AD" w14:textId="77777777" w:rsidTr="00743919">
        <w:trPr>
          <w:trHeight w:val="302"/>
        </w:trPr>
        <w:tc>
          <w:tcPr>
            <w:tcW w:w="1555" w:type="dxa"/>
          </w:tcPr>
          <w:p w14:paraId="0CD650B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E2ED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0BDEE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6F30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30207</w:t>
            </w:r>
          </w:p>
        </w:tc>
        <w:tc>
          <w:tcPr>
            <w:tcW w:w="1134" w:type="dxa"/>
          </w:tcPr>
          <w:p w14:paraId="5199AF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FEFD07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B1AA41" w14:textId="77777777" w:rsidTr="00743919">
        <w:trPr>
          <w:trHeight w:val="302"/>
        </w:trPr>
        <w:tc>
          <w:tcPr>
            <w:tcW w:w="1555" w:type="dxa"/>
          </w:tcPr>
          <w:p w14:paraId="6CA3680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DBE0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55326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1EB4A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30216</w:t>
            </w:r>
          </w:p>
        </w:tc>
        <w:tc>
          <w:tcPr>
            <w:tcW w:w="1134" w:type="dxa"/>
          </w:tcPr>
          <w:p w14:paraId="4A8D9B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84F4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51C6841" w14:textId="77777777" w:rsidTr="00743919">
        <w:trPr>
          <w:trHeight w:val="302"/>
        </w:trPr>
        <w:tc>
          <w:tcPr>
            <w:tcW w:w="1555" w:type="dxa"/>
          </w:tcPr>
          <w:p w14:paraId="62DD6AC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3558A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BFF9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DAF9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30219</w:t>
            </w:r>
          </w:p>
        </w:tc>
        <w:tc>
          <w:tcPr>
            <w:tcW w:w="1134" w:type="dxa"/>
          </w:tcPr>
          <w:p w14:paraId="29AA58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1754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8D2791" w14:textId="77777777" w:rsidTr="00743919">
        <w:trPr>
          <w:trHeight w:val="302"/>
        </w:trPr>
        <w:tc>
          <w:tcPr>
            <w:tcW w:w="1555" w:type="dxa"/>
          </w:tcPr>
          <w:p w14:paraId="4DD8592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FE141A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FA164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D8B67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30223</w:t>
            </w:r>
          </w:p>
        </w:tc>
        <w:tc>
          <w:tcPr>
            <w:tcW w:w="1134" w:type="dxa"/>
          </w:tcPr>
          <w:p w14:paraId="181E1D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658D91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6D7B26" w14:textId="77777777" w:rsidTr="00743919">
        <w:trPr>
          <w:trHeight w:val="302"/>
        </w:trPr>
        <w:tc>
          <w:tcPr>
            <w:tcW w:w="1555" w:type="dxa"/>
          </w:tcPr>
          <w:p w14:paraId="2733A1D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2D4AF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6A92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78F08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30241</w:t>
            </w:r>
          </w:p>
        </w:tc>
        <w:tc>
          <w:tcPr>
            <w:tcW w:w="1134" w:type="dxa"/>
          </w:tcPr>
          <w:p w14:paraId="4554B6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E42B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6F42318" w14:textId="77777777" w:rsidTr="00743919">
        <w:trPr>
          <w:trHeight w:val="302"/>
        </w:trPr>
        <w:tc>
          <w:tcPr>
            <w:tcW w:w="1555" w:type="dxa"/>
          </w:tcPr>
          <w:p w14:paraId="241A23B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D905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5A8D6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9486A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30278</w:t>
            </w:r>
          </w:p>
        </w:tc>
        <w:tc>
          <w:tcPr>
            <w:tcW w:w="1134" w:type="dxa"/>
          </w:tcPr>
          <w:p w14:paraId="5A3523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39F726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285716" w14:textId="77777777" w:rsidTr="00743919">
        <w:trPr>
          <w:trHeight w:val="302"/>
        </w:trPr>
        <w:tc>
          <w:tcPr>
            <w:tcW w:w="1555" w:type="dxa"/>
          </w:tcPr>
          <w:p w14:paraId="6EF3357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35730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DB85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AAA73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30293</w:t>
            </w:r>
          </w:p>
        </w:tc>
        <w:tc>
          <w:tcPr>
            <w:tcW w:w="1134" w:type="dxa"/>
          </w:tcPr>
          <w:p w14:paraId="781DF3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0050C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22A65D" w14:textId="77777777" w:rsidTr="00743919">
        <w:trPr>
          <w:trHeight w:val="302"/>
        </w:trPr>
        <w:tc>
          <w:tcPr>
            <w:tcW w:w="1555" w:type="dxa"/>
          </w:tcPr>
          <w:p w14:paraId="01A1AA9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219C3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16C5B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50267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30406</w:t>
            </w:r>
          </w:p>
        </w:tc>
        <w:tc>
          <w:tcPr>
            <w:tcW w:w="1134" w:type="dxa"/>
          </w:tcPr>
          <w:p w14:paraId="5837CF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12C52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C436E6A" w14:textId="77777777" w:rsidTr="00743919">
        <w:trPr>
          <w:trHeight w:val="302"/>
        </w:trPr>
        <w:tc>
          <w:tcPr>
            <w:tcW w:w="1555" w:type="dxa"/>
          </w:tcPr>
          <w:p w14:paraId="1B5509F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6CFE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865F1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EAAC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30409</w:t>
            </w:r>
          </w:p>
        </w:tc>
        <w:tc>
          <w:tcPr>
            <w:tcW w:w="1134" w:type="dxa"/>
          </w:tcPr>
          <w:p w14:paraId="3AF4DB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E8E82F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21848E" w14:textId="77777777" w:rsidTr="00743919">
        <w:trPr>
          <w:trHeight w:val="302"/>
        </w:trPr>
        <w:tc>
          <w:tcPr>
            <w:tcW w:w="1555" w:type="dxa"/>
          </w:tcPr>
          <w:p w14:paraId="61EF97D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FA03F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1BBDC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0557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30443</w:t>
            </w:r>
          </w:p>
        </w:tc>
        <w:tc>
          <w:tcPr>
            <w:tcW w:w="1134" w:type="dxa"/>
          </w:tcPr>
          <w:p w14:paraId="2AFCE7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352FF8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0E2066" w14:textId="77777777" w:rsidTr="00743919">
        <w:trPr>
          <w:trHeight w:val="302"/>
        </w:trPr>
        <w:tc>
          <w:tcPr>
            <w:tcW w:w="1555" w:type="dxa"/>
          </w:tcPr>
          <w:p w14:paraId="3AE7235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4470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C91C8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FB714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30473</w:t>
            </w:r>
          </w:p>
        </w:tc>
        <w:tc>
          <w:tcPr>
            <w:tcW w:w="1134" w:type="dxa"/>
          </w:tcPr>
          <w:p w14:paraId="1D9822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6F334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ED775DF" w14:textId="77777777" w:rsidTr="00743919">
        <w:trPr>
          <w:trHeight w:val="302"/>
        </w:trPr>
        <w:tc>
          <w:tcPr>
            <w:tcW w:w="1555" w:type="dxa"/>
          </w:tcPr>
          <w:p w14:paraId="39FDD68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A1BBB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4E3E2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8471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30475</w:t>
            </w:r>
          </w:p>
        </w:tc>
        <w:tc>
          <w:tcPr>
            <w:tcW w:w="1134" w:type="dxa"/>
          </w:tcPr>
          <w:p w14:paraId="24F349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45BBFB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F66F34" w14:textId="77777777" w:rsidTr="00743919">
        <w:trPr>
          <w:trHeight w:val="302"/>
        </w:trPr>
        <w:tc>
          <w:tcPr>
            <w:tcW w:w="1555" w:type="dxa"/>
          </w:tcPr>
          <w:p w14:paraId="5AD1DF6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07441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70BE3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2D3E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30476</w:t>
            </w:r>
          </w:p>
        </w:tc>
        <w:tc>
          <w:tcPr>
            <w:tcW w:w="1134" w:type="dxa"/>
          </w:tcPr>
          <w:p w14:paraId="18B06C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33F56E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2207E8" w14:textId="77777777" w:rsidTr="00743919">
        <w:trPr>
          <w:trHeight w:val="302"/>
        </w:trPr>
        <w:tc>
          <w:tcPr>
            <w:tcW w:w="1555" w:type="dxa"/>
          </w:tcPr>
          <w:p w14:paraId="5C15051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D703B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AD9E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09758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30478</w:t>
            </w:r>
          </w:p>
        </w:tc>
        <w:tc>
          <w:tcPr>
            <w:tcW w:w="1134" w:type="dxa"/>
          </w:tcPr>
          <w:p w14:paraId="3920DB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87FD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C24CF5" w14:textId="77777777" w:rsidTr="00743919">
        <w:trPr>
          <w:trHeight w:val="302"/>
        </w:trPr>
        <w:tc>
          <w:tcPr>
            <w:tcW w:w="1555" w:type="dxa"/>
          </w:tcPr>
          <w:p w14:paraId="5C96313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8EACDF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EC65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FB17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30479</w:t>
            </w:r>
          </w:p>
        </w:tc>
        <w:tc>
          <w:tcPr>
            <w:tcW w:w="1134" w:type="dxa"/>
          </w:tcPr>
          <w:p w14:paraId="08B235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7C904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82D2883" w14:textId="77777777" w:rsidTr="00743919">
        <w:trPr>
          <w:trHeight w:val="302"/>
        </w:trPr>
        <w:tc>
          <w:tcPr>
            <w:tcW w:w="1555" w:type="dxa"/>
          </w:tcPr>
          <w:p w14:paraId="7A0F11A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F24BB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2A14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5702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30481</w:t>
            </w:r>
          </w:p>
        </w:tc>
        <w:tc>
          <w:tcPr>
            <w:tcW w:w="1134" w:type="dxa"/>
          </w:tcPr>
          <w:p w14:paraId="30F7D9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F728A3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A58B065" w14:textId="77777777" w:rsidTr="00743919">
        <w:trPr>
          <w:trHeight w:val="302"/>
        </w:trPr>
        <w:tc>
          <w:tcPr>
            <w:tcW w:w="1555" w:type="dxa"/>
          </w:tcPr>
          <w:p w14:paraId="5777FCD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2B70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A750D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A1AA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30483</w:t>
            </w:r>
          </w:p>
        </w:tc>
        <w:tc>
          <w:tcPr>
            <w:tcW w:w="1134" w:type="dxa"/>
          </w:tcPr>
          <w:p w14:paraId="002655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998EA1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00931C" w14:textId="77777777" w:rsidTr="00743919">
        <w:trPr>
          <w:trHeight w:val="302"/>
        </w:trPr>
        <w:tc>
          <w:tcPr>
            <w:tcW w:w="1555" w:type="dxa"/>
          </w:tcPr>
          <w:p w14:paraId="1774049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E0A5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3C72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303AB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30484</w:t>
            </w:r>
          </w:p>
        </w:tc>
        <w:tc>
          <w:tcPr>
            <w:tcW w:w="1134" w:type="dxa"/>
          </w:tcPr>
          <w:p w14:paraId="4ED12F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0BB3E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9A0E29" w14:textId="77777777" w:rsidTr="00743919">
        <w:trPr>
          <w:trHeight w:val="302"/>
        </w:trPr>
        <w:tc>
          <w:tcPr>
            <w:tcW w:w="1555" w:type="dxa"/>
          </w:tcPr>
          <w:p w14:paraId="371860E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D496B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9CF7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D701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30628</w:t>
            </w:r>
          </w:p>
        </w:tc>
        <w:tc>
          <w:tcPr>
            <w:tcW w:w="1134" w:type="dxa"/>
          </w:tcPr>
          <w:p w14:paraId="5764D1D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1D3636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3BE0E2" w14:textId="77777777" w:rsidTr="00743919">
        <w:trPr>
          <w:trHeight w:val="302"/>
        </w:trPr>
        <w:tc>
          <w:tcPr>
            <w:tcW w:w="1555" w:type="dxa"/>
          </w:tcPr>
          <w:p w14:paraId="721E124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AF66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1F1FA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B170C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30710</w:t>
            </w:r>
          </w:p>
        </w:tc>
        <w:tc>
          <w:tcPr>
            <w:tcW w:w="1134" w:type="dxa"/>
          </w:tcPr>
          <w:p w14:paraId="0E4586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54E75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76CBAD8" w14:textId="77777777" w:rsidTr="00743919">
        <w:trPr>
          <w:trHeight w:val="302"/>
        </w:trPr>
        <w:tc>
          <w:tcPr>
            <w:tcW w:w="1555" w:type="dxa"/>
          </w:tcPr>
          <w:p w14:paraId="142EDD4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EB8F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EC74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2DDB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31200</w:t>
            </w:r>
          </w:p>
        </w:tc>
        <w:tc>
          <w:tcPr>
            <w:tcW w:w="1134" w:type="dxa"/>
          </w:tcPr>
          <w:p w14:paraId="6F54A0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8C24C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A3A00C9" w14:textId="77777777" w:rsidTr="00743919">
        <w:trPr>
          <w:trHeight w:val="302"/>
        </w:trPr>
        <w:tc>
          <w:tcPr>
            <w:tcW w:w="1555" w:type="dxa"/>
          </w:tcPr>
          <w:p w14:paraId="3148B9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F987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8D8D2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18C9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31205</w:t>
            </w:r>
          </w:p>
        </w:tc>
        <w:tc>
          <w:tcPr>
            <w:tcW w:w="1134" w:type="dxa"/>
          </w:tcPr>
          <w:p w14:paraId="1EE849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58D04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45C994E" w14:textId="77777777" w:rsidTr="00743919">
        <w:trPr>
          <w:trHeight w:val="302"/>
        </w:trPr>
        <w:tc>
          <w:tcPr>
            <w:tcW w:w="1555" w:type="dxa"/>
          </w:tcPr>
          <w:p w14:paraId="1E3D218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A3CBB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6F2B7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88E9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31210</w:t>
            </w:r>
          </w:p>
        </w:tc>
        <w:tc>
          <w:tcPr>
            <w:tcW w:w="1134" w:type="dxa"/>
          </w:tcPr>
          <w:p w14:paraId="177D70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244617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3FE293" w14:textId="77777777" w:rsidTr="00743919">
        <w:trPr>
          <w:trHeight w:val="302"/>
        </w:trPr>
        <w:tc>
          <w:tcPr>
            <w:tcW w:w="1555" w:type="dxa"/>
          </w:tcPr>
          <w:p w14:paraId="7F72153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6A484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713C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33734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31215</w:t>
            </w:r>
          </w:p>
        </w:tc>
        <w:tc>
          <w:tcPr>
            <w:tcW w:w="1134" w:type="dxa"/>
          </w:tcPr>
          <w:p w14:paraId="47E163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A976D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2D1317" w14:textId="77777777" w:rsidTr="00743919">
        <w:trPr>
          <w:trHeight w:val="302"/>
        </w:trPr>
        <w:tc>
          <w:tcPr>
            <w:tcW w:w="1555" w:type="dxa"/>
          </w:tcPr>
          <w:p w14:paraId="39E4198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EB397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B592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2B88F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31220</w:t>
            </w:r>
          </w:p>
        </w:tc>
        <w:tc>
          <w:tcPr>
            <w:tcW w:w="1134" w:type="dxa"/>
          </w:tcPr>
          <w:p w14:paraId="6D704F5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8A056C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925267" w14:textId="77777777" w:rsidTr="00743919">
        <w:trPr>
          <w:trHeight w:val="302"/>
        </w:trPr>
        <w:tc>
          <w:tcPr>
            <w:tcW w:w="1555" w:type="dxa"/>
          </w:tcPr>
          <w:p w14:paraId="7E421F2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B359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7838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1885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31225</w:t>
            </w:r>
          </w:p>
        </w:tc>
        <w:tc>
          <w:tcPr>
            <w:tcW w:w="1134" w:type="dxa"/>
          </w:tcPr>
          <w:p w14:paraId="0ABF02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DEA5F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B3050E" w14:textId="77777777" w:rsidTr="00743919">
        <w:trPr>
          <w:trHeight w:val="302"/>
        </w:trPr>
        <w:tc>
          <w:tcPr>
            <w:tcW w:w="1555" w:type="dxa"/>
          </w:tcPr>
          <w:p w14:paraId="5C70353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7B5C2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2E2C6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D917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31230</w:t>
            </w:r>
          </w:p>
        </w:tc>
        <w:tc>
          <w:tcPr>
            <w:tcW w:w="1134" w:type="dxa"/>
          </w:tcPr>
          <w:p w14:paraId="2370AF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15859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F99A97" w14:textId="77777777" w:rsidTr="00743919">
        <w:trPr>
          <w:trHeight w:val="302"/>
        </w:trPr>
        <w:tc>
          <w:tcPr>
            <w:tcW w:w="1555" w:type="dxa"/>
          </w:tcPr>
          <w:p w14:paraId="0FD5AA5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F488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3619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87539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31235</w:t>
            </w:r>
          </w:p>
        </w:tc>
        <w:tc>
          <w:tcPr>
            <w:tcW w:w="1134" w:type="dxa"/>
          </w:tcPr>
          <w:p w14:paraId="643E51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5D192C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41069C" w14:textId="77777777" w:rsidTr="00743919">
        <w:trPr>
          <w:trHeight w:val="302"/>
        </w:trPr>
        <w:tc>
          <w:tcPr>
            <w:tcW w:w="1555" w:type="dxa"/>
          </w:tcPr>
          <w:p w14:paraId="69AC5DB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93D4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64094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68DC2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31255</w:t>
            </w:r>
          </w:p>
        </w:tc>
        <w:tc>
          <w:tcPr>
            <w:tcW w:w="1134" w:type="dxa"/>
          </w:tcPr>
          <w:p w14:paraId="376C68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E7089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0DDD4D" w14:textId="77777777" w:rsidTr="00743919">
        <w:trPr>
          <w:trHeight w:val="302"/>
        </w:trPr>
        <w:tc>
          <w:tcPr>
            <w:tcW w:w="1555" w:type="dxa"/>
          </w:tcPr>
          <w:p w14:paraId="5FA7574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CC19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E82F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F818F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31256</w:t>
            </w:r>
          </w:p>
        </w:tc>
        <w:tc>
          <w:tcPr>
            <w:tcW w:w="1134" w:type="dxa"/>
          </w:tcPr>
          <w:p w14:paraId="386BD7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478D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2A20AAB" w14:textId="77777777" w:rsidTr="00743919">
        <w:trPr>
          <w:trHeight w:val="302"/>
        </w:trPr>
        <w:tc>
          <w:tcPr>
            <w:tcW w:w="1555" w:type="dxa"/>
          </w:tcPr>
          <w:p w14:paraId="2EEF713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2D840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1E02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35C32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31257</w:t>
            </w:r>
          </w:p>
        </w:tc>
        <w:tc>
          <w:tcPr>
            <w:tcW w:w="1134" w:type="dxa"/>
          </w:tcPr>
          <w:p w14:paraId="331A8A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36F00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953098E" w14:textId="77777777" w:rsidTr="00743919">
        <w:trPr>
          <w:trHeight w:val="302"/>
        </w:trPr>
        <w:tc>
          <w:tcPr>
            <w:tcW w:w="1555" w:type="dxa"/>
          </w:tcPr>
          <w:p w14:paraId="1D7FED5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FC18E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83EE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34F91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31260</w:t>
            </w:r>
          </w:p>
        </w:tc>
        <w:tc>
          <w:tcPr>
            <w:tcW w:w="1134" w:type="dxa"/>
          </w:tcPr>
          <w:p w14:paraId="6E90D1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4C01E3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D02634" w14:textId="77777777" w:rsidTr="00743919">
        <w:trPr>
          <w:trHeight w:val="302"/>
        </w:trPr>
        <w:tc>
          <w:tcPr>
            <w:tcW w:w="1555" w:type="dxa"/>
          </w:tcPr>
          <w:p w14:paraId="21A2589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2C6D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F65EB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0F6E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31261</w:t>
            </w:r>
          </w:p>
        </w:tc>
        <w:tc>
          <w:tcPr>
            <w:tcW w:w="1134" w:type="dxa"/>
          </w:tcPr>
          <w:p w14:paraId="5F0425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D1F5A1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242A71" w14:textId="77777777" w:rsidTr="00743919">
        <w:trPr>
          <w:trHeight w:val="302"/>
        </w:trPr>
        <w:tc>
          <w:tcPr>
            <w:tcW w:w="1555" w:type="dxa"/>
          </w:tcPr>
          <w:p w14:paraId="2A5690C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FCED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398E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22A32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31263</w:t>
            </w:r>
          </w:p>
        </w:tc>
        <w:tc>
          <w:tcPr>
            <w:tcW w:w="1134" w:type="dxa"/>
          </w:tcPr>
          <w:p w14:paraId="17E291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9EE4D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91C541" w14:textId="77777777" w:rsidTr="00743919">
        <w:trPr>
          <w:trHeight w:val="302"/>
        </w:trPr>
        <w:tc>
          <w:tcPr>
            <w:tcW w:w="1555" w:type="dxa"/>
          </w:tcPr>
          <w:p w14:paraId="647D29E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BDA9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0A8C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ABCAF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31265</w:t>
            </w:r>
          </w:p>
        </w:tc>
        <w:tc>
          <w:tcPr>
            <w:tcW w:w="1134" w:type="dxa"/>
          </w:tcPr>
          <w:p w14:paraId="63B489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01A649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F7F3B3" w14:textId="77777777" w:rsidTr="00743919">
        <w:trPr>
          <w:trHeight w:val="302"/>
        </w:trPr>
        <w:tc>
          <w:tcPr>
            <w:tcW w:w="1555" w:type="dxa"/>
          </w:tcPr>
          <w:p w14:paraId="064924A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F0F22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A7DB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C9DAB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31267</w:t>
            </w:r>
          </w:p>
        </w:tc>
        <w:tc>
          <w:tcPr>
            <w:tcW w:w="1134" w:type="dxa"/>
          </w:tcPr>
          <w:p w14:paraId="07CA19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F44442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A9FF77" w14:textId="77777777" w:rsidTr="00743919">
        <w:trPr>
          <w:trHeight w:val="302"/>
        </w:trPr>
        <w:tc>
          <w:tcPr>
            <w:tcW w:w="1555" w:type="dxa"/>
          </w:tcPr>
          <w:p w14:paraId="4B4CD7F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E070D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9B0C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A48E3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31270</w:t>
            </w:r>
          </w:p>
        </w:tc>
        <w:tc>
          <w:tcPr>
            <w:tcW w:w="1134" w:type="dxa"/>
          </w:tcPr>
          <w:p w14:paraId="294CC3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0FB88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483E89F" w14:textId="77777777" w:rsidTr="00743919">
        <w:trPr>
          <w:trHeight w:val="302"/>
        </w:trPr>
        <w:tc>
          <w:tcPr>
            <w:tcW w:w="1555" w:type="dxa"/>
          </w:tcPr>
          <w:p w14:paraId="30BA693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A6391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8D9E3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F6FD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31275</w:t>
            </w:r>
          </w:p>
        </w:tc>
        <w:tc>
          <w:tcPr>
            <w:tcW w:w="1134" w:type="dxa"/>
          </w:tcPr>
          <w:p w14:paraId="537951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310B1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441D10" w14:textId="77777777" w:rsidTr="00743919">
        <w:trPr>
          <w:trHeight w:val="302"/>
        </w:trPr>
        <w:tc>
          <w:tcPr>
            <w:tcW w:w="1555" w:type="dxa"/>
          </w:tcPr>
          <w:p w14:paraId="737FDF1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9F8D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300FD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131A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31280</w:t>
            </w:r>
          </w:p>
        </w:tc>
        <w:tc>
          <w:tcPr>
            <w:tcW w:w="1134" w:type="dxa"/>
          </w:tcPr>
          <w:p w14:paraId="6FED38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A9DBC0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DBE8C3" w14:textId="77777777" w:rsidTr="00743919">
        <w:trPr>
          <w:trHeight w:val="302"/>
        </w:trPr>
        <w:tc>
          <w:tcPr>
            <w:tcW w:w="1555" w:type="dxa"/>
          </w:tcPr>
          <w:p w14:paraId="201B96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D61D7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D8B6C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CD16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31281</w:t>
            </w:r>
          </w:p>
        </w:tc>
        <w:tc>
          <w:tcPr>
            <w:tcW w:w="1134" w:type="dxa"/>
          </w:tcPr>
          <w:p w14:paraId="2EE8F8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81BA7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40ACBCA" w14:textId="77777777" w:rsidTr="00743919">
        <w:trPr>
          <w:trHeight w:val="302"/>
        </w:trPr>
        <w:tc>
          <w:tcPr>
            <w:tcW w:w="1555" w:type="dxa"/>
          </w:tcPr>
          <w:p w14:paraId="187D3FC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804A5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546B6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DD78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31285</w:t>
            </w:r>
          </w:p>
        </w:tc>
        <w:tc>
          <w:tcPr>
            <w:tcW w:w="1134" w:type="dxa"/>
          </w:tcPr>
          <w:p w14:paraId="3F5953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DCDCA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A0542DD" w14:textId="77777777" w:rsidTr="00743919">
        <w:trPr>
          <w:trHeight w:val="302"/>
        </w:trPr>
        <w:tc>
          <w:tcPr>
            <w:tcW w:w="1555" w:type="dxa"/>
          </w:tcPr>
          <w:p w14:paraId="7D38D0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79B5A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E92C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56ED5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31290</w:t>
            </w:r>
          </w:p>
        </w:tc>
        <w:tc>
          <w:tcPr>
            <w:tcW w:w="1134" w:type="dxa"/>
          </w:tcPr>
          <w:p w14:paraId="27EE2F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AAAEE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6D153B" w14:textId="77777777" w:rsidTr="00743919">
        <w:trPr>
          <w:trHeight w:val="302"/>
        </w:trPr>
        <w:tc>
          <w:tcPr>
            <w:tcW w:w="1555" w:type="dxa"/>
          </w:tcPr>
          <w:p w14:paraId="66E2FBD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E536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0680D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2E5B0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31310</w:t>
            </w:r>
          </w:p>
        </w:tc>
        <w:tc>
          <w:tcPr>
            <w:tcW w:w="1134" w:type="dxa"/>
          </w:tcPr>
          <w:p w14:paraId="20B438F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F9563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9BC1EC" w14:textId="77777777" w:rsidTr="00743919">
        <w:trPr>
          <w:trHeight w:val="302"/>
        </w:trPr>
        <w:tc>
          <w:tcPr>
            <w:tcW w:w="1555" w:type="dxa"/>
          </w:tcPr>
          <w:p w14:paraId="27D45A7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89E6B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07BE9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C9AD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31325</w:t>
            </w:r>
          </w:p>
        </w:tc>
        <w:tc>
          <w:tcPr>
            <w:tcW w:w="1134" w:type="dxa"/>
          </w:tcPr>
          <w:p w14:paraId="600157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E76049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AD6D10" w14:textId="77777777" w:rsidTr="00743919">
        <w:trPr>
          <w:trHeight w:val="302"/>
        </w:trPr>
        <w:tc>
          <w:tcPr>
            <w:tcW w:w="1555" w:type="dxa"/>
          </w:tcPr>
          <w:p w14:paraId="726B27C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3E16A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9BC2C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F90D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31345</w:t>
            </w:r>
          </w:p>
        </w:tc>
        <w:tc>
          <w:tcPr>
            <w:tcW w:w="1134" w:type="dxa"/>
          </w:tcPr>
          <w:p w14:paraId="37801C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8C72A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11FEC53" w14:textId="77777777" w:rsidTr="00743919">
        <w:trPr>
          <w:trHeight w:val="302"/>
        </w:trPr>
        <w:tc>
          <w:tcPr>
            <w:tcW w:w="1555" w:type="dxa"/>
          </w:tcPr>
          <w:p w14:paraId="673DCA0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87CC9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64D4A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E28D7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31350</w:t>
            </w:r>
          </w:p>
        </w:tc>
        <w:tc>
          <w:tcPr>
            <w:tcW w:w="1134" w:type="dxa"/>
          </w:tcPr>
          <w:p w14:paraId="4FD953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F5814B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C4D5B8E" w14:textId="77777777" w:rsidTr="00743919">
        <w:trPr>
          <w:trHeight w:val="302"/>
        </w:trPr>
        <w:tc>
          <w:tcPr>
            <w:tcW w:w="1555" w:type="dxa"/>
          </w:tcPr>
          <w:p w14:paraId="50BA14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A9BA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35AC8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C7A0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31456</w:t>
            </w:r>
          </w:p>
        </w:tc>
        <w:tc>
          <w:tcPr>
            <w:tcW w:w="1134" w:type="dxa"/>
          </w:tcPr>
          <w:p w14:paraId="615D14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E9F44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2FCF321" w14:textId="77777777" w:rsidTr="00743919">
        <w:trPr>
          <w:trHeight w:val="302"/>
        </w:trPr>
        <w:tc>
          <w:tcPr>
            <w:tcW w:w="1555" w:type="dxa"/>
          </w:tcPr>
          <w:p w14:paraId="0EBE118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B44C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E9A08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10 Operations for Osteomyelitis</w:t>
            </w:r>
          </w:p>
        </w:tc>
        <w:tc>
          <w:tcPr>
            <w:tcW w:w="992" w:type="dxa"/>
          </w:tcPr>
          <w:p w14:paraId="6CBF42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43512</w:t>
            </w:r>
          </w:p>
        </w:tc>
        <w:tc>
          <w:tcPr>
            <w:tcW w:w="1134" w:type="dxa"/>
          </w:tcPr>
          <w:p w14:paraId="005B16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181288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AA3607" w14:textId="77777777" w:rsidTr="00743919">
        <w:trPr>
          <w:trHeight w:val="302"/>
        </w:trPr>
        <w:tc>
          <w:tcPr>
            <w:tcW w:w="1555" w:type="dxa"/>
          </w:tcPr>
          <w:p w14:paraId="0D07F54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55A93A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EDEE06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 Plastic and Reconstructive</w:t>
            </w:r>
          </w:p>
        </w:tc>
        <w:tc>
          <w:tcPr>
            <w:tcW w:w="992" w:type="dxa"/>
          </w:tcPr>
          <w:p w14:paraId="4753C9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45200</w:t>
            </w:r>
          </w:p>
        </w:tc>
        <w:tc>
          <w:tcPr>
            <w:tcW w:w="1134" w:type="dxa"/>
          </w:tcPr>
          <w:p w14:paraId="747382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E63D9E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EE48D60" w14:textId="77777777" w:rsidTr="00743919">
        <w:trPr>
          <w:trHeight w:val="302"/>
        </w:trPr>
        <w:tc>
          <w:tcPr>
            <w:tcW w:w="1555" w:type="dxa"/>
          </w:tcPr>
          <w:p w14:paraId="47E7613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8A51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75D9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71672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45203</w:t>
            </w:r>
          </w:p>
        </w:tc>
        <w:tc>
          <w:tcPr>
            <w:tcW w:w="1134" w:type="dxa"/>
          </w:tcPr>
          <w:p w14:paraId="433040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D2CE89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75920DF" w14:textId="77777777" w:rsidTr="00743919">
        <w:trPr>
          <w:trHeight w:val="302"/>
        </w:trPr>
        <w:tc>
          <w:tcPr>
            <w:tcW w:w="1555" w:type="dxa"/>
          </w:tcPr>
          <w:p w14:paraId="11107A8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038B6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CC8D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45F8D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45206</w:t>
            </w:r>
          </w:p>
        </w:tc>
        <w:tc>
          <w:tcPr>
            <w:tcW w:w="1134" w:type="dxa"/>
          </w:tcPr>
          <w:p w14:paraId="10B6E1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FE0D8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1DA6268" w14:textId="77777777" w:rsidTr="00743919">
        <w:trPr>
          <w:trHeight w:val="302"/>
        </w:trPr>
        <w:tc>
          <w:tcPr>
            <w:tcW w:w="1555" w:type="dxa"/>
          </w:tcPr>
          <w:p w14:paraId="314EF36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CDBF7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C04C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4B35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45221</w:t>
            </w:r>
          </w:p>
        </w:tc>
        <w:tc>
          <w:tcPr>
            <w:tcW w:w="1134" w:type="dxa"/>
          </w:tcPr>
          <w:p w14:paraId="214060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DC1760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CCCD02" w14:textId="77777777" w:rsidTr="00743919">
        <w:trPr>
          <w:trHeight w:val="302"/>
        </w:trPr>
        <w:tc>
          <w:tcPr>
            <w:tcW w:w="1555" w:type="dxa"/>
          </w:tcPr>
          <w:p w14:paraId="71FE048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0073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1515D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97515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45224</w:t>
            </w:r>
          </w:p>
        </w:tc>
        <w:tc>
          <w:tcPr>
            <w:tcW w:w="1134" w:type="dxa"/>
          </w:tcPr>
          <w:p w14:paraId="6BCCC1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91C7BF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862849E" w14:textId="77777777" w:rsidTr="00743919">
        <w:trPr>
          <w:trHeight w:val="302"/>
        </w:trPr>
        <w:tc>
          <w:tcPr>
            <w:tcW w:w="1555" w:type="dxa"/>
          </w:tcPr>
          <w:p w14:paraId="7FE19F7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B06F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B178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7831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45442</w:t>
            </w:r>
          </w:p>
        </w:tc>
        <w:tc>
          <w:tcPr>
            <w:tcW w:w="1134" w:type="dxa"/>
          </w:tcPr>
          <w:p w14:paraId="09007D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2DF378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647992" w14:textId="77777777" w:rsidTr="00743919">
        <w:trPr>
          <w:trHeight w:val="302"/>
        </w:trPr>
        <w:tc>
          <w:tcPr>
            <w:tcW w:w="1555" w:type="dxa"/>
          </w:tcPr>
          <w:p w14:paraId="7686995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4B630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C7F80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27B87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45448</w:t>
            </w:r>
          </w:p>
        </w:tc>
        <w:tc>
          <w:tcPr>
            <w:tcW w:w="1134" w:type="dxa"/>
          </w:tcPr>
          <w:p w14:paraId="17F962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555107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C6BA41" w14:textId="77777777" w:rsidTr="00743919">
        <w:trPr>
          <w:trHeight w:val="302"/>
        </w:trPr>
        <w:tc>
          <w:tcPr>
            <w:tcW w:w="1555" w:type="dxa"/>
          </w:tcPr>
          <w:p w14:paraId="1898AA9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D405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E763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2D934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45451</w:t>
            </w:r>
          </w:p>
        </w:tc>
        <w:tc>
          <w:tcPr>
            <w:tcW w:w="1134" w:type="dxa"/>
          </w:tcPr>
          <w:p w14:paraId="51C3B1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B7175F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BE7CCC" w14:textId="77777777" w:rsidTr="00743919">
        <w:trPr>
          <w:trHeight w:val="302"/>
        </w:trPr>
        <w:tc>
          <w:tcPr>
            <w:tcW w:w="1555" w:type="dxa"/>
          </w:tcPr>
          <w:p w14:paraId="24E4145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EC7D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8F17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79051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45500</w:t>
            </w:r>
          </w:p>
        </w:tc>
        <w:tc>
          <w:tcPr>
            <w:tcW w:w="1134" w:type="dxa"/>
          </w:tcPr>
          <w:p w14:paraId="069A94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33F918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0AC800" w14:textId="77777777" w:rsidTr="00743919">
        <w:trPr>
          <w:trHeight w:val="302"/>
        </w:trPr>
        <w:tc>
          <w:tcPr>
            <w:tcW w:w="1555" w:type="dxa"/>
          </w:tcPr>
          <w:p w14:paraId="6EC6841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C621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C1323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572C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45501</w:t>
            </w:r>
          </w:p>
        </w:tc>
        <w:tc>
          <w:tcPr>
            <w:tcW w:w="1134" w:type="dxa"/>
          </w:tcPr>
          <w:p w14:paraId="5C474A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60FCBD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E43EE8" w14:textId="77777777" w:rsidTr="00743919">
        <w:trPr>
          <w:trHeight w:val="302"/>
        </w:trPr>
        <w:tc>
          <w:tcPr>
            <w:tcW w:w="1555" w:type="dxa"/>
          </w:tcPr>
          <w:p w14:paraId="13A76E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55A7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60793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BAC79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45502</w:t>
            </w:r>
          </w:p>
        </w:tc>
        <w:tc>
          <w:tcPr>
            <w:tcW w:w="1134" w:type="dxa"/>
          </w:tcPr>
          <w:p w14:paraId="52BDF7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DAEDD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582D0D" w14:textId="77777777" w:rsidTr="00743919">
        <w:trPr>
          <w:trHeight w:val="302"/>
        </w:trPr>
        <w:tc>
          <w:tcPr>
            <w:tcW w:w="1555" w:type="dxa"/>
          </w:tcPr>
          <w:p w14:paraId="304E1B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F795A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85FD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84C30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45515</w:t>
            </w:r>
          </w:p>
        </w:tc>
        <w:tc>
          <w:tcPr>
            <w:tcW w:w="1134" w:type="dxa"/>
          </w:tcPr>
          <w:p w14:paraId="6DE4FF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52952B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CCA5ED" w14:textId="77777777" w:rsidTr="00743919">
        <w:trPr>
          <w:trHeight w:val="302"/>
        </w:trPr>
        <w:tc>
          <w:tcPr>
            <w:tcW w:w="1555" w:type="dxa"/>
          </w:tcPr>
          <w:p w14:paraId="5AC5000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29EB7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FD1F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2B681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45563</w:t>
            </w:r>
          </w:p>
        </w:tc>
        <w:tc>
          <w:tcPr>
            <w:tcW w:w="1134" w:type="dxa"/>
          </w:tcPr>
          <w:p w14:paraId="0E9F6D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348B3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7BAEDA" w14:textId="77777777" w:rsidTr="00743919">
        <w:trPr>
          <w:trHeight w:val="302"/>
        </w:trPr>
        <w:tc>
          <w:tcPr>
            <w:tcW w:w="1555" w:type="dxa"/>
          </w:tcPr>
          <w:p w14:paraId="150647B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FB2B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AB801C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14 Hand Surgery</w:t>
            </w:r>
          </w:p>
        </w:tc>
        <w:tc>
          <w:tcPr>
            <w:tcW w:w="992" w:type="dxa"/>
          </w:tcPr>
          <w:p w14:paraId="402A32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46300</w:t>
            </w:r>
          </w:p>
        </w:tc>
        <w:tc>
          <w:tcPr>
            <w:tcW w:w="1134" w:type="dxa"/>
          </w:tcPr>
          <w:p w14:paraId="2DEC8D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F2322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37A52F" w14:textId="77777777" w:rsidTr="00743919">
        <w:trPr>
          <w:trHeight w:val="302"/>
        </w:trPr>
        <w:tc>
          <w:tcPr>
            <w:tcW w:w="1555" w:type="dxa"/>
          </w:tcPr>
          <w:p w14:paraId="47EFDE7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36BC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6F4B2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661A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46303</w:t>
            </w:r>
          </w:p>
        </w:tc>
        <w:tc>
          <w:tcPr>
            <w:tcW w:w="1134" w:type="dxa"/>
          </w:tcPr>
          <w:p w14:paraId="4C1A8D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1B6571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FEC7941" w14:textId="77777777" w:rsidTr="00743919">
        <w:trPr>
          <w:trHeight w:val="302"/>
        </w:trPr>
        <w:tc>
          <w:tcPr>
            <w:tcW w:w="1555" w:type="dxa"/>
          </w:tcPr>
          <w:p w14:paraId="60C8CC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6493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779CC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B800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46309</w:t>
            </w:r>
          </w:p>
        </w:tc>
        <w:tc>
          <w:tcPr>
            <w:tcW w:w="1134" w:type="dxa"/>
          </w:tcPr>
          <w:p w14:paraId="6BF575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2B1F40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CD0BD1" w14:textId="77777777" w:rsidTr="00743919">
        <w:trPr>
          <w:trHeight w:val="302"/>
        </w:trPr>
        <w:tc>
          <w:tcPr>
            <w:tcW w:w="1555" w:type="dxa"/>
          </w:tcPr>
          <w:p w14:paraId="6DF486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EB39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0046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C8A9A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46318</w:t>
            </w:r>
          </w:p>
        </w:tc>
        <w:tc>
          <w:tcPr>
            <w:tcW w:w="1134" w:type="dxa"/>
          </w:tcPr>
          <w:p w14:paraId="7C66A5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8E2686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4904A7D" w14:textId="77777777" w:rsidTr="00743919">
        <w:trPr>
          <w:trHeight w:val="302"/>
        </w:trPr>
        <w:tc>
          <w:tcPr>
            <w:tcW w:w="1555" w:type="dxa"/>
          </w:tcPr>
          <w:p w14:paraId="054B323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D106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E887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CAA09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46325</w:t>
            </w:r>
          </w:p>
        </w:tc>
        <w:tc>
          <w:tcPr>
            <w:tcW w:w="1134" w:type="dxa"/>
          </w:tcPr>
          <w:p w14:paraId="6232FE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9600A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16022CB" w14:textId="77777777" w:rsidTr="00743919">
        <w:trPr>
          <w:trHeight w:val="302"/>
        </w:trPr>
        <w:tc>
          <w:tcPr>
            <w:tcW w:w="1555" w:type="dxa"/>
          </w:tcPr>
          <w:p w14:paraId="3E868B2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9641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15C75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302E5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46327</w:t>
            </w:r>
          </w:p>
        </w:tc>
        <w:tc>
          <w:tcPr>
            <w:tcW w:w="1134" w:type="dxa"/>
          </w:tcPr>
          <w:p w14:paraId="313632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2CEB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3D69877" w14:textId="77777777" w:rsidTr="00743919">
        <w:trPr>
          <w:trHeight w:val="302"/>
        </w:trPr>
        <w:tc>
          <w:tcPr>
            <w:tcW w:w="1555" w:type="dxa"/>
          </w:tcPr>
          <w:p w14:paraId="4023AC7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9C78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4D7BC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746C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46330</w:t>
            </w:r>
          </w:p>
        </w:tc>
        <w:tc>
          <w:tcPr>
            <w:tcW w:w="1134" w:type="dxa"/>
          </w:tcPr>
          <w:p w14:paraId="146FA5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31CEC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FF0A348" w14:textId="77777777" w:rsidTr="00743919">
        <w:trPr>
          <w:trHeight w:val="302"/>
        </w:trPr>
        <w:tc>
          <w:tcPr>
            <w:tcW w:w="1555" w:type="dxa"/>
          </w:tcPr>
          <w:p w14:paraId="5AA3BD7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6A916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E3B2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4AEE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46333</w:t>
            </w:r>
          </w:p>
        </w:tc>
        <w:tc>
          <w:tcPr>
            <w:tcW w:w="1134" w:type="dxa"/>
          </w:tcPr>
          <w:p w14:paraId="4EA948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530B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7804B88" w14:textId="77777777" w:rsidTr="00743919">
        <w:trPr>
          <w:trHeight w:val="302"/>
        </w:trPr>
        <w:tc>
          <w:tcPr>
            <w:tcW w:w="1555" w:type="dxa"/>
          </w:tcPr>
          <w:p w14:paraId="0DB4CB9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F214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1A8C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29130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46336</w:t>
            </w:r>
          </w:p>
        </w:tc>
        <w:tc>
          <w:tcPr>
            <w:tcW w:w="1134" w:type="dxa"/>
          </w:tcPr>
          <w:p w14:paraId="070D43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2EC8A3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E641BB" w14:textId="77777777" w:rsidTr="00743919">
        <w:trPr>
          <w:trHeight w:val="302"/>
        </w:trPr>
        <w:tc>
          <w:tcPr>
            <w:tcW w:w="1555" w:type="dxa"/>
          </w:tcPr>
          <w:p w14:paraId="3FDE868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6DBFF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0DFE1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D738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46339</w:t>
            </w:r>
          </w:p>
        </w:tc>
        <w:tc>
          <w:tcPr>
            <w:tcW w:w="1134" w:type="dxa"/>
          </w:tcPr>
          <w:p w14:paraId="568F6DA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76E41F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857B712" w14:textId="77777777" w:rsidTr="00743919">
        <w:trPr>
          <w:trHeight w:val="302"/>
        </w:trPr>
        <w:tc>
          <w:tcPr>
            <w:tcW w:w="1555" w:type="dxa"/>
          </w:tcPr>
          <w:p w14:paraId="0B746CF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C8504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196B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3A40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46345</w:t>
            </w:r>
          </w:p>
        </w:tc>
        <w:tc>
          <w:tcPr>
            <w:tcW w:w="1134" w:type="dxa"/>
          </w:tcPr>
          <w:p w14:paraId="6DD053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1FBB0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4B0C799" w14:textId="77777777" w:rsidTr="00743919">
        <w:trPr>
          <w:trHeight w:val="302"/>
        </w:trPr>
        <w:tc>
          <w:tcPr>
            <w:tcW w:w="1555" w:type="dxa"/>
          </w:tcPr>
          <w:p w14:paraId="7816DCD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222F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8003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0AF5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46348</w:t>
            </w:r>
          </w:p>
        </w:tc>
        <w:tc>
          <w:tcPr>
            <w:tcW w:w="1134" w:type="dxa"/>
          </w:tcPr>
          <w:p w14:paraId="4B6856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CBB336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B8FE6A7" w14:textId="77777777" w:rsidTr="00743919">
        <w:trPr>
          <w:trHeight w:val="302"/>
        </w:trPr>
        <w:tc>
          <w:tcPr>
            <w:tcW w:w="1555" w:type="dxa"/>
          </w:tcPr>
          <w:p w14:paraId="7CE5FAB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D133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BC0A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E6B7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46351</w:t>
            </w:r>
          </w:p>
        </w:tc>
        <w:tc>
          <w:tcPr>
            <w:tcW w:w="1134" w:type="dxa"/>
          </w:tcPr>
          <w:p w14:paraId="7B15C8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DAE1C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1BA4949" w14:textId="77777777" w:rsidTr="00743919">
        <w:trPr>
          <w:trHeight w:val="302"/>
        </w:trPr>
        <w:tc>
          <w:tcPr>
            <w:tcW w:w="1555" w:type="dxa"/>
          </w:tcPr>
          <w:p w14:paraId="0A90768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31FD5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7434C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BED4D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46354</w:t>
            </w:r>
          </w:p>
        </w:tc>
        <w:tc>
          <w:tcPr>
            <w:tcW w:w="1134" w:type="dxa"/>
          </w:tcPr>
          <w:p w14:paraId="69C779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495611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58BB7C" w14:textId="77777777" w:rsidTr="00743919">
        <w:trPr>
          <w:trHeight w:val="302"/>
        </w:trPr>
        <w:tc>
          <w:tcPr>
            <w:tcW w:w="1555" w:type="dxa"/>
          </w:tcPr>
          <w:p w14:paraId="329A23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E435A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8EFBC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23D0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46363</w:t>
            </w:r>
          </w:p>
        </w:tc>
        <w:tc>
          <w:tcPr>
            <w:tcW w:w="1134" w:type="dxa"/>
          </w:tcPr>
          <w:p w14:paraId="790CC1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958CA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47CE0C" w14:textId="77777777" w:rsidTr="00743919">
        <w:trPr>
          <w:trHeight w:val="302"/>
        </w:trPr>
        <w:tc>
          <w:tcPr>
            <w:tcW w:w="1555" w:type="dxa"/>
          </w:tcPr>
          <w:p w14:paraId="0D1D729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DC0FB7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7B04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78E1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46366</w:t>
            </w:r>
          </w:p>
        </w:tc>
        <w:tc>
          <w:tcPr>
            <w:tcW w:w="1134" w:type="dxa"/>
          </w:tcPr>
          <w:p w14:paraId="415C7B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08B6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0491883" w14:textId="77777777" w:rsidTr="00743919">
        <w:trPr>
          <w:trHeight w:val="302"/>
        </w:trPr>
        <w:tc>
          <w:tcPr>
            <w:tcW w:w="1555" w:type="dxa"/>
          </w:tcPr>
          <w:p w14:paraId="36B85CC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CD18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2D67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4F13B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46369</w:t>
            </w:r>
          </w:p>
        </w:tc>
        <w:tc>
          <w:tcPr>
            <w:tcW w:w="1134" w:type="dxa"/>
          </w:tcPr>
          <w:p w14:paraId="1589B9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FA6E26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1F2BCC0" w14:textId="77777777" w:rsidTr="00743919">
        <w:trPr>
          <w:trHeight w:val="302"/>
        </w:trPr>
        <w:tc>
          <w:tcPr>
            <w:tcW w:w="1555" w:type="dxa"/>
          </w:tcPr>
          <w:p w14:paraId="2F3E13C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8ACB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6A296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66FF7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46372</w:t>
            </w:r>
          </w:p>
        </w:tc>
        <w:tc>
          <w:tcPr>
            <w:tcW w:w="1134" w:type="dxa"/>
          </w:tcPr>
          <w:p w14:paraId="406D67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2E795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A719DA9" w14:textId="77777777" w:rsidTr="00743919">
        <w:trPr>
          <w:trHeight w:val="302"/>
        </w:trPr>
        <w:tc>
          <w:tcPr>
            <w:tcW w:w="1555" w:type="dxa"/>
          </w:tcPr>
          <w:p w14:paraId="683FF50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A801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0441F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07F47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46375</w:t>
            </w:r>
          </w:p>
        </w:tc>
        <w:tc>
          <w:tcPr>
            <w:tcW w:w="1134" w:type="dxa"/>
          </w:tcPr>
          <w:p w14:paraId="1DDA46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9C94BE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626C014" w14:textId="77777777" w:rsidTr="00743919">
        <w:trPr>
          <w:trHeight w:val="302"/>
        </w:trPr>
        <w:tc>
          <w:tcPr>
            <w:tcW w:w="1555" w:type="dxa"/>
          </w:tcPr>
          <w:p w14:paraId="13BA0D7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3A3B3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A3669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78BC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46378</w:t>
            </w:r>
          </w:p>
        </w:tc>
        <w:tc>
          <w:tcPr>
            <w:tcW w:w="1134" w:type="dxa"/>
          </w:tcPr>
          <w:p w14:paraId="16E310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00E0D7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000E526" w14:textId="77777777" w:rsidTr="00743919">
        <w:trPr>
          <w:trHeight w:val="302"/>
        </w:trPr>
        <w:tc>
          <w:tcPr>
            <w:tcW w:w="1555" w:type="dxa"/>
          </w:tcPr>
          <w:p w14:paraId="27A3AE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5D2E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BFED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015A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46384</w:t>
            </w:r>
          </w:p>
        </w:tc>
        <w:tc>
          <w:tcPr>
            <w:tcW w:w="1134" w:type="dxa"/>
          </w:tcPr>
          <w:p w14:paraId="4EEA91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D9F7B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6D5BC9" w14:textId="77777777" w:rsidTr="00743919">
        <w:trPr>
          <w:trHeight w:val="302"/>
        </w:trPr>
        <w:tc>
          <w:tcPr>
            <w:tcW w:w="1555" w:type="dxa"/>
          </w:tcPr>
          <w:p w14:paraId="5D63A91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5A99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5BA85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FB20D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46390</w:t>
            </w:r>
          </w:p>
        </w:tc>
        <w:tc>
          <w:tcPr>
            <w:tcW w:w="1134" w:type="dxa"/>
          </w:tcPr>
          <w:p w14:paraId="1CCC21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E1E8F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E32FA3" w14:textId="77777777" w:rsidTr="00743919">
        <w:trPr>
          <w:trHeight w:val="302"/>
        </w:trPr>
        <w:tc>
          <w:tcPr>
            <w:tcW w:w="1555" w:type="dxa"/>
          </w:tcPr>
          <w:p w14:paraId="5F6718C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12EF7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1D49F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0710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46393</w:t>
            </w:r>
          </w:p>
        </w:tc>
        <w:tc>
          <w:tcPr>
            <w:tcW w:w="1134" w:type="dxa"/>
          </w:tcPr>
          <w:p w14:paraId="5B195EB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52DC8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E1F3E1E" w14:textId="77777777" w:rsidTr="00743919">
        <w:trPr>
          <w:trHeight w:val="302"/>
        </w:trPr>
        <w:tc>
          <w:tcPr>
            <w:tcW w:w="1555" w:type="dxa"/>
          </w:tcPr>
          <w:p w14:paraId="66A75F2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DFA13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DCB8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79C3B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46396</w:t>
            </w:r>
          </w:p>
        </w:tc>
        <w:tc>
          <w:tcPr>
            <w:tcW w:w="1134" w:type="dxa"/>
          </w:tcPr>
          <w:p w14:paraId="1FA9AB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1A61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FEFD0F" w14:textId="77777777" w:rsidTr="00743919">
        <w:trPr>
          <w:trHeight w:val="302"/>
        </w:trPr>
        <w:tc>
          <w:tcPr>
            <w:tcW w:w="1555" w:type="dxa"/>
          </w:tcPr>
          <w:p w14:paraId="1F9ED15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AD141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8C9ED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B628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46399</w:t>
            </w:r>
          </w:p>
        </w:tc>
        <w:tc>
          <w:tcPr>
            <w:tcW w:w="1134" w:type="dxa"/>
          </w:tcPr>
          <w:p w14:paraId="284F9A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F82DB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19793EF" w14:textId="77777777" w:rsidTr="00743919">
        <w:trPr>
          <w:trHeight w:val="302"/>
        </w:trPr>
        <w:tc>
          <w:tcPr>
            <w:tcW w:w="1555" w:type="dxa"/>
          </w:tcPr>
          <w:p w14:paraId="203EDCA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A4A3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52055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48AD1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46405</w:t>
            </w:r>
          </w:p>
        </w:tc>
        <w:tc>
          <w:tcPr>
            <w:tcW w:w="1134" w:type="dxa"/>
          </w:tcPr>
          <w:p w14:paraId="2C8A9F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24387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A03751" w14:textId="77777777" w:rsidTr="00743919">
        <w:trPr>
          <w:trHeight w:val="302"/>
        </w:trPr>
        <w:tc>
          <w:tcPr>
            <w:tcW w:w="1555" w:type="dxa"/>
          </w:tcPr>
          <w:p w14:paraId="3F131C1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B2906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E96C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8E6F0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46408</w:t>
            </w:r>
          </w:p>
        </w:tc>
        <w:tc>
          <w:tcPr>
            <w:tcW w:w="1134" w:type="dxa"/>
          </w:tcPr>
          <w:p w14:paraId="5E9610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E0E7B6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148BD5" w14:textId="77777777" w:rsidTr="00743919">
        <w:trPr>
          <w:trHeight w:val="302"/>
        </w:trPr>
        <w:tc>
          <w:tcPr>
            <w:tcW w:w="1555" w:type="dxa"/>
          </w:tcPr>
          <w:p w14:paraId="3976FAA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47B16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110EA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10B3B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46414</w:t>
            </w:r>
          </w:p>
        </w:tc>
        <w:tc>
          <w:tcPr>
            <w:tcW w:w="1134" w:type="dxa"/>
          </w:tcPr>
          <w:p w14:paraId="46F346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D218F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408DD6" w14:textId="77777777" w:rsidTr="00743919">
        <w:trPr>
          <w:trHeight w:val="302"/>
        </w:trPr>
        <w:tc>
          <w:tcPr>
            <w:tcW w:w="1555" w:type="dxa"/>
          </w:tcPr>
          <w:p w14:paraId="2F45249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A99E0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C49F49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C3A43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46417</w:t>
            </w:r>
          </w:p>
        </w:tc>
        <w:tc>
          <w:tcPr>
            <w:tcW w:w="1134" w:type="dxa"/>
          </w:tcPr>
          <w:p w14:paraId="723FCA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53F73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7EA3E2" w14:textId="77777777" w:rsidTr="00743919">
        <w:trPr>
          <w:trHeight w:val="302"/>
        </w:trPr>
        <w:tc>
          <w:tcPr>
            <w:tcW w:w="1555" w:type="dxa"/>
          </w:tcPr>
          <w:p w14:paraId="6B8E51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CC8D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4A23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64576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46420</w:t>
            </w:r>
          </w:p>
        </w:tc>
        <w:tc>
          <w:tcPr>
            <w:tcW w:w="1134" w:type="dxa"/>
          </w:tcPr>
          <w:p w14:paraId="51EBBA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B52BF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C5387D" w14:textId="77777777" w:rsidTr="00743919">
        <w:trPr>
          <w:trHeight w:val="302"/>
        </w:trPr>
        <w:tc>
          <w:tcPr>
            <w:tcW w:w="1555" w:type="dxa"/>
          </w:tcPr>
          <w:p w14:paraId="6561D51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538B1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0B60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8E18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46426</w:t>
            </w:r>
          </w:p>
        </w:tc>
        <w:tc>
          <w:tcPr>
            <w:tcW w:w="1134" w:type="dxa"/>
          </w:tcPr>
          <w:p w14:paraId="4C491A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7CFB6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489D62A" w14:textId="77777777" w:rsidTr="00743919">
        <w:trPr>
          <w:trHeight w:val="302"/>
        </w:trPr>
        <w:tc>
          <w:tcPr>
            <w:tcW w:w="1555" w:type="dxa"/>
          </w:tcPr>
          <w:p w14:paraId="4D151BB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DD4B1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B668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C885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46432</w:t>
            </w:r>
          </w:p>
        </w:tc>
        <w:tc>
          <w:tcPr>
            <w:tcW w:w="1134" w:type="dxa"/>
          </w:tcPr>
          <w:p w14:paraId="52B4A8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C17A9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6FA106" w14:textId="77777777" w:rsidTr="00743919">
        <w:trPr>
          <w:trHeight w:val="302"/>
        </w:trPr>
        <w:tc>
          <w:tcPr>
            <w:tcW w:w="1555" w:type="dxa"/>
          </w:tcPr>
          <w:p w14:paraId="46E9F04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B3F0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311D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03C56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46441</w:t>
            </w:r>
          </w:p>
        </w:tc>
        <w:tc>
          <w:tcPr>
            <w:tcW w:w="1134" w:type="dxa"/>
          </w:tcPr>
          <w:p w14:paraId="75D9D6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F58EA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1269D20" w14:textId="77777777" w:rsidTr="00743919">
        <w:trPr>
          <w:trHeight w:val="302"/>
        </w:trPr>
        <w:tc>
          <w:tcPr>
            <w:tcW w:w="1555" w:type="dxa"/>
          </w:tcPr>
          <w:p w14:paraId="008127A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5DB7F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B143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B8916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46442</w:t>
            </w:r>
          </w:p>
        </w:tc>
        <w:tc>
          <w:tcPr>
            <w:tcW w:w="1134" w:type="dxa"/>
          </w:tcPr>
          <w:p w14:paraId="452F0AB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8BA60F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2DBF50E" w14:textId="77777777" w:rsidTr="00743919">
        <w:trPr>
          <w:trHeight w:val="302"/>
        </w:trPr>
        <w:tc>
          <w:tcPr>
            <w:tcW w:w="1555" w:type="dxa"/>
          </w:tcPr>
          <w:p w14:paraId="2166B3B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C0913D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34B57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6E8A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46447</w:t>
            </w:r>
          </w:p>
        </w:tc>
        <w:tc>
          <w:tcPr>
            <w:tcW w:w="1134" w:type="dxa"/>
          </w:tcPr>
          <w:p w14:paraId="37B862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7A9A9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E573E5F" w14:textId="77777777" w:rsidTr="00743919">
        <w:trPr>
          <w:trHeight w:val="302"/>
        </w:trPr>
        <w:tc>
          <w:tcPr>
            <w:tcW w:w="1555" w:type="dxa"/>
          </w:tcPr>
          <w:p w14:paraId="4B54BC7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CCF7C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EE70A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098C9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46450</w:t>
            </w:r>
          </w:p>
        </w:tc>
        <w:tc>
          <w:tcPr>
            <w:tcW w:w="1134" w:type="dxa"/>
          </w:tcPr>
          <w:p w14:paraId="10763D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3249AE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4A9DFE" w14:textId="77777777" w:rsidTr="00743919">
        <w:trPr>
          <w:trHeight w:val="302"/>
        </w:trPr>
        <w:tc>
          <w:tcPr>
            <w:tcW w:w="1555" w:type="dxa"/>
          </w:tcPr>
          <w:p w14:paraId="0400B40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A0751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CE76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B799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46459</w:t>
            </w:r>
          </w:p>
        </w:tc>
        <w:tc>
          <w:tcPr>
            <w:tcW w:w="1134" w:type="dxa"/>
          </w:tcPr>
          <w:p w14:paraId="7A8602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2562C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6223EF" w14:textId="77777777" w:rsidTr="00743919">
        <w:trPr>
          <w:trHeight w:val="302"/>
        </w:trPr>
        <w:tc>
          <w:tcPr>
            <w:tcW w:w="1555" w:type="dxa"/>
          </w:tcPr>
          <w:p w14:paraId="1C9BFA3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DB9C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1FC7B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17CC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46462</w:t>
            </w:r>
          </w:p>
        </w:tc>
        <w:tc>
          <w:tcPr>
            <w:tcW w:w="1134" w:type="dxa"/>
          </w:tcPr>
          <w:p w14:paraId="5216DE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71449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FD7810" w14:textId="77777777" w:rsidTr="00743919">
        <w:trPr>
          <w:trHeight w:val="302"/>
        </w:trPr>
        <w:tc>
          <w:tcPr>
            <w:tcW w:w="1555" w:type="dxa"/>
          </w:tcPr>
          <w:p w14:paraId="76096D0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A974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F19C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1C52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46465</w:t>
            </w:r>
          </w:p>
        </w:tc>
        <w:tc>
          <w:tcPr>
            <w:tcW w:w="1134" w:type="dxa"/>
          </w:tcPr>
          <w:p w14:paraId="0A9524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A0919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8820941" w14:textId="77777777" w:rsidTr="00743919">
        <w:trPr>
          <w:trHeight w:val="302"/>
        </w:trPr>
        <w:tc>
          <w:tcPr>
            <w:tcW w:w="1555" w:type="dxa"/>
          </w:tcPr>
          <w:p w14:paraId="1EF3D87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C491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F1EB6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575C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46483</w:t>
            </w:r>
          </w:p>
        </w:tc>
        <w:tc>
          <w:tcPr>
            <w:tcW w:w="1134" w:type="dxa"/>
          </w:tcPr>
          <w:p w14:paraId="3A74D0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E601E9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456F7B" w14:textId="77777777" w:rsidTr="00743919">
        <w:trPr>
          <w:trHeight w:val="302"/>
        </w:trPr>
        <w:tc>
          <w:tcPr>
            <w:tcW w:w="1555" w:type="dxa"/>
          </w:tcPr>
          <w:p w14:paraId="6FA9D54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1672C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1892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BCD6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46486</w:t>
            </w:r>
          </w:p>
        </w:tc>
        <w:tc>
          <w:tcPr>
            <w:tcW w:w="1134" w:type="dxa"/>
          </w:tcPr>
          <w:p w14:paraId="2A7005C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699C5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06C1BD" w14:textId="77777777" w:rsidTr="00743919">
        <w:trPr>
          <w:trHeight w:val="302"/>
        </w:trPr>
        <w:tc>
          <w:tcPr>
            <w:tcW w:w="1555" w:type="dxa"/>
          </w:tcPr>
          <w:p w14:paraId="26D2BC1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D879D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A845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07611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46489</w:t>
            </w:r>
          </w:p>
        </w:tc>
        <w:tc>
          <w:tcPr>
            <w:tcW w:w="1134" w:type="dxa"/>
          </w:tcPr>
          <w:p w14:paraId="1C8486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3328AE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7A3F04" w14:textId="77777777" w:rsidTr="00743919">
        <w:trPr>
          <w:trHeight w:val="302"/>
        </w:trPr>
        <w:tc>
          <w:tcPr>
            <w:tcW w:w="1555" w:type="dxa"/>
          </w:tcPr>
          <w:p w14:paraId="4F434DF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13FD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ED93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4C77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46494</w:t>
            </w:r>
          </w:p>
        </w:tc>
        <w:tc>
          <w:tcPr>
            <w:tcW w:w="1134" w:type="dxa"/>
          </w:tcPr>
          <w:p w14:paraId="66884A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98AEE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DBFC758" w14:textId="77777777" w:rsidTr="00743919">
        <w:trPr>
          <w:trHeight w:val="302"/>
        </w:trPr>
        <w:tc>
          <w:tcPr>
            <w:tcW w:w="1555" w:type="dxa"/>
          </w:tcPr>
          <w:p w14:paraId="75D03C4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A5D9C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5A124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0CAC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46495</w:t>
            </w:r>
          </w:p>
        </w:tc>
        <w:tc>
          <w:tcPr>
            <w:tcW w:w="1134" w:type="dxa"/>
          </w:tcPr>
          <w:p w14:paraId="0B456B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1448C1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CE8BE4" w14:textId="77777777" w:rsidTr="00743919">
        <w:trPr>
          <w:trHeight w:val="302"/>
        </w:trPr>
        <w:tc>
          <w:tcPr>
            <w:tcW w:w="1555" w:type="dxa"/>
          </w:tcPr>
          <w:p w14:paraId="014F45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1CA1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A674F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6076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46498</w:t>
            </w:r>
          </w:p>
        </w:tc>
        <w:tc>
          <w:tcPr>
            <w:tcW w:w="1134" w:type="dxa"/>
          </w:tcPr>
          <w:p w14:paraId="179BBB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C80DDE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99660E" w14:textId="77777777" w:rsidTr="00743919">
        <w:trPr>
          <w:trHeight w:val="302"/>
        </w:trPr>
        <w:tc>
          <w:tcPr>
            <w:tcW w:w="1555" w:type="dxa"/>
          </w:tcPr>
          <w:p w14:paraId="3CD9658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197C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D4E5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16574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46500</w:t>
            </w:r>
          </w:p>
        </w:tc>
        <w:tc>
          <w:tcPr>
            <w:tcW w:w="1134" w:type="dxa"/>
          </w:tcPr>
          <w:p w14:paraId="3C3347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57C7D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88A580" w14:textId="77777777" w:rsidTr="00743919">
        <w:trPr>
          <w:trHeight w:val="302"/>
        </w:trPr>
        <w:tc>
          <w:tcPr>
            <w:tcW w:w="1555" w:type="dxa"/>
          </w:tcPr>
          <w:p w14:paraId="57ED0BB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E743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07D0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0CB85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46501</w:t>
            </w:r>
          </w:p>
        </w:tc>
        <w:tc>
          <w:tcPr>
            <w:tcW w:w="1134" w:type="dxa"/>
          </w:tcPr>
          <w:p w14:paraId="4ACA90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80F7F0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5C01628" w14:textId="77777777" w:rsidTr="00743919">
        <w:trPr>
          <w:trHeight w:val="302"/>
        </w:trPr>
        <w:tc>
          <w:tcPr>
            <w:tcW w:w="1555" w:type="dxa"/>
          </w:tcPr>
          <w:p w14:paraId="464212A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FD2E4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8975C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B9F6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46502</w:t>
            </w:r>
          </w:p>
        </w:tc>
        <w:tc>
          <w:tcPr>
            <w:tcW w:w="1134" w:type="dxa"/>
          </w:tcPr>
          <w:p w14:paraId="46421A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F86ED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3ED0B9A" w14:textId="77777777" w:rsidTr="00743919">
        <w:trPr>
          <w:trHeight w:val="302"/>
        </w:trPr>
        <w:tc>
          <w:tcPr>
            <w:tcW w:w="1555" w:type="dxa"/>
          </w:tcPr>
          <w:p w14:paraId="351EA1E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336A6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2A675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E355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46503</w:t>
            </w:r>
          </w:p>
        </w:tc>
        <w:tc>
          <w:tcPr>
            <w:tcW w:w="1134" w:type="dxa"/>
          </w:tcPr>
          <w:p w14:paraId="2A5784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A8FA65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4B0ECE" w14:textId="77777777" w:rsidTr="00743919">
        <w:trPr>
          <w:trHeight w:val="302"/>
        </w:trPr>
        <w:tc>
          <w:tcPr>
            <w:tcW w:w="1555" w:type="dxa"/>
          </w:tcPr>
          <w:p w14:paraId="67E3158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BE66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C6BC0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CB4BB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46513</w:t>
            </w:r>
          </w:p>
        </w:tc>
        <w:tc>
          <w:tcPr>
            <w:tcW w:w="1134" w:type="dxa"/>
          </w:tcPr>
          <w:p w14:paraId="2C9276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9E1CB9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55012D8" w14:textId="77777777" w:rsidTr="00743919">
        <w:trPr>
          <w:trHeight w:val="302"/>
        </w:trPr>
        <w:tc>
          <w:tcPr>
            <w:tcW w:w="1555" w:type="dxa"/>
          </w:tcPr>
          <w:p w14:paraId="7883D73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E445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455B3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CA24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46519</w:t>
            </w:r>
          </w:p>
        </w:tc>
        <w:tc>
          <w:tcPr>
            <w:tcW w:w="1134" w:type="dxa"/>
          </w:tcPr>
          <w:p w14:paraId="63DA6CF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926C4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B87205" w14:textId="77777777" w:rsidTr="00743919">
        <w:trPr>
          <w:trHeight w:val="302"/>
        </w:trPr>
        <w:tc>
          <w:tcPr>
            <w:tcW w:w="1555" w:type="dxa"/>
          </w:tcPr>
          <w:p w14:paraId="6BEFAD6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DC26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CBC08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9E36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46522</w:t>
            </w:r>
          </w:p>
        </w:tc>
        <w:tc>
          <w:tcPr>
            <w:tcW w:w="1134" w:type="dxa"/>
          </w:tcPr>
          <w:p w14:paraId="449B6C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96013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F51B6D" w14:textId="77777777" w:rsidTr="00743919">
        <w:trPr>
          <w:trHeight w:val="302"/>
        </w:trPr>
        <w:tc>
          <w:tcPr>
            <w:tcW w:w="1555" w:type="dxa"/>
          </w:tcPr>
          <w:p w14:paraId="00FAECA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559D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08477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4E36B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46525</w:t>
            </w:r>
          </w:p>
        </w:tc>
        <w:tc>
          <w:tcPr>
            <w:tcW w:w="1134" w:type="dxa"/>
          </w:tcPr>
          <w:p w14:paraId="0391D8B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D33F97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2FCE47C" w14:textId="77777777" w:rsidTr="00743919">
        <w:trPr>
          <w:trHeight w:val="302"/>
        </w:trPr>
        <w:tc>
          <w:tcPr>
            <w:tcW w:w="1555" w:type="dxa"/>
          </w:tcPr>
          <w:p w14:paraId="5F29E0F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A933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1D73C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 Orthopaedic</w:t>
            </w:r>
          </w:p>
        </w:tc>
        <w:tc>
          <w:tcPr>
            <w:tcW w:w="992" w:type="dxa"/>
          </w:tcPr>
          <w:p w14:paraId="66EF94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47033</w:t>
            </w:r>
          </w:p>
        </w:tc>
        <w:tc>
          <w:tcPr>
            <w:tcW w:w="1134" w:type="dxa"/>
          </w:tcPr>
          <w:p w14:paraId="101178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93A0C7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993C47B" w14:textId="77777777" w:rsidTr="00743919">
        <w:trPr>
          <w:trHeight w:val="302"/>
        </w:trPr>
        <w:tc>
          <w:tcPr>
            <w:tcW w:w="1555" w:type="dxa"/>
          </w:tcPr>
          <w:p w14:paraId="0AD625D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47582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152A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60D53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47039</w:t>
            </w:r>
          </w:p>
        </w:tc>
        <w:tc>
          <w:tcPr>
            <w:tcW w:w="1134" w:type="dxa"/>
          </w:tcPr>
          <w:p w14:paraId="3843D3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D232D7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19D8623" w14:textId="77777777" w:rsidTr="00743919">
        <w:trPr>
          <w:trHeight w:val="302"/>
        </w:trPr>
        <w:tc>
          <w:tcPr>
            <w:tcW w:w="1555" w:type="dxa"/>
          </w:tcPr>
          <w:p w14:paraId="64E5A0D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5913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C52DD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1F74C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47306</w:t>
            </w:r>
          </w:p>
        </w:tc>
        <w:tc>
          <w:tcPr>
            <w:tcW w:w="1134" w:type="dxa"/>
          </w:tcPr>
          <w:p w14:paraId="4740E8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016468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D2F5D1E" w14:textId="77777777" w:rsidTr="00743919">
        <w:trPr>
          <w:trHeight w:val="302"/>
        </w:trPr>
        <w:tc>
          <w:tcPr>
            <w:tcW w:w="1555" w:type="dxa"/>
          </w:tcPr>
          <w:p w14:paraId="632FAA4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A558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2E57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E2EF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47309</w:t>
            </w:r>
          </w:p>
        </w:tc>
        <w:tc>
          <w:tcPr>
            <w:tcW w:w="1134" w:type="dxa"/>
          </w:tcPr>
          <w:p w14:paraId="791B60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52951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827449" w14:textId="77777777" w:rsidTr="00743919">
        <w:trPr>
          <w:trHeight w:val="302"/>
        </w:trPr>
        <w:tc>
          <w:tcPr>
            <w:tcW w:w="1555" w:type="dxa"/>
          </w:tcPr>
          <w:p w14:paraId="5D140AB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ECA9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1D96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8305E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47312</w:t>
            </w:r>
          </w:p>
        </w:tc>
        <w:tc>
          <w:tcPr>
            <w:tcW w:w="1134" w:type="dxa"/>
          </w:tcPr>
          <w:p w14:paraId="12949E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A99C0B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4B7D01" w14:textId="77777777" w:rsidTr="00743919">
        <w:trPr>
          <w:trHeight w:val="302"/>
        </w:trPr>
        <w:tc>
          <w:tcPr>
            <w:tcW w:w="1555" w:type="dxa"/>
          </w:tcPr>
          <w:p w14:paraId="52B3E58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A78E0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A43D0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8FCB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47318</w:t>
            </w:r>
          </w:p>
        </w:tc>
        <w:tc>
          <w:tcPr>
            <w:tcW w:w="1134" w:type="dxa"/>
          </w:tcPr>
          <w:p w14:paraId="157DA6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6059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8FA765" w14:textId="77777777" w:rsidTr="00743919">
        <w:trPr>
          <w:trHeight w:val="302"/>
        </w:trPr>
        <w:tc>
          <w:tcPr>
            <w:tcW w:w="1555" w:type="dxa"/>
          </w:tcPr>
          <w:p w14:paraId="7A076A0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97B60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2417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CA93B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47321</w:t>
            </w:r>
          </w:p>
        </w:tc>
        <w:tc>
          <w:tcPr>
            <w:tcW w:w="1134" w:type="dxa"/>
          </w:tcPr>
          <w:p w14:paraId="1364C9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83BA5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EAD51D" w14:textId="77777777" w:rsidTr="00743919">
        <w:trPr>
          <w:trHeight w:val="302"/>
        </w:trPr>
        <w:tc>
          <w:tcPr>
            <w:tcW w:w="1555" w:type="dxa"/>
          </w:tcPr>
          <w:p w14:paraId="16158BB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9E6E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FF109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CFB86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47324</w:t>
            </w:r>
          </w:p>
        </w:tc>
        <w:tc>
          <w:tcPr>
            <w:tcW w:w="1134" w:type="dxa"/>
          </w:tcPr>
          <w:p w14:paraId="3851AE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AFD77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B4B8D3" w14:textId="77777777" w:rsidTr="00743919">
        <w:trPr>
          <w:trHeight w:val="302"/>
        </w:trPr>
        <w:tc>
          <w:tcPr>
            <w:tcW w:w="1555" w:type="dxa"/>
          </w:tcPr>
          <w:p w14:paraId="1FFE994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54BB1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3DED0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5F5DC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47327</w:t>
            </w:r>
          </w:p>
        </w:tc>
        <w:tc>
          <w:tcPr>
            <w:tcW w:w="1134" w:type="dxa"/>
          </w:tcPr>
          <w:p w14:paraId="5418B6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3138A7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992532" w14:textId="77777777" w:rsidTr="00743919">
        <w:trPr>
          <w:trHeight w:val="302"/>
        </w:trPr>
        <w:tc>
          <w:tcPr>
            <w:tcW w:w="1555" w:type="dxa"/>
          </w:tcPr>
          <w:p w14:paraId="4323413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895D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E164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BCA54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47330</w:t>
            </w:r>
          </w:p>
        </w:tc>
        <w:tc>
          <w:tcPr>
            <w:tcW w:w="1134" w:type="dxa"/>
          </w:tcPr>
          <w:p w14:paraId="7C2018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650B0B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47A1F24" w14:textId="77777777" w:rsidTr="00743919">
        <w:trPr>
          <w:trHeight w:val="302"/>
        </w:trPr>
        <w:tc>
          <w:tcPr>
            <w:tcW w:w="1555" w:type="dxa"/>
          </w:tcPr>
          <w:p w14:paraId="5E349D3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38148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C98B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BF9FA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47333</w:t>
            </w:r>
          </w:p>
        </w:tc>
        <w:tc>
          <w:tcPr>
            <w:tcW w:w="1134" w:type="dxa"/>
          </w:tcPr>
          <w:p w14:paraId="600080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E3C259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9760EF" w14:textId="77777777" w:rsidTr="00743919">
        <w:trPr>
          <w:trHeight w:val="302"/>
        </w:trPr>
        <w:tc>
          <w:tcPr>
            <w:tcW w:w="1555" w:type="dxa"/>
          </w:tcPr>
          <w:p w14:paraId="4C097E6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342CC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49D9C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D8AA3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47336</w:t>
            </w:r>
          </w:p>
        </w:tc>
        <w:tc>
          <w:tcPr>
            <w:tcW w:w="1134" w:type="dxa"/>
          </w:tcPr>
          <w:p w14:paraId="0AB562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B8586F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C7787F" w14:textId="77777777" w:rsidTr="00743919">
        <w:trPr>
          <w:trHeight w:val="302"/>
        </w:trPr>
        <w:tc>
          <w:tcPr>
            <w:tcW w:w="1555" w:type="dxa"/>
          </w:tcPr>
          <w:p w14:paraId="566E9B7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4E50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7475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5D558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47339</w:t>
            </w:r>
          </w:p>
        </w:tc>
        <w:tc>
          <w:tcPr>
            <w:tcW w:w="1134" w:type="dxa"/>
          </w:tcPr>
          <w:p w14:paraId="14AC6C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BB62B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3D0BDE" w14:textId="77777777" w:rsidTr="00743919">
        <w:trPr>
          <w:trHeight w:val="302"/>
        </w:trPr>
        <w:tc>
          <w:tcPr>
            <w:tcW w:w="1555" w:type="dxa"/>
          </w:tcPr>
          <w:p w14:paraId="2F6694C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674F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58D8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857F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47342</w:t>
            </w:r>
          </w:p>
        </w:tc>
        <w:tc>
          <w:tcPr>
            <w:tcW w:w="1134" w:type="dxa"/>
          </w:tcPr>
          <w:p w14:paraId="028AF8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5CE15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F779BD" w14:textId="77777777" w:rsidTr="00743919">
        <w:trPr>
          <w:trHeight w:val="302"/>
        </w:trPr>
        <w:tc>
          <w:tcPr>
            <w:tcW w:w="1555" w:type="dxa"/>
          </w:tcPr>
          <w:p w14:paraId="56FCFE8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2BDEB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B0028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01213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47345</w:t>
            </w:r>
          </w:p>
        </w:tc>
        <w:tc>
          <w:tcPr>
            <w:tcW w:w="1134" w:type="dxa"/>
          </w:tcPr>
          <w:p w14:paraId="707B39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2541D5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9AFEE65" w14:textId="77777777" w:rsidTr="00743919">
        <w:trPr>
          <w:trHeight w:val="302"/>
        </w:trPr>
        <w:tc>
          <w:tcPr>
            <w:tcW w:w="1555" w:type="dxa"/>
          </w:tcPr>
          <w:p w14:paraId="4406124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7F877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0A629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37449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47348</w:t>
            </w:r>
          </w:p>
        </w:tc>
        <w:tc>
          <w:tcPr>
            <w:tcW w:w="1134" w:type="dxa"/>
          </w:tcPr>
          <w:p w14:paraId="4F4560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8BEA8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53AEB3B" w14:textId="77777777" w:rsidTr="00743919">
        <w:trPr>
          <w:trHeight w:val="302"/>
        </w:trPr>
        <w:tc>
          <w:tcPr>
            <w:tcW w:w="1555" w:type="dxa"/>
          </w:tcPr>
          <w:p w14:paraId="0D594D8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FF9C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358B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3BF4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47351</w:t>
            </w:r>
          </w:p>
        </w:tc>
        <w:tc>
          <w:tcPr>
            <w:tcW w:w="1134" w:type="dxa"/>
          </w:tcPr>
          <w:p w14:paraId="0E0FEF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61C12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945056" w14:textId="77777777" w:rsidTr="00743919">
        <w:trPr>
          <w:trHeight w:val="302"/>
        </w:trPr>
        <w:tc>
          <w:tcPr>
            <w:tcW w:w="1555" w:type="dxa"/>
          </w:tcPr>
          <w:p w14:paraId="405EDA8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1F31B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7F6E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1B49B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47354</w:t>
            </w:r>
          </w:p>
        </w:tc>
        <w:tc>
          <w:tcPr>
            <w:tcW w:w="1134" w:type="dxa"/>
          </w:tcPr>
          <w:p w14:paraId="18C18E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7C09E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C91B97" w14:textId="77777777" w:rsidTr="00743919">
        <w:trPr>
          <w:trHeight w:val="302"/>
        </w:trPr>
        <w:tc>
          <w:tcPr>
            <w:tcW w:w="1555" w:type="dxa"/>
          </w:tcPr>
          <w:p w14:paraId="15DACB4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5B573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D1925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8D320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47357</w:t>
            </w:r>
          </w:p>
        </w:tc>
        <w:tc>
          <w:tcPr>
            <w:tcW w:w="1134" w:type="dxa"/>
          </w:tcPr>
          <w:p w14:paraId="0684FE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736F7B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2D90F9" w14:textId="77777777" w:rsidTr="00743919">
        <w:trPr>
          <w:trHeight w:val="302"/>
        </w:trPr>
        <w:tc>
          <w:tcPr>
            <w:tcW w:w="1555" w:type="dxa"/>
          </w:tcPr>
          <w:p w14:paraId="083444F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46EB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3C4C4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B3FF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47360</w:t>
            </w:r>
          </w:p>
        </w:tc>
        <w:tc>
          <w:tcPr>
            <w:tcW w:w="1134" w:type="dxa"/>
          </w:tcPr>
          <w:p w14:paraId="7A5616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3B46FB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526051" w14:textId="77777777" w:rsidTr="00743919">
        <w:trPr>
          <w:trHeight w:val="302"/>
        </w:trPr>
        <w:tc>
          <w:tcPr>
            <w:tcW w:w="1555" w:type="dxa"/>
          </w:tcPr>
          <w:p w14:paraId="0B1F78B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6729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C2FE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CB76A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47375</w:t>
            </w:r>
          </w:p>
        </w:tc>
        <w:tc>
          <w:tcPr>
            <w:tcW w:w="1134" w:type="dxa"/>
          </w:tcPr>
          <w:p w14:paraId="638A10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297603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68941F" w14:textId="77777777" w:rsidTr="00743919">
        <w:trPr>
          <w:trHeight w:val="302"/>
        </w:trPr>
        <w:tc>
          <w:tcPr>
            <w:tcW w:w="1555" w:type="dxa"/>
          </w:tcPr>
          <w:p w14:paraId="2745CA7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74CB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BCA8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2A10B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47726</w:t>
            </w:r>
          </w:p>
        </w:tc>
        <w:tc>
          <w:tcPr>
            <w:tcW w:w="1134" w:type="dxa"/>
          </w:tcPr>
          <w:p w14:paraId="773125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7C237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E826859" w14:textId="77777777" w:rsidTr="00743919">
        <w:trPr>
          <w:trHeight w:val="302"/>
        </w:trPr>
        <w:tc>
          <w:tcPr>
            <w:tcW w:w="1555" w:type="dxa"/>
          </w:tcPr>
          <w:p w14:paraId="13073C9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ABF9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8A71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3C99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47729</w:t>
            </w:r>
          </w:p>
        </w:tc>
        <w:tc>
          <w:tcPr>
            <w:tcW w:w="1134" w:type="dxa"/>
          </w:tcPr>
          <w:p w14:paraId="34D85B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B476F3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DBDF47B" w14:textId="77777777" w:rsidTr="00743919">
        <w:trPr>
          <w:trHeight w:val="302"/>
        </w:trPr>
        <w:tc>
          <w:tcPr>
            <w:tcW w:w="1555" w:type="dxa"/>
          </w:tcPr>
          <w:p w14:paraId="5BE9F06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B78F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4F9DE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0E4DF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47732</w:t>
            </w:r>
          </w:p>
        </w:tc>
        <w:tc>
          <w:tcPr>
            <w:tcW w:w="1134" w:type="dxa"/>
          </w:tcPr>
          <w:p w14:paraId="575A20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793D77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DAD2C84" w14:textId="77777777" w:rsidTr="00743919">
        <w:trPr>
          <w:trHeight w:val="302"/>
        </w:trPr>
        <w:tc>
          <w:tcPr>
            <w:tcW w:w="1555" w:type="dxa"/>
          </w:tcPr>
          <w:p w14:paraId="3B58DD0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B239D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4F90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76FB0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47904</w:t>
            </w:r>
          </w:p>
        </w:tc>
        <w:tc>
          <w:tcPr>
            <w:tcW w:w="1134" w:type="dxa"/>
          </w:tcPr>
          <w:p w14:paraId="62C92C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C549C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7622C51" w14:textId="77777777" w:rsidTr="00743919">
        <w:trPr>
          <w:trHeight w:val="302"/>
        </w:trPr>
        <w:tc>
          <w:tcPr>
            <w:tcW w:w="1555" w:type="dxa"/>
          </w:tcPr>
          <w:p w14:paraId="5791A52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978F9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111D9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4D39C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47912</w:t>
            </w:r>
          </w:p>
        </w:tc>
        <w:tc>
          <w:tcPr>
            <w:tcW w:w="1134" w:type="dxa"/>
          </w:tcPr>
          <w:p w14:paraId="652540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12BC6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47C37AC" w14:textId="77777777" w:rsidTr="00743919">
        <w:trPr>
          <w:trHeight w:val="302"/>
        </w:trPr>
        <w:tc>
          <w:tcPr>
            <w:tcW w:w="1555" w:type="dxa"/>
          </w:tcPr>
          <w:p w14:paraId="3C4B04C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0423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D12A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5579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47915</w:t>
            </w:r>
          </w:p>
        </w:tc>
        <w:tc>
          <w:tcPr>
            <w:tcW w:w="1134" w:type="dxa"/>
          </w:tcPr>
          <w:p w14:paraId="2B15BA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B8EE88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29C9170" w14:textId="77777777" w:rsidTr="00743919">
        <w:trPr>
          <w:trHeight w:val="302"/>
        </w:trPr>
        <w:tc>
          <w:tcPr>
            <w:tcW w:w="1555" w:type="dxa"/>
          </w:tcPr>
          <w:p w14:paraId="1C70A23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0C04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025D5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68EEE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47921</w:t>
            </w:r>
          </w:p>
        </w:tc>
        <w:tc>
          <w:tcPr>
            <w:tcW w:w="1134" w:type="dxa"/>
          </w:tcPr>
          <w:p w14:paraId="646EE8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DD6C05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F8A3824" w14:textId="77777777" w:rsidTr="00743919">
        <w:trPr>
          <w:trHeight w:val="302"/>
        </w:trPr>
        <w:tc>
          <w:tcPr>
            <w:tcW w:w="1555" w:type="dxa"/>
          </w:tcPr>
          <w:p w14:paraId="4B84170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7461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CC2DE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AD780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47927</w:t>
            </w:r>
          </w:p>
        </w:tc>
        <w:tc>
          <w:tcPr>
            <w:tcW w:w="1134" w:type="dxa"/>
          </w:tcPr>
          <w:p w14:paraId="186F35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58B7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F0109B9" w14:textId="77777777" w:rsidTr="00743919">
        <w:trPr>
          <w:trHeight w:val="302"/>
        </w:trPr>
        <w:tc>
          <w:tcPr>
            <w:tcW w:w="1555" w:type="dxa"/>
          </w:tcPr>
          <w:p w14:paraId="0498990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D3303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9171F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198B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47930</w:t>
            </w:r>
          </w:p>
        </w:tc>
        <w:tc>
          <w:tcPr>
            <w:tcW w:w="1134" w:type="dxa"/>
          </w:tcPr>
          <w:p w14:paraId="5A1A7F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5A3FB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871505" w14:textId="77777777" w:rsidTr="00743919">
        <w:trPr>
          <w:trHeight w:val="302"/>
        </w:trPr>
        <w:tc>
          <w:tcPr>
            <w:tcW w:w="1555" w:type="dxa"/>
          </w:tcPr>
          <w:p w14:paraId="25DED4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09A5B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CB3AA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3AFAB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47963</w:t>
            </w:r>
          </w:p>
        </w:tc>
        <w:tc>
          <w:tcPr>
            <w:tcW w:w="1134" w:type="dxa"/>
          </w:tcPr>
          <w:p w14:paraId="454F0E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4FD17C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2B15637" w14:textId="77777777" w:rsidTr="00743919">
        <w:trPr>
          <w:trHeight w:val="302"/>
        </w:trPr>
        <w:tc>
          <w:tcPr>
            <w:tcW w:w="1555" w:type="dxa"/>
          </w:tcPr>
          <w:p w14:paraId="653E633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702A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B2469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F51E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48239</w:t>
            </w:r>
          </w:p>
        </w:tc>
        <w:tc>
          <w:tcPr>
            <w:tcW w:w="1134" w:type="dxa"/>
          </w:tcPr>
          <w:p w14:paraId="3CA2EC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15706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9C8663A" w14:textId="77777777" w:rsidTr="00743919">
        <w:trPr>
          <w:trHeight w:val="302"/>
        </w:trPr>
        <w:tc>
          <w:tcPr>
            <w:tcW w:w="1555" w:type="dxa"/>
          </w:tcPr>
          <w:p w14:paraId="3845449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46508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30BD5E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19EA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48242</w:t>
            </w:r>
          </w:p>
        </w:tc>
        <w:tc>
          <w:tcPr>
            <w:tcW w:w="1134" w:type="dxa"/>
          </w:tcPr>
          <w:p w14:paraId="55355E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B6E83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0D917B8" w14:textId="77777777" w:rsidTr="00743919">
        <w:trPr>
          <w:trHeight w:val="302"/>
        </w:trPr>
        <w:tc>
          <w:tcPr>
            <w:tcW w:w="1555" w:type="dxa"/>
          </w:tcPr>
          <w:p w14:paraId="7806A96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29D57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940A0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69EC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48406</w:t>
            </w:r>
          </w:p>
        </w:tc>
        <w:tc>
          <w:tcPr>
            <w:tcW w:w="1134" w:type="dxa"/>
          </w:tcPr>
          <w:p w14:paraId="3DA2CC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99AC08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309E95A" w14:textId="77777777" w:rsidTr="00743919">
        <w:trPr>
          <w:trHeight w:val="302"/>
        </w:trPr>
        <w:tc>
          <w:tcPr>
            <w:tcW w:w="1555" w:type="dxa"/>
          </w:tcPr>
          <w:p w14:paraId="136FC06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13582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CE768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4AF76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48418</w:t>
            </w:r>
          </w:p>
        </w:tc>
        <w:tc>
          <w:tcPr>
            <w:tcW w:w="1134" w:type="dxa"/>
          </w:tcPr>
          <w:p w14:paraId="2A5C22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AEFC1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E249CE" w14:textId="77777777" w:rsidTr="00743919">
        <w:trPr>
          <w:trHeight w:val="302"/>
        </w:trPr>
        <w:tc>
          <w:tcPr>
            <w:tcW w:w="1555" w:type="dxa"/>
          </w:tcPr>
          <w:p w14:paraId="5E4A0A3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76EF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C222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CC0FE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49200</w:t>
            </w:r>
          </w:p>
        </w:tc>
        <w:tc>
          <w:tcPr>
            <w:tcW w:w="1134" w:type="dxa"/>
          </w:tcPr>
          <w:p w14:paraId="02FFFD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19C7FD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EE3898B" w14:textId="77777777" w:rsidTr="00743919">
        <w:trPr>
          <w:trHeight w:val="302"/>
        </w:trPr>
        <w:tc>
          <w:tcPr>
            <w:tcW w:w="1555" w:type="dxa"/>
          </w:tcPr>
          <w:p w14:paraId="133652B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10A3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50ED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6C6A0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49203</w:t>
            </w:r>
          </w:p>
        </w:tc>
        <w:tc>
          <w:tcPr>
            <w:tcW w:w="1134" w:type="dxa"/>
          </w:tcPr>
          <w:p w14:paraId="2D19AA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CB38AE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AEA2B0" w14:textId="77777777" w:rsidTr="00743919">
        <w:trPr>
          <w:trHeight w:val="302"/>
        </w:trPr>
        <w:tc>
          <w:tcPr>
            <w:tcW w:w="1555" w:type="dxa"/>
          </w:tcPr>
          <w:p w14:paraId="1A206EF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94EC3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DAB9B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B8280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49206</w:t>
            </w:r>
          </w:p>
        </w:tc>
        <w:tc>
          <w:tcPr>
            <w:tcW w:w="1134" w:type="dxa"/>
          </w:tcPr>
          <w:p w14:paraId="288946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62BB0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7674FE" w14:textId="77777777" w:rsidTr="00743919">
        <w:trPr>
          <w:trHeight w:val="302"/>
        </w:trPr>
        <w:tc>
          <w:tcPr>
            <w:tcW w:w="1555" w:type="dxa"/>
          </w:tcPr>
          <w:p w14:paraId="71A3FFE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9DCD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D762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4DDF09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49212</w:t>
            </w:r>
          </w:p>
        </w:tc>
        <w:tc>
          <w:tcPr>
            <w:tcW w:w="1134" w:type="dxa"/>
          </w:tcPr>
          <w:p w14:paraId="0164FE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7B764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39320B7" w14:textId="77777777" w:rsidTr="00743919">
        <w:trPr>
          <w:trHeight w:val="302"/>
        </w:trPr>
        <w:tc>
          <w:tcPr>
            <w:tcW w:w="1555" w:type="dxa"/>
          </w:tcPr>
          <w:p w14:paraId="1472ED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80A88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297D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DBB69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49215</w:t>
            </w:r>
          </w:p>
        </w:tc>
        <w:tc>
          <w:tcPr>
            <w:tcW w:w="1134" w:type="dxa"/>
          </w:tcPr>
          <w:p w14:paraId="59D146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C94CD4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60C71A" w14:textId="77777777" w:rsidTr="00743919">
        <w:trPr>
          <w:trHeight w:val="302"/>
        </w:trPr>
        <w:tc>
          <w:tcPr>
            <w:tcW w:w="1555" w:type="dxa"/>
          </w:tcPr>
          <w:p w14:paraId="3E5AC7C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ADDE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83329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DD9F8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49218</w:t>
            </w:r>
          </w:p>
        </w:tc>
        <w:tc>
          <w:tcPr>
            <w:tcW w:w="1134" w:type="dxa"/>
          </w:tcPr>
          <w:p w14:paraId="2E1E17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368C52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7DD6CE9" w14:textId="77777777" w:rsidTr="00743919">
        <w:trPr>
          <w:trHeight w:val="302"/>
        </w:trPr>
        <w:tc>
          <w:tcPr>
            <w:tcW w:w="1555" w:type="dxa"/>
          </w:tcPr>
          <w:p w14:paraId="1CC3316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74AE0C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E9D4F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126A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49221</w:t>
            </w:r>
          </w:p>
        </w:tc>
        <w:tc>
          <w:tcPr>
            <w:tcW w:w="1134" w:type="dxa"/>
          </w:tcPr>
          <w:p w14:paraId="61968A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3D5B1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422EECF" w14:textId="77777777" w:rsidTr="00743919">
        <w:trPr>
          <w:trHeight w:val="302"/>
        </w:trPr>
        <w:tc>
          <w:tcPr>
            <w:tcW w:w="1555" w:type="dxa"/>
          </w:tcPr>
          <w:p w14:paraId="44A7E6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3F13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E488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4D17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49224</w:t>
            </w:r>
          </w:p>
        </w:tc>
        <w:tc>
          <w:tcPr>
            <w:tcW w:w="1134" w:type="dxa"/>
          </w:tcPr>
          <w:p w14:paraId="308CB3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0CAEE4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3EEAE52" w14:textId="77777777" w:rsidTr="00743919">
        <w:trPr>
          <w:trHeight w:val="302"/>
        </w:trPr>
        <w:tc>
          <w:tcPr>
            <w:tcW w:w="1555" w:type="dxa"/>
          </w:tcPr>
          <w:p w14:paraId="6B3041B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5593A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0EFB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CE3E0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49227</w:t>
            </w:r>
          </w:p>
        </w:tc>
        <w:tc>
          <w:tcPr>
            <w:tcW w:w="1134" w:type="dxa"/>
          </w:tcPr>
          <w:p w14:paraId="7D27B4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4A997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65E5FF" w14:textId="77777777" w:rsidTr="00743919">
        <w:trPr>
          <w:trHeight w:val="302"/>
        </w:trPr>
        <w:tc>
          <w:tcPr>
            <w:tcW w:w="1555" w:type="dxa"/>
          </w:tcPr>
          <w:p w14:paraId="76A240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A0B1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D349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B260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50106</w:t>
            </w:r>
          </w:p>
        </w:tc>
        <w:tc>
          <w:tcPr>
            <w:tcW w:w="1134" w:type="dxa"/>
          </w:tcPr>
          <w:p w14:paraId="5E39A2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416EB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24E6F5" w14:textId="77777777" w:rsidTr="00743919">
        <w:trPr>
          <w:trHeight w:val="302"/>
        </w:trPr>
        <w:tc>
          <w:tcPr>
            <w:tcW w:w="1555" w:type="dxa"/>
          </w:tcPr>
          <w:p w14:paraId="06354DF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5FDC1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F11B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6B524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50112</w:t>
            </w:r>
          </w:p>
        </w:tc>
        <w:tc>
          <w:tcPr>
            <w:tcW w:w="1134" w:type="dxa"/>
          </w:tcPr>
          <w:p w14:paraId="4E5357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E60D0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1D34CF1" w14:textId="77777777" w:rsidTr="00743919">
        <w:trPr>
          <w:trHeight w:val="302"/>
        </w:trPr>
        <w:tc>
          <w:tcPr>
            <w:tcW w:w="1555" w:type="dxa"/>
          </w:tcPr>
          <w:p w14:paraId="09BD009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2CBCA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2020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9103E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50206</w:t>
            </w:r>
          </w:p>
        </w:tc>
        <w:tc>
          <w:tcPr>
            <w:tcW w:w="1134" w:type="dxa"/>
          </w:tcPr>
          <w:p w14:paraId="3C4F83F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1868CC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ED34F2" w14:textId="77777777" w:rsidTr="00743919">
        <w:trPr>
          <w:trHeight w:val="302"/>
        </w:trPr>
        <w:tc>
          <w:tcPr>
            <w:tcW w:w="1555" w:type="dxa"/>
          </w:tcPr>
          <w:p w14:paraId="123B783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E7EC3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02FF41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 Colorectal</w:t>
            </w:r>
          </w:p>
        </w:tc>
        <w:tc>
          <w:tcPr>
            <w:tcW w:w="992" w:type="dxa"/>
          </w:tcPr>
          <w:p w14:paraId="3AB382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32025</w:t>
            </w:r>
          </w:p>
        </w:tc>
        <w:tc>
          <w:tcPr>
            <w:tcW w:w="1134" w:type="dxa"/>
          </w:tcPr>
          <w:p w14:paraId="13B37C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B7F9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B3388B7" w14:textId="77777777" w:rsidTr="00743919">
        <w:trPr>
          <w:trHeight w:val="302"/>
        </w:trPr>
        <w:tc>
          <w:tcPr>
            <w:tcW w:w="1555" w:type="dxa"/>
          </w:tcPr>
          <w:p w14:paraId="0214ED8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7E8FDB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059BB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8B8C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32072</w:t>
            </w:r>
          </w:p>
        </w:tc>
        <w:tc>
          <w:tcPr>
            <w:tcW w:w="1134" w:type="dxa"/>
          </w:tcPr>
          <w:p w14:paraId="7D9EB6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CDCBC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F026AF" w14:textId="77777777" w:rsidTr="00743919">
        <w:trPr>
          <w:trHeight w:val="302"/>
        </w:trPr>
        <w:tc>
          <w:tcPr>
            <w:tcW w:w="1555" w:type="dxa"/>
          </w:tcPr>
          <w:p w14:paraId="1310A62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C2FF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D2DF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BC88D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32084</w:t>
            </w:r>
          </w:p>
        </w:tc>
        <w:tc>
          <w:tcPr>
            <w:tcW w:w="1134" w:type="dxa"/>
          </w:tcPr>
          <w:p w14:paraId="37D9F5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BADE5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61649D" w14:textId="77777777" w:rsidTr="00743919">
        <w:trPr>
          <w:trHeight w:val="302"/>
        </w:trPr>
        <w:tc>
          <w:tcPr>
            <w:tcW w:w="1555" w:type="dxa"/>
          </w:tcPr>
          <w:p w14:paraId="5E09168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B275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2520F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12C92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32087</w:t>
            </w:r>
          </w:p>
        </w:tc>
        <w:tc>
          <w:tcPr>
            <w:tcW w:w="1134" w:type="dxa"/>
          </w:tcPr>
          <w:p w14:paraId="25FA74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61C8C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9A90961" w14:textId="77777777" w:rsidTr="00743919">
        <w:trPr>
          <w:trHeight w:val="302"/>
        </w:trPr>
        <w:tc>
          <w:tcPr>
            <w:tcW w:w="1555" w:type="dxa"/>
          </w:tcPr>
          <w:p w14:paraId="615D87B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2CE4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58B9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3D491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32090</w:t>
            </w:r>
          </w:p>
        </w:tc>
        <w:tc>
          <w:tcPr>
            <w:tcW w:w="1134" w:type="dxa"/>
          </w:tcPr>
          <w:p w14:paraId="0CED04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BDE492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AD5094" w14:textId="77777777" w:rsidTr="00743919">
        <w:trPr>
          <w:trHeight w:val="302"/>
        </w:trPr>
        <w:tc>
          <w:tcPr>
            <w:tcW w:w="1555" w:type="dxa"/>
          </w:tcPr>
          <w:p w14:paraId="04D9885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4F0F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C1CE6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BD44E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32093</w:t>
            </w:r>
          </w:p>
        </w:tc>
        <w:tc>
          <w:tcPr>
            <w:tcW w:w="1134" w:type="dxa"/>
          </w:tcPr>
          <w:p w14:paraId="1AC1DE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846F4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FEEE31C" w14:textId="77777777" w:rsidTr="00743919">
        <w:trPr>
          <w:trHeight w:val="302"/>
        </w:trPr>
        <w:tc>
          <w:tcPr>
            <w:tcW w:w="1555" w:type="dxa"/>
          </w:tcPr>
          <w:p w14:paraId="44F9258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220E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A374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AF0F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32095</w:t>
            </w:r>
          </w:p>
        </w:tc>
        <w:tc>
          <w:tcPr>
            <w:tcW w:w="1134" w:type="dxa"/>
          </w:tcPr>
          <w:p w14:paraId="41EC6B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5F3401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99301F" w14:textId="77777777" w:rsidTr="00743919">
        <w:trPr>
          <w:trHeight w:val="302"/>
        </w:trPr>
        <w:tc>
          <w:tcPr>
            <w:tcW w:w="1555" w:type="dxa"/>
          </w:tcPr>
          <w:p w14:paraId="0A8B95D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7FF5B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6433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11999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32123</w:t>
            </w:r>
          </w:p>
        </w:tc>
        <w:tc>
          <w:tcPr>
            <w:tcW w:w="1134" w:type="dxa"/>
          </w:tcPr>
          <w:p w14:paraId="0E1C43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49BB0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A36EA2" w14:textId="77777777" w:rsidTr="00743919">
        <w:trPr>
          <w:trHeight w:val="302"/>
        </w:trPr>
        <w:tc>
          <w:tcPr>
            <w:tcW w:w="1555" w:type="dxa"/>
          </w:tcPr>
          <w:p w14:paraId="4FD7E5C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981A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E302F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A85D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32135</w:t>
            </w:r>
          </w:p>
        </w:tc>
        <w:tc>
          <w:tcPr>
            <w:tcW w:w="1134" w:type="dxa"/>
          </w:tcPr>
          <w:p w14:paraId="5B29A7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FEFFA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2FFBDC5" w14:textId="77777777" w:rsidTr="00743919">
        <w:trPr>
          <w:trHeight w:val="302"/>
        </w:trPr>
        <w:tc>
          <w:tcPr>
            <w:tcW w:w="1555" w:type="dxa"/>
          </w:tcPr>
          <w:p w14:paraId="64D80E1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FA0C4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AC79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4BAED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32142</w:t>
            </w:r>
          </w:p>
        </w:tc>
        <w:tc>
          <w:tcPr>
            <w:tcW w:w="1134" w:type="dxa"/>
          </w:tcPr>
          <w:p w14:paraId="323F4C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170E4A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0FBE4A" w14:textId="77777777" w:rsidTr="00743919">
        <w:trPr>
          <w:trHeight w:val="302"/>
        </w:trPr>
        <w:tc>
          <w:tcPr>
            <w:tcW w:w="1555" w:type="dxa"/>
          </w:tcPr>
          <w:p w14:paraId="481FFA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E426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4B8A6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AD5A0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32145</w:t>
            </w:r>
          </w:p>
        </w:tc>
        <w:tc>
          <w:tcPr>
            <w:tcW w:w="1134" w:type="dxa"/>
          </w:tcPr>
          <w:p w14:paraId="3083E6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2C8C5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0A557A" w14:textId="77777777" w:rsidTr="00743919">
        <w:trPr>
          <w:trHeight w:val="302"/>
        </w:trPr>
        <w:tc>
          <w:tcPr>
            <w:tcW w:w="1555" w:type="dxa"/>
          </w:tcPr>
          <w:p w14:paraId="260405E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3646E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EFA90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D8D02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32147</w:t>
            </w:r>
          </w:p>
        </w:tc>
        <w:tc>
          <w:tcPr>
            <w:tcW w:w="1134" w:type="dxa"/>
          </w:tcPr>
          <w:p w14:paraId="159893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4DF70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B956557" w14:textId="77777777" w:rsidTr="00743919">
        <w:trPr>
          <w:trHeight w:val="302"/>
        </w:trPr>
        <w:tc>
          <w:tcPr>
            <w:tcW w:w="1555" w:type="dxa"/>
          </w:tcPr>
          <w:p w14:paraId="2A7E21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3CF99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E4395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1BC44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32159</w:t>
            </w:r>
          </w:p>
        </w:tc>
        <w:tc>
          <w:tcPr>
            <w:tcW w:w="1134" w:type="dxa"/>
          </w:tcPr>
          <w:p w14:paraId="3EAC94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CA0E5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464432F" w14:textId="77777777" w:rsidTr="00743919">
        <w:trPr>
          <w:trHeight w:val="302"/>
        </w:trPr>
        <w:tc>
          <w:tcPr>
            <w:tcW w:w="1555" w:type="dxa"/>
          </w:tcPr>
          <w:p w14:paraId="3D5DA1E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C1A13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F76B8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98965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32174</w:t>
            </w:r>
          </w:p>
        </w:tc>
        <w:tc>
          <w:tcPr>
            <w:tcW w:w="1134" w:type="dxa"/>
          </w:tcPr>
          <w:p w14:paraId="00CBCC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56525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9CC4E18" w14:textId="77777777" w:rsidTr="00743919">
        <w:trPr>
          <w:trHeight w:val="302"/>
        </w:trPr>
        <w:tc>
          <w:tcPr>
            <w:tcW w:w="1555" w:type="dxa"/>
          </w:tcPr>
          <w:p w14:paraId="05722A6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7D21F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1DC4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7FA0F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32177</w:t>
            </w:r>
          </w:p>
        </w:tc>
        <w:tc>
          <w:tcPr>
            <w:tcW w:w="1134" w:type="dxa"/>
          </w:tcPr>
          <w:p w14:paraId="5F3DEE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5E33DF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DA61CD9" w14:textId="77777777" w:rsidTr="00743919">
        <w:trPr>
          <w:trHeight w:val="302"/>
        </w:trPr>
        <w:tc>
          <w:tcPr>
            <w:tcW w:w="1555" w:type="dxa"/>
          </w:tcPr>
          <w:p w14:paraId="0DDCDF1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D6820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BB19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AC42B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32180</w:t>
            </w:r>
          </w:p>
        </w:tc>
        <w:tc>
          <w:tcPr>
            <w:tcW w:w="1134" w:type="dxa"/>
          </w:tcPr>
          <w:p w14:paraId="52C88E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306242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793EE46" w14:textId="77777777" w:rsidTr="00743919">
        <w:trPr>
          <w:trHeight w:val="302"/>
        </w:trPr>
        <w:tc>
          <w:tcPr>
            <w:tcW w:w="1555" w:type="dxa"/>
          </w:tcPr>
          <w:p w14:paraId="78AD96A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79A5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CD98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6331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32186</w:t>
            </w:r>
          </w:p>
        </w:tc>
        <w:tc>
          <w:tcPr>
            <w:tcW w:w="1134" w:type="dxa"/>
          </w:tcPr>
          <w:p w14:paraId="456128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4BD76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086B12" w14:textId="77777777" w:rsidTr="00743919">
        <w:trPr>
          <w:trHeight w:val="302"/>
        </w:trPr>
        <w:tc>
          <w:tcPr>
            <w:tcW w:w="1555" w:type="dxa"/>
          </w:tcPr>
          <w:p w14:paraId="3128DB6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776E9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E0D66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 Vascular</w:t>
            </w:r>
          </w:p>
        </w:tc>
        <w:tc>
          <w:tcPr>
            <w:tcW w:w="992" w:type="dxa"/>
          </w:tcPr>
          <w:p w14:paraId="078D5C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34528</w:t>
            </w:r>
          </w:p>
        </w:tc>
        <w:tc>
          <w:tcPr>
            <w:tcW w:w="1134" w:type="dxa"/>
          </w:tcPr>
          <w:p w14:paraId="5519A7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48EF1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3198A3" w14:textId="77777777" w:rsidTr="00743919">
        <w:trPr>
          <w:trHeight w:val="302"/>
        </w:trPr>
        <w:tc>
          <w:tcPr>
            <w:tcW w:w="1555" w:type="dxa"/>
          </w:tcPr>
          <w:p w14:paraId="170049B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1993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D4EC02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4 Gynaecological</w:t>
            </w:r>
          </w:p>
        </w:tc>
        <w:tc>
          <w:tcPr>
            <w:tcW w:w="992" w:type="dxa"/>
          </w:tcPr>
          <w:p w14:paraId="612D71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35500</w:t>
            </w:r>
          </w:p>
        </w:tc>
        <w:tc>
          <w:tcPr>
            <w:tcW w:w="1134" w:type="dxa"/>
          </w:tcPr>
          <w:p w14:paraId="27664E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E50D0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AEB35E" w14:textId="77777777" w:rsidTr="00743919">
        <w:trPr>
          <w:trHeight w:val="302"/>
        </w:trPr>
        <w:tc>
          <w:tcPr>
            <w:tcW w:w="1555" w:type="dxa"/>
          </w:tcPr>
          <w:p w14:paraId="69B98FE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ED2D0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89BB6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8AC24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35503</w:t>
            </w:r>
          </w:p>
        </w:tc>
        <w:tc>
          <w:tcPr>
            <w:tcW w:w="1134" w:type="dxa"/>
          </w:tcPr>
          <w:p w14:paraId="1F00F5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C9AA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79860FD" w14:textId="77777777" w:rsidTr="00743919">
        <w:trPr>
          <w:trHeight w:val="302"/>
        </w:trPr>
        <w:tc>
          <w:tcPr>
            <w:tcW w:w="1555" w:type="dxa"/>
          </w:tcPr>
          <w:p w14:paraId="0223E74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6B8B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DCDD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34FF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35506</w:t>
            </w:r>
          </w:p>
        </w:tc>
        <w:tc>
          <w:tcPr>
            <w:tcW w:w="1134" w:type="dxa"/>
          </w:tcPr>
          <w:p w14:paraId="7636B9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6FC9A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1225058" w14:textId="77777777" w:rsidTr="00743919">
        <w:trPr>
          <w:trHeight w:val="302"/>
        </w:trPr>
        <w:tc>
          <w:tcPr>
            <w:tcW w:w="1555" w:type="dxa"/>
          </w:tcPr>
          <w:p w14:paraId="0BCDA8C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D065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DC95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D586B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35507</w:t>
            </w:r>
          </w:p>
        </w:tc>
        <w:tc>
          <w:tcPr>
            <w:tcW w:w="1134" w:type="dxa"/>
          </w:tcPr>
          <w:p w14:paraId="14319C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41107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EBC61D" w14:textId="77777777" w:rsidTr="00743919">
        <w:trPr>
          <w:trHeight w:val="302"/>
        </w:trPr>
        <w:tc>
          <w:tcPr>
            <w:tcW w:w="1555" w:type="dxa"/>
          </w:tcPr>
          <w:p w14:paraId="0C711E0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98E4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687CD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2DB00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35539</w:t>
            </w:r>
          </w:p>
        </w:tc>
        <w:tc>
          <w:tcPr>
            <w:tcW w:w="1134" w:type="dxa"/>
          </w:tcPr>
          <w:p w14:paraId="469BC6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115806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D0AF0C" w14:textId="77777777" w:rsidTr="00743919">
        <w:trPr>
          <w:trHeight w:val="302"/>
        </w:trPr>
        <w:tc>
          <w:tcPr>
            <w:tcW w:w="1555" w:type="dxa"/>
          </w:tcPr>
          <w:p w14:paraId="401C001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3BEC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E491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A9D6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35545</w:t>
            </w:r>
          </w:p>
        </w:tc>
        <w:tc>
          <w:tcPr>
            <w:tcW w:w="1134" w:type="dxa"/>
          </w:tcPr>
          <w:p w14:paraId="5B86C5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41C93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47C449" w14:textId="77777777" w:rsidTr="00743919">
        <w:trPr>
          <w:trHeight w:val="302"/>
        </w:trPr>
        <w:tc>
          <w:tcPr>
            <w:tcW w:w="1555" w:type="dxa"/>
          </w:tcPr>
          <w:p w14:paraId="7AD8536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053D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C25E2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474D8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35608</w:t>
            </w:r>
          </w:p>
        </w:tc>
        <w:tc>
          <w:tcPr>
            <w:tcW w:w="1134" w:type="dxa"/>
          </w:tcPr>
          <w:p w14:paraId="01A4F9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103D67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F772AF" w14:textId="77777777" w:rsidTr="00743919">
        <w:trPr>
          <w:trHeight w:val="302"/>
        </w:trPr>
        <w:tc>
          <w:tcPr>
            <w:tcW w:w="1555" w:type="dxa"/>
          </w:tcPr>
          <w:p w14:paraId="0B42122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C02E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D507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7F25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35611</w:t>
            </w:r>
          </w:p>
        </w:tc>
        <w:tc>
          <w:tcPr>
            <w:tcW w:w="1134" w:type="dxa"/>
          </w:tcPr>
          <w:p w14:paraId="12E0B4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17858E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1C8E51" w14:textId="77777777" w:rsidTr="00743919">
        <w:trPr>
          <w:trHeight w:val="302"/>
        </w:trPr>
        <w:tc>
          <w:tcPr>
            <w:tcW w:w="1555" w:type="dxa"/>
          </w:tcPr>
          <w:p w14:paraId="7FF7521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15A7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D832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40E69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35614</w:t>
            </w:r>
          </w:p>
        </w:tc>
        <w:tc>
          <w:tcPr>
            <w:tcW w:w="1134" w:type="dxa"/>
          </w:tcPr>
          <w:p w14:paraId="07F114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BDD83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DDA25B" w14:textId="77777777" w:rsidTr="00743919">
        <w:trPr>
          <w:trHeight w:val="302"/>
        </w:trPr>
        <w:tc>
          <w:tcPr>
            <w:tcW w:w="1555" w:type="dxa"/>
          </w:tcPr>
          <w:p w14:paraId="6E8CBF8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9D3D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33D96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CC217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35615</w:t>
            </w:r>
          </w:p>
        </w:tc>
        <w:tc>
          <w:tcPr>
            <w:tcW w:w="1134" w:type="dxa"/>
          </w:tcPr>
          <w:p w14:paraId="1D0922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80AF9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B6A9EB8" w14:textId="77777777" w:rsidTr="00743919">
        <w:trPr>
          <w:trHeight w:val="302"/>
        </w:trPr>
        <w:tc>
          <w:tcPr>
            <w:tcW w:w="1555" w:type="dxa"/>
          </w:tcPr>
          <w:p w14:paraId="5AAA36C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F0375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C79A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8533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35620</w:t>
            </w:r>
          </w:p>
        </w:tc>
        <w:tc>
          <w:tcPr>
            <w:tcW w:w="1134" w:type="dxa"/>
          </w:tcPr>
          <w:p w14:paraId="67170F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AB7775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467D3E" w14:textId="77777777" w:rsidTr="00743919">
        <w:trPr>
          <w:trHeight w:val="302"/>
        </w:trPr>
        <w:tc>
          <w:tcPr>
            <w:tcW w:w="1555" w:type="dxa"/>
          </w:tcPr>
          <w:p w14:paraId="7457EFC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95A3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3A088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ACE9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35630</w:t>
            </w:r>
          </w:p>
        </w:tc>
        <w:tc>
          <w:tcPr>
            <w:tcW w:w="1134" w:type="dxa"/>
          </w:tcPr>
          <w:p w14:paraId="0487BD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857E2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36DB536" w14:textId="77777777" w:rsidTr="00743919">
        <w:trPr>
          <w:trHeight w:val="302"/>
        </w:trPr>
        <w:tc>
          <w:tcPr>
            <w:tcW w:w="1555" w:type="dxa"/>
          </w:tcPr>
          <w:p w14:paraId="6D3F758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8CE3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03AA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B705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35634</w:t>
            </w:r>
          </w:p>
        </w:tc>
        <w:tc>
          <w:tcPr>
            <w:tcW w:w="1134" w:type="dxa"/>
          </w:tcPr>
          <w:p w14:paraId="396B9B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03103D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3C7777" w14:textId="77777777" w:rsidTr="00743919">
        <w:trPr>
          <w:trHeight w:val="302"/>
        </w:trPr>
        <w:tc>
          <w:tcPr>
            <w:tcW w:w="1555" w:type="dxa"/>
          </w:tcPr>
          <w:p w14:paraId="42CDAB9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3B90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12FDC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A9F4D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35639</w:t>
            </w:r>
          </w:p>
        </w:tc>
        <w:tc>
          <w:tcPr>
            <w:tcW w:w="1134" w:type="dxa"/>
          </w:tcPr>
          <w:p w14:paraId="0C62AD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9E0B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D79C48" w14:textId="77777777" w:rsidTr="00743919">
        <w:trPr>
          <w:trHeight w:val="302"/>
        </w:trPr>
        <w:tc>
          <w:tcPr>
            <w:tcW w:w="1555" w:type="dxa"/>
          </w:tcPr>
          <w:p w14:paraId="4CBFC71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4522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4D74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56A8F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35643</w:t>
            </w:r>
          </w:p>
        </w:tc>
        <w:tc>
          <w:tcPr>
            <w:tcW w:w="1134" w:type="dxa"/>
          </w:tcPr>
          <w:p w14:paraId="640C83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29A62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2B9ACB" w14:textId="77777777" w:rsidTr="00743919">
        <w:trPr>
          <w:trHeight w:val="302"/>
        </w:trPr>
        <w:tc>
          <w:tcPr>
            <w:tcW w:w="1555" w:type="dxa"/>
          </w:tcPr>
          <w:p w14:paraId="69932A8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D37B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47CDC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5 Urological</w:t>
            </w:r>
          </w:p>
        </w:tc>
        <w:tc>
          <w:tcPr>
            <w:tcW w:w="992" w:type="dxa"/>
          </w:tcPr>
          <w:p w14:paraId="6EAD5E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37000</w:t>
            </w:r>
          </w:p>
        </w:tc>
        <w:tc>
          <w:tcPr>
            <w:tcW w:w="1134" w:type="dxa"/>
          </w:tcPr>
          <w:p w14:paraId="0C0392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0139A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7991A1" w14:textId="77777777" w:rsidTr="00743919">
        <w:trPr>
          <w:trHeight w:val="302"/>
        </w:trPr>
        <w:tc>
          <w:tcPr>
            <w:tcW w:w="1555" w:type="dxa"/>
          </w:tcPr>
          <w:p w14:paraId="22DE1AA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DB1C6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2226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122BD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37315</w:t>
            </w:r>
          </w:p>
        </w:tc>
        <w:tc>
          <w:tcPr>
            <w:tcW w:w="1134" w:type="dxa"/>
          </w:tcPr>
          <w:p w14:paraId="2CDACC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D8EF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60FC3D" w14:textId="77777777" w:rsidTr="00743919">
        <w:trPr>
          <w:trHeight w:val="302"/>
        </w:trPr>
        <w:tc>
          <w:tcPr>
            <w:tcW w:w="1555" w:type="dxa"/>
          </w:tcPr>
          <w:p w14:paraId="3BD4C1E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2085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AB88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DAA2C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37415</w:t>
            </w:r>
          </w:p>
        </w:tc>
        <w:tc>
          <w:tcPr>
            <w:tcW w:w="1134" w:type="dxa"/>
          </w:tcPr>
          <w:p w14:paraId="346CBE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D1D8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DF4DA3" w14:textId="77777777" w:rsidTr="00743919">
        <w:trPr>
          <w:trHeight w:val="302"/>
        </w:trPr>
        <w:tc>
          <w:tcPr>
            <w:tcW w:w="1555" w:type="dxa"/>
          </w:tcPr>
          <w:p w14:paraId="76B9A1D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820A9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9DE50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0B1D7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37418</w:t>
            </w:r>
          </w:p>
        </w:tc>
        <w:tc>
          <w:tcPr>
            <w:tcW w:w="1134" w:type="dxa"/>
          </w:tcPr>
          <w:p w14:paraId="21B23A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6CFAD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9D08A97" w14:textId="77777777" w:rsidTr="00743919">
        <w:trPr>
          <w:trHeight w:val="302"/>
        </w:trPr>
        <w:tc>
          <w:tcPr>
            <w:tcW w:w="1555" w:type="dxa"/>
          </w:tcPr>
          <w:p w14:paraId="59B2500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B46F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D1B48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ABC27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37435</w:t>
            </w:r>
          </w:p>
        </w:tc>
        <w:tc>
          <w:tcPr>
            <w:tcW w:w="1134" w:type="dxa"/>
          </w:tcPr>
          <w:p w14:paraId="6F336D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305350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DDD400" w14:textId="77777777" w:rsidTr="00743919">
        <w:trPr>
          <w:trHeight w:val="302"/>
        </w:trPr>
        <w:tc>
          <w:tcPr>
            <w:tcW w:w="1555" w:type="dxa"/>
          </w:tcPr>
          <w:p w14:paraId="7061810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A07A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2775D0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6 Cardio-Thoracic</w:t>
            </w:r>
          </w:p>
        </w:tc>
        <w:tc>
          <w:tcPr>
            <w:tcW w:w="992" w:type="dxa"/>
          </w:tcPr>
          <w:p w14:paraId="0839A02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38246</w:t>
            </w:r>
          </w:p>
        </w:tc>
        <w:tc>
          <w:tcPr>
            <w:tcW w:w="1134" w:type="dxa"/>
          </w:tcPr>
          <w:p w14:paraId="25C0D4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1AE9D8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1A5CC93" w14:textId="77777777" w:rsidTr="00743919">
        <w:trPr>
          <w:trHeight w:val="302"/>
        </w:trPr>
        <w:tc>
          <w:tcPr>
            <w:tcW w:w="1555" w:type="dxa"/>
          </w:tcPr>
          <w:p w14:paraId="231AF85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B6E4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F7BE2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BF70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38256</w:t>
            </w:r>
          </w:p>
        </w:tc>
        <w:tc>
          <w:tcPr>
            <w:tcW w:w="1134" w:type="dxa"/>
          </w:tcPr>
          <w:p w14:paraId="114EBD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B57DB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A96B63" w14:textId="77777777" w:rsidTr="00743919">
        <w:trPr>
          <w:trHeight w:val="302"/>
        </w:trPr>
        <w:tc>
          <w:tcPr>
            <w:tcW w:w="1555" w:type="dxa"/>
          </w:tcPr>
          <w:p w14:paraId="20A5E21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6E074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CF6C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7434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38306</w:t>
            </w:r>
          </w:p>
        </w:tc>
        <w:tc>
          <w:tcPr>
            <w:tcW w:w="1134" w:type="dxa"/>
          </w:tcPr>
          <w:p w14:paraId="480B74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A8A53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F55B9A" w14:textId="77777777" w:rsidTr="00743919">
        <w:trPr>
          <w:trHeight w:val="302"/>
        </w:trPr>
        <w:tc>
          <w:tcPr>
            <w:tcW w:w="1555" w:type="dxa"/>
          </w:tcPr>
          <w:p w14:paraId="29898F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4F45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52911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39A77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38350</w:t>
            </w:r>
          </w:p>
        </w:tc>
        <w:tc>
          <w:tcPr>
            <w:tcW w:w="1134" w:type="dxa"/>
          </w:tcPr>
          <w:p w14:paraId="27DD81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CA88F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6E89822" w14:textId="77777777" w:rsidTr="00743919">
        <w:trPr>
          <w:trHeight w:val="302"/>
        </w:trPr>
        <w:tc>
          <w:tcPr>
            <w:tcW w:w="1555" w:type="dxa"/>
          </w:tcPr>
          <w:p w14:paraId="72C7DDC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9372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B922C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1D37F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38353</w:t>
            </w:r>
          </w:p>
        </w:tc>
        <w:tc>
          <w:tcPr>
            <w:tcW w:w="1134" w:type="dxa"/>
          </w:tcPr>
          <w:p w14:paraId="69D522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A8CDB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358368D" w14:textId="77777777" w:rsidTr="00743919">
        <w:trPr>
          <w:trHeight w:val="302"/>
        </w:trPr>
        <w:tc>
          <w:tcPr>
            <w:tcW w:w="1555" w:type="dxa"/>
          </w:tcPr>
          <w:p w14:paraId="3421221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25F9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9DF2E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FA80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38356</w:t>
            </w:r>
          </w:p>
        </w:tc>
        <w:tc>
          <w:tcPr>
            <w:tcW w:w="1134" w:type="dxa"/>
          </w:tcPr>
          <w:p w14:paraId="32297B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C7C305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A9C15FD" w14:textId="77777777" w:rsidTr="00743919">
        <w:trPr>
          <w:trHeight w:val="302"/>
        </w:trPr>
        <w:tc>
          <w:tcPr>
            <w:tcW w:w="1555" w:type="dxa"/>
          </w:tcPr>
          <w:p w14:paraId="2A31A64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C3B5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1F57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560DC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38803</w:t>
            </w:r>
          </w:p>
        </w:tc>
        <w:tc>
          <w:tcPr>
            <w:tcW w:w="1134" w:type="dxa"/>
          </w:tcPr>
          <w:p w14:paraId="3FFBC5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8DC685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AFF469" w14:textId="77777777" w:rsidTr="00743919">
        <w:trPr>
          <w:trHeight w:val="302"/>
        </w:trPr>
        <w:tc>
          <w:tcPr>
            <w:tcW w:w="1555" w:type="dxa"/>
          </w:tcPr>
          <w:p w14:paraId="51048E2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CF83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0425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1273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38806</w:t>
            </w:r>
          </w:p>
        </w:tc>
        <w:tc>
          <w:tcPr>
            <w:tcW w:w="1134" w:type="dxa"/>
          </w:tcPr>
          <w:p w14:paraId="52E50A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7D0C20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D7CC659" w14:textId="77777777" w:rsidTr="00743919">
        <w:trPr>
          <w:trHeight w:val="302"/>
        </w:trPr>
        <w:tc>
          <w:tcPr>
            <w:tcW w:w="1555" w:type="dxa"/>
          </w:tcPr>
          <w:p w14:paraId="1F403BA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E3C87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2239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7 Neurosurgical</w:t>
            </w:r>
          </w:p>
        </w:tc>
        <w:tc>
          <w:tcPr>
            <w:tcW w:w="992" w:type="dxa"/>
          </w:tcPr>
          <w:p w14:paraId="02FE22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39000</w:t>
            </w:r>
          </w:p>
        </w:tc>
        <w:tc>
          <w:tcPr>
            <w:tcW w:w="1134" w:type="dxa"/>
          </w:tcPr>
          <w:p w14:paraId="6A6D6B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C1BD0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1B83ED" w14:textId="77777777" w:rsidTr="00743919">
        <w:trPr>
          <w:trHeight w:val="302"/>
        </w:trPr>
        <w:tc>
          <w:tcPr>
            <w:tcW w:w="1555" w:type="dxa"/>
          </w:tcPr>
          <w:p w14:paraId="16D22F4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86BC9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A1180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869D2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39300</w:t>
            </w:r>
          </w:p>
        </w:tc>
        <w:tc>
          <w:tcPr>
            <w:tcW w:w="1134" w:type="dxa"/>
          </w:tcPr>
          <w:p w14:paraId="2346A3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7EAF08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C13C484" w14:textId="77777777" w:rsidTr="00743919">
        <w:trPr>
          <w:trHeight w:val="302"/>
        </w:trPr>
        <w:tc>
          <w:tcPr>
            <w:tcW w:w="1555" w:type="dxa"/>
          </w:tcPr>
          <w:p w14:paraId="29A0FD1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1ABE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1523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EFBAA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39303</w:t>
            </w:r>
          </w:p>
        </w:tc>
        <w:tc>
          <w:tcPr>
            <w:tcW w:w="1134" w:type="dxa"/>
          </w:tcPr>
          <w:p w14:paraId="47C489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9E973F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83E99D" w14:textId="77777777" w:rsidTr="00743919">
        <w:trPr>
          <w:trHeight w:val="302"/>
        </w:trPr>
        <w:tc>
          <w:tcPr>
            <w:tcW w:w="1555" w:type="dxa"/>
          </w:tcPr>
          <w:p w14:paraId="4D66F5B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ED27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20D5D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5CAE0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39306</w:t>
            </w:r>
          </w:p>
        </w:tc>
        <w:tc>
          <w:tcPr>
            <w:tcW w:w="1134" w:type="dxa"/>
          </w:tcPr>
          <w:p w14:paraId="632050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9C96DB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B7BDFBC" w14:textId="77777777" w:rsidTr="00743919">
        <w:trPr>
          <w:trHeight w:val="302"/>
        </w:trPr>
        <w:tc>
          <w:tcPr>
            <w:tcW w:w="1555" w:type="dxa"/>
          </w:tcPr>
          <w:p w14:paraId="32A612D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2D7D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43B18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A348C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39312</w:t>
            </w:r>
          </w:p>
        </w:tc>
        <w:tc>
          <w:tcPr>
            <w:tcW w:w="1134" w:type="dxa"/>
          </w:tcPr>
          <w:p w14:paraId="6CEDC5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8BDFC1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EE32A7" w14:textId="77777777" w:rsidTr="00743919">
        <w:trPr>
          <w:trHeight w:val="302"/>
        </w:trPr>
        <w:tc>
          <w:tcPr>
            <w:tcW w:w="1555" w:type="dxa"/>
          </w:tcPr>
          <w:p w14:paraId="4A42F4C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5B478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820E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3638A2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39318</w:t>
            </w:r>
          </w:p>
        </w:tc>
        <w:tc>
          <w:tcPr>
            <w:tcW w:w="1134" w:type="dxa"/>
          </w:tcPr>
          <w:p w14:paraId="2CB704E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44407D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34579F" w14:textId="77777777" w:rsidTr="00743919">
        <w:trPr>
          <w:trHeight w:val="302"/>
        </w:trPr>
        <w:tc>
          <w:tcPr>
            <w:tcW w:w="1555" w:type="dxa"/>
          </w:tcPr>
          <w:p w14:paraId="0D19FF3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5FE2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E7E51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F07B1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39321</w:t>
            </w:r>
          </w:p>
        </w:tc>
        <w:tc>
          <w:tcPr>
            <w:tcW w:w="1134" w:type="dxa"/>
          </w:tcPr>
          <w:p w14:paraId="253228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39B07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3138BDC" w14:textId="77777777" w:rsidTr="00743919">
        <w:trPr>
          <w:trHeight w:val="302"/>
        </w:trPr>
        <w:tc>
          <w:tcPr>
            <w:tcW w:w="1555" w:type="dxa"/>
          </w:tcPr>
          <w:p w14:paraId="431228A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AAF84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830A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3180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39327</w:t>
            </w:r>
          </w:p>
        </w:tc>
        <w:tc>
          <w:tcPr>
            <w:tcW w:w="1134" w:type="dxa"/>
          </w:tcPr>
          <w:p w14:paraId="061127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B1AED6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32BD77" w14:textId="77777777" w:rsidTr="00743919">
        <w:trPr>
          <w:trHeight w:val="302"/>
        </w:trPr>
        <w:tc>
          <w:tcPr>
            <w:tcW w:w="1555" w:type="dxa"/>
          </w:tcPr>
          <w:p w14:paraId="0FE9440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2E370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A5F9B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0DFE4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39330</w:t>
            </w:r>
          </w:p>
        </w:tc>
        <w:tc>
          <w:tcPr>
            <w:tcW w:w="1134" w:type="dxa"/>
          </w:tcPr>
          <w:p w14:paraId="585EC5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BEF7B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C08CD3" w14:textId="77777777" w:rsidTr="00743919">
        <w:trPr>
          <w:trHeight w:val="302"/>
        </w:trPr>
        <w:tc>
          <w:tcPr>
            <w:tcW w:w="1555" w:type="dxa"/>
          </w:tcPr>
          <w:p w14:paraId="609B53B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1E7C3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4BFF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8FD8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39331</w:t>
            </w:r>
          </w:p>
        </w:tc>
        <w:tc>
          <w:tcPr>
            <w:tcW w:w="1134" w:type="dxa"/>
          </w:tcPr>
          <w:p w14:paraId="3A65A8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8F04C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A5B903F" w14:textId="77777777" w:rsidTr="00743919">
        <w:trPr>
          <w:trHeight w:val="302"/>
        </w:trPr>
        <w:tc>
          <w:tcPr>
            <w:tcW w:w="1555" w:type="dxa"/>
          </w:tcPr>
          <w:p w14:paraId="26E767C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683F6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8937B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8 Ear, Nose and Throat</w:t>
            </w:r>
          </w:p>
        </w:tc>
        <w:tc>
          <w:tcPr>
            <w:tcW w:w="992" w:type="dxa"/>
          </w:tcPr>
          <w:p w14:paraId="2E2AD6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41764</w:t>
            </w:r>
          </w:p>
        </w:tc>
        <w:tc>
          <w:tcPr>
            <w:tcW w:w="1134" w:type="dxa"/>
          </w:tcPr>
          <w:p w14:paraId="3C6731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DEE0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9419C8F" w14:textId="77777777" w:rsidTr="00743919">
        <w:trPr>
          <w:trHeight w:val="302"/>
        </w:trPr>
        <w:tc>
          <w:tcPr>
            <w:tcW w:w="1555" w:type="dxa"/>
          </w:tcPr>
          <w:p w14:paraId="35B996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BE1E9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4CFAC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14E7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41819</w:t>
            </w:r>
          </w:p>
        </w:tc>
        <w:tc>
          <w:tcPr>
            <w:tcW w:w="1134" w:type="dxa"/>
          </w:tcPr>
          <w:p w14:paraId="02F266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43B9F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2C0627" w14:textId="77777777" w:rsidTr="00743919">
        <w:trPr>
          <w:trHeight w:val="302"/>
        </w:trPr>
        <w:tc>
          <w:tcPr>
            <w:tcW w:w="1555" w:type="dxa"/>
          </w:tcPr>
          <w:p w14:paraId="751FFF6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95EA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3F35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F83D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41889</w:t>
            </w:r>
          </w:p>
        </w:tc>
        <w:tc>
          <w:tcPr>
            <w:tcW w:w="1134" w:type="dxa"/>
          </w:tcPr>
          <w:p w14:paraId="5A696C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7BD1C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74E0ABE" w14:textId="77777777" w:rsidTr="00743919">
        <w:trPr>
          <w:trHeight w:val="302"/>
        </w:trPr>
        <w:tc>
          <w:tcPr>
            <w:tcW w:w="1555" w:type="dxa"/>
          </w:tcPr>
          <w:p w14:paraId="39F4E2D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2AFB9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6BA0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DF113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41892</w:t>
            </w:r>
          </w:p>
        </w:tc>
        <w:tc>
          <w:tcPr>
            <w:tcW w:w="1134" w:type="dxa"/>
          </w:tcPr>
          <w:p w14:paraId="24800D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F8D359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D902C0" w14:textId="77777777" w:rsidTr="00743919">
        <w:trPr>
          <w:trHeight w:val="302"/>
        </w:trPr>
        <w:tc>
          <w:tcPr>
            <w:tcW w:w="1555" w:type="dxa"/>
          </w:tcPr>
          <w:p w14:paraId="17FF04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D6BB8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8897B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9 Ophthalmology</w:t>
            </w:r>
          </w:p>
        </w:tc>
        <w:tc>
          <w:tcPr>
            <w:tcW w:w="992" w:type="dxa"/>
          </w:tcPr>
          <w:p w14:paraId="6D66B7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42503</w:t>
            </w:r>
          </w:p>
        </w:tc>
        <w:tc>
          <w:tcPr>
            <w:tcW w:w="1134" w:type="dxa"/>
          </w:tcPr>
          <w:p w14:paraId="18932B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E8DFA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B4C8F0" w14:textId="77777777" w:rsidTr="00743919">
        <w:trPr>
          <w:trHeight w:val="302"/>
        </w:trPr>
        <w:tc>
          <w:tcPr>
            <w:tcW w:w="1555" w:type="dxa"/>
          </w:tcPr>
          <w:p w14:paraId="004B6DF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8C6A4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79BE1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22E39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42575</w:t>
            </w:r>
          </w:p>
        </w:tc>
        <w:tc>
          <w:tcPr>
            <w:tcW w:w="1134" w:type="dxa"/>
          </w:tcPr>
          <w:p w14:paraId="6250EF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6014B5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E6719E4" w14:textId="77777777" w:rsidTr="00743919">
        <w:trPr>
          <w:trHeight w:val="302"/>
        </w:trPr>
        <w:tc>
          <w:tcPr>
            <w:tcW w:w="1555" w:type="dxa"/>
          </w:tcPr>
          <w:p w14:paraId="548D61B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EADB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2F11A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8DA1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42644</w:t>
            </w:r>
          </w:p>
        </w:tc>
        <w:tc>
          <w:tcPr>
            <w:tcW w:w="1134" w:type="dxa"/>
          </w:tcPr>
          <w:p w14:paraId="52804A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EBCDC9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E5FD9C" w14:textId="77777777" w:rsidTr="00743919">
        <w:trPr>
          <w:trHeight w:val="302"/>
        </w:trPr>
        <w:tc>
          <w:tcPr>
            <w:tcW w:w="1555" w:type="dxa"/>
          </w:tcPr>
          <w:p w14:paraId="645930E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CB59E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E962D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5272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42704</w:t>
            </w:r>
          </w:p>
        </w:tc>
        <w:tc>
          <w:tcPr>
            <w:tcW w:w="1134" w:type="dxa"/>
          </w:tcPr>
          <w:p w14:paraId="000ADCD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C7110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E02C2D" w14:textId="77777777" w:rsidTr="00743919">
        <w:trPr>
          <w:trHeight w:val="302"/>
        </w:trPr>
        <w:tc>
          <w:tcPr>
            <w:tcW w:w="1555" w:type="dxa"/>
          </w:tcPr>
          <w:p w14:paraId="383F21A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8FA4D7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T9 Assistance at Operations</w:t>
            </w:r>
          </w:p>
        </w:tc>
        <w:tc>
          <w:tcPr>
            <w:tcW w:w="1843" w:type="dxa"/>
          </w:tcPr>
          <w:p w14:paraId="657BCE7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59AC70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51300</w:t>
            </w:r>
          </w:p>
        </w:tc>
        <w:tc>
          <w:tcPr>
            <w:tcW w:w="1134" w:type="dxa"/>
          </w:tcPr>
          <w:p w14:paraId="4754F9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F180A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73C9B7F" w14:textId="77777777" w:rsidTr="00743919">
        <w:trPr>
          <w:trHeight w:val="302"/>
        </w:trPr>
        <w:tc>
          <w:tcPr>
            <w:tcW w:w="1555" w:type="dxa"/>
          </w:tcPr>
          <w:p w14:paraId="5B0BA11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82F30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727B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0283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51303</w:t>
            </w:r>
          </w:p>
        </w:tc>
        <w:tc>
          <w:tcPr>
            <w:tcW w:w="1134" w:type="dxa"/>
          </w:tcPr>
          <w:p w14:paraId="2F784D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3C595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13EF91B" w14:textId="77777777" w:rsidTr="00743919">
        <w:trPr>
          <w:trHeight w:val="302"/>
        </w:trPr>
        <w:tc>
          <w:tcPr>
            <w:tcW w:w="1555" w:type="dxa"/>
          </w:tcPr>
          <w:p w14:paraId="1B26541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75DB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C7F91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50C6F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51306</w:t>
            </w:r>
          </w:p>
        </w:tc>
        <w:tc>
          <w:tcPr>
            <w:tcW w:w="1134" w:type="dxa"/>
          </w:tcPr>
          <w:p w14:paraId="592170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2F3779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3670B52" w14:textId="77777777" w:rsidTr="00743919">
        <w:trPr>
          <w:trHeight w:val="302"/>
        </w:trPr>
        <w:tc>
          <w:tcPr>
            <w:tcW w:w="1555" w:type="dxa"/>
          </w:tcPr>
          <w:p w14:paraId="67E724FF" w14:textId="77777777" w:rsidR="00743919" w:rsidRPr="00F333A1" w:rsidRDefault="00743919">
            <w:pPr>
              <w:widowControl w:val="0"/>
              <w:numPr>
                <w:ilvl w:val="0"/>
                <w:numId w:val="5"/>
              </w:numPr>
              <w:tabs>
                <w:tab w:val="clear" w:pos="340"/>
              </w:tabs>
              <w:autoSpaceDE w:val="0"/>
              <w:autoSpaceDN w:val="0"/>
              <w:adjustRightInd w:val="0"/>
              <w:spacing w:before="0" w:after="0" w:line="240" w:lineRule="auto"/>
              <w:rPr>
                <w:rFonts w:ascii="Arial Narrow" w:hAnsi="Arial Narrow" w:cs="Calibri"/>
                <w:sz w:val="20"/>
                <w:lang w:val="en-US" w:eastAsia="en-AU"/>
              </w:rPr>
            </w:pPr>
            <w:r w:rsidRPr="00F333A1">
              <w:rPr>
                <w:rFonts w:ascii="Arial Narrow" w:hAnsi="Arial Narrow" w:cs="Calibri"/>
                <w:sz w:val="20"/>
                <w:lang w:val="en-US" w:eastAsia="en-AU"/>
              </w:rPr>
              <w:t>5 Diagnostic Imaging Services</w:t>
            </w:r>
            <w:r w:rsidRPr="00F333A1">
              <w:rPr>
                <w:rFonts w:ascii="Arial Narrow" w:hAnsi="Arial Narrow" w:cs="Calibri"/>
                <w:sz w:val="20"/>
                <w:lang w:val="en-US" w:eastAsia="en-AU"/>
              </w:rPr>
              <w:tab/>
            </w:r>
          </w:p>
        </w:tc>
        <w:tc>
          <w:tcPr>
            <w:tcW w:w="1984" w:type="dxa"/>
          </w:tcPr>
          <w:p w14:paraId="2983409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I1 Ultrasound</w:t>
            </w:r>
          </w:p>
        </w:tc>
        <w:tc>
          <w:tcPr>
            <w:tcW w:w="1843" w:type="dxa"/>
          </w:tcPr>
          <w:p w14:paraId="2B5128F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General</w:t>
            </w:r>
          </w:p>
        </w:tc>
        <w:tc>
          <w:tcPr>
            <w:tcW w:w="992" w:type="dxa"/>
          </w:tcPr>
          <w:p w14:paraId="639D2B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55032</w:t>
            </w:r>
          </w:p>
        </w:tc>
        <w:tc>
          <w:tcPr>
            <w:tcW w:w="1134" w:type="dxa"/>
          </w:tcPr>
          <w:p w14:paraId="1FA907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28996B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C19442" w14:textId="77777777" w:rsidTr="00743919">
        <w:trPr>
          <w:trHeight w:val="302"/>
        </w:trPr>
        <w:tc>
          <w:tcPr>
            <w:tcW w:w="1555" w:type="dxa"/>
          </w:tcPr>
          <w:p w14:paraId="032A2E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450F7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289C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0B88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55036</w:t>
            </w:r>
          </w:p>
        </w:tc>
        <w:tc>
          <w:tcPr>
            <w:tcW w:w="1134" w:type="dxa"/>
          </w:tcPr>
          <w:p w14:paraId="1B83C1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99223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F2EC04" w14:textId="77777777" w:rsidTr="00743919">
        <w:trPr>
          <w:trHeight w:val="302"/>
        </w:trPr>
        <w:tc>
          <w:tcPr>
            <w:tcW w:w="1555" w:type="dxa"/>
          </w:tcPr>
          <w:p w14:paraId="3E61756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E0D6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811D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470B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55048</w:t>
            </w:r>
          </w:p>
        </w:tc>
        <w:tc>
          <w:tcPr>
            <w:tcW w:w="1134" w:type="dxa"/>
          </w:tcPr>
          <w:p w14:paraId="377EBA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3B53D0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B8DAD0" w14:textId="77777777" w:rsidTr="00743919">
        <w:trPr>
          <w:trHeight w:val="302"/>
        </w:trPr>
        <w:tc>
          <w:tcPr>
            <w:tcW w:w="1555" w:type="dxa"/>
          </w:tcPr>
          <w:p w14:paraId="4455315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351BE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0338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0A735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55073</w:t>
            </w:r>
          </w:p>
        </w:tc>
        <w:tc>
          <w:tcPr>
            <w:tcW w:w="1134" w:type="dxa"/>
          </w:tcPr>
          <w:p w14:paraId="79BDCE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1B6DF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165104" w14:textId="77777777" w:rsidTr="00743919">
        <w:trPr>
          <w:trHeight w:val="302"/>
        </w:trPr>
        <w:tc>
          <w:tcPr>
            <w:tcW w:w="1555" w:type="dxa"/>
          </w:tcPr>
          <w:p w14:paraId="51AF505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AA88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2314D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7C18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55076</w:t>
            </w:r>
          </w:p>
        </w:tc>
        <w:tc>
          <w:tcPr>
            <w:tcW w:w="1134" w:type="dxa"/>
          </w:tcPr>
          <w:p w14:paraId="2BC74E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82B317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02A057" w14:textId="77777777" w:rsidTr="00743919">
        <w:trPr>
          <w:trHeight w:val="302"/>
        </w:trPr>
        <w:tc>
          <w:tcPr>
            <w:tcW w:w="1555" w:type="dxa"/>
          </w:tcPr>
          <w:p w14:paraId="0F2EE0A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6DCE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8F183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2 Cardiac</w:t>
            </w:r>
          </w:p>
        </w:tc>
        <w:tc>
          <w:tcPr>
            <w:tcW w:w="992" w:type="dxa"/>
          </w:tcPr>
          <w:p w14:paraId="33A0C6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55113</w:t>
            </w:r>
          </w:p>
        </w:tc>
        <w:tc>
          <w:tcPr>
            <w:tcW w:w="1134" w:type="dxa"/>
          </w:tcPr>
          <w:p w14:paraId="39DBCD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71FCF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1DFEE15" w14:textId="77777777" w:rsidTr="00743919">
        <w:trPr>
          <w:trHeight w:val="302"/>
        </w:trPr>
        <w:tc>
          <w:tcPr>
            <w:tcW w:w="1555" w:type="dxa"/>
          </w:tcPr>
          <w:p w14:paraId="2FCE192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0A898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EF53F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193A1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55114</w:t>
            </w:r>
          </w:p>
        </w:tc>
        <w:tc>
          <w:tcPr>
            <w:tcW w:w="1134" w:type="dxa"/>
          </w:tcPr>
          <w:p w14:paraId="67A845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D917FC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81A295" w14:textId="77777777" w:rsidTr="00743919">
        <w:trPr>
          <w:trHeight w:val="302"/>
        </w:trPr>
        <w:tc>
          <w:tcPr>
            <w:tcW w:w="1555" w:type="dxa"/>
          </w:tcPr>
          <w:p w14:paraId="56BD479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711D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823B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B1E8A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55115</w:t>
            </w:r>
          </w:p>
        </w:tc>
        <w:tc>
          <w:tcPr>
            <w:tcW w:w="1134" w:type="dxa"/>
          </w:tcPr>
          <w:p w14:paraId="7DC19F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81DE25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11D50EC" w14:textId="77777777" w:rsidTr="00743919">
        <w:trPr>
          <w:trHeight w:val="302"/>
        </w:trPr>
        <w:tc>
          <w:tcPr>
            <w:tcW w:w="1555" w:type="dxa"/>
          </w:tcPr>
          <w:p w14:paraId="7147330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7E5C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B17D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129FB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55116</w:t>
            </w:r>
          </w:p>
        </w:tc>
        <w:tc>
          <w:tcPr>
            <w:tcW w:w="1134" w:type="dxa"/>
          </w:tcPr>
          <w:p w14:paraId="42A95F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6C6BBB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788D13" w14:textId="77777777" w:rsidTr="00743919">
        <w:trPr>
          <w:trHeight w:val="302"/>
        </w:trPr>
        <w:tc>
          <w:tcPr>
            <w:tcW w:w="1555" w:type="dxa"/>
          </w:tcPr>
          <w:p w14:paraId="1CB652F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9990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34625A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52018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55117</w:t>
            </w:r>
          </w:p>
        </w:tc>
        <w:tc>
          <w:tcPr>
            <w:tcW w:w="1134" w:type="dxa"/>
          </w:tcPr>
          <w:p w14:paraId="5B50C2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44DE5E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9C424DB" w14:textId="77777777" w:rsidTr="00743919">
        <w:trPr>
          <w:trHeight w:val="302"/>
        </w:trPr>
        <w:tc>
          <w:tcPr>
            <w:tcW w:w="1555" w:type="dxa"/>
          </w:tcPr>
          <w:p w14:paraId="5AC915C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F5541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B0F7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1C08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55118</w:t>
            </w:r>
          </w:p>
        </w:tc>
        <w:tc>
          <w:tcPr>
            <w:tcW w:w="1134" w:type="dxa"/>
          </w:tcPr>
          <w:p w14:paraId="4273EC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4472E3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1D0F83D" w14:textId="77777777" w:rsidTr="00743919">
        <w:trPr>
          <w:trHeight w:val="302"/>
        </w:trPr>
        <w:tc>
          <w:tcPr>
            <w:tcW w:w="1555" w:type="dxa"/>
          </w:tcPr>
          <w:p w14:paraId="24C6C69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BD71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6B0D77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3 Vascular</w:t>
            </w:r>
          </w:p>
        </w:tc>
        <w:tc>
          <w:tcPr>
            <w:tcW w:w="992" w:type="dxa"/>
          </w:tcPr>
          <w:p w14:paraId="1946BC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55278</w:t>
            </w:r>
          </w:p>
        </w:tc>
        <w:tc>
          <w:tcPr>
            <w:tcW w:w="1134" w:type="dxa"/>
          </w:tcPr>
          <w:p w14:paraId="49AC3E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FDD8F5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061763" w14:textId="77777777" w:rsidTr="00743919">
        <w:trPr>
          <w:trHeight w:val="302"/>
        </w:trPr>
        <w:tc>
          <w:tcPr>
            <w:tcW w:w="1555" w:type="dxa"/>
          </w:tcPr>
          <w:p w14:paraId="68D00AE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03F62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ABE9B0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5 Obstetric and Gynaecological</w:t>
            </w:r>
          </w:p>
        </w:tc>
        <w:tc>
          <w:tcPr>
            <w:tcW w:w="992" w:type="dxa"/>
          </w:tcPr>
          <w:p w14:paraId="2D4F4B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55700</w:t>
            </w:r>
          </w:p>
        </w:tc>
        <w:tc>
          <w:tcPr>
            <w:tcW w:w="1134" w:type="dxa"/>
          </w:tcPr>
          <w:p w14:paraId="5613C2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09A4D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E9C63F" w14:textId="77777777" w:rsidTr="00743919">
        <w:trPr>
          <w:trHeight w:val="302"/>
        </w:trPr>
        <w:tc>
          <w:tcPr>
            <w:tcW w:w="1555" w:type="dxa"/>
          </w:tcPr>
          <w:p w14:paraId="44BC02C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C3C0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FB6DC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2EDC1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55702</w:t>
            </w:r>
          </w:p>
        </w:tc>
        <w:tc>
          <w:tcPr>
            <w:tcW w:w="1134" w:type="dxa"/>
          </w:tcPr>
          <w:p w14:paraId="31BDBE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7341A8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D623284" w14:textId="77777777" w:rsidTr="00743919">
        <w:trPr>
          <w:trHeight w:val="302"/>
        </w:trPr>
        <w:tc>
          <w:tcPr>
            <w:tcW w:w="1555" w:type="dxa"/>
          </w:tcPr>
          <w:p w14:paraId="17670A4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01D9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CFEF4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BFE69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55703</w:t>
            </w:r>
          </w:p>
        </w:tc>
        <w:tc>
          <w:tcPr>
            <w:tcW w:w="1134" w:type="dxa"/>
          </w:tcPr>
          <w:p w14:paraId="1A22DB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56074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794D13" w14:textId="77777777" w:rsidTr="00743919">
        <w:trPr>
          <w:trHeight w:val="302"/>
        </w:trPr>
        <w:tc>
          <w:tcPr>
            <w:tcW w:w="1555" w:type="dxa"/>
          </w:tcPr>
          <w:p w14:paraId="6B38D83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ECC27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901F8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B961A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55705</w:t>
            </w:r>
          </w:p>
        </w:tc>
        <w:tc>
          <w:tcPr>
            <w:tcW w:w="1134" w:type="dxa"/>
          </w:tcPr>
          <w:p w14:paraId="28729D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1987B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B7B476" w14:textId="77777777" w:rsidTr="00743919">
        <w:trPr>
          <w:trHeight w:val="302"/>
        </w:trPr>
        <w:tc>
          <w:tcPr>
            <w:tcW w:w="1555" w:type="dxa"/>
          </w:tcPr>
          <w:p w14:paraId="0E8ED5E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8B1C1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6474B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1E3C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55706</w:t>
            </w:r>
          </w:p>
        </w:tc>
        <w:tc>
          <w:tcPr>
            <w:tcW w:w="1134" w:type="dxa"/>
          </w:tcPr>
          <w:p w14:paraId="2AFA3C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DE2E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6C799E" w14:textId="77777777" w:rsidTr="00743919">
        <w:trPr>
          <w:trHeight w:val="302"/>
        </w:trPr>
        <w:tc>
          <w:tcPr>
            <w:tcW w:w="1555" w:type="dxa"/>
          </w:tcPr>
          <w:p w14:paraId="6C93023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EC8A8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EDBE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5B90D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55707</w:t>
            </w:r>
          </w:p>
        </w:tc>
        <w:tc>
          <w:tcPr>
            <w:tcW w:w="1134" w:type="dxa"/>
          </w:tcPr>
          <w:p w14:paraId="273C3E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2D56E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331334" w14:textId="77777777" w:rsidTr="00743919">
        <w:trPr>
          <w:trHeight w:val="302"/>
        </w:trPr>
        <w:tc>
          <w:tcPr>
            <w:tcW w:w="1555" w:type="dxa"/>
          </w:tcPr>
          <w:p w14:paraId="5F82931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F51BA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684A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FBDE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55709</w:t>
            </w:r>
          </w:p>
        </w:tc>
        <w:tc>
          <w:tcPr>
            <w:tcW w:w="1134" w:type="dxa"/>
          </w:tcPr>
          <w:p w14:paraId="5D98DF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CB45BD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8F793E7" w14:textId="77777777" w:rsidTr="00743919">
        <w:trPr>
          <w:trHeight w:val="302"/>
        </w:trPr>
        <w:tc>
          <w:tcPr>
            <w:tcW w:w="1555" w:type="dxa"/>
          </w:tcPr>
          <w:p w14:paraId="487487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71FE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3D16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38FF1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55731</w:t>
            </w:r>
          </w:p>
        </w:tc>
        <w:tc>
          <w:tcPr>
            <w:tcW w:w="1134" w:type="dxa"/>
          </w:tcPr>
          <w:p w14:paraId="743F4D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9AB3F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029B71" w14:textId="77777777" w:rsidTr="00743919">
        <w:trPr>
          <w:trHeight w:val="302"/>
        </w:trPr>
        <w:tc>
          <w:tcPr>
            <w:tcW w:w="1555" w:type="dxa"/>
          </w:tcPr>
          <w:p w14:paraId="0CF1D81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4FBB5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774DC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94C43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55733</w:t>
            </w:r>
          </w:p>
        </w:tc>
        <w:tc>
          <w:tcPr>
            <w:tcW w:w="1134" w:type="dxa"/>
          </w:tcPr>
          <w:p w14:paraId="1DC059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2C63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AA28E08" w14:textId="77777777" w:rsidTr="00743919">
        <w:trPr>
          <w:trHeight w:val="302"/>
        </w:trPr>
        <w:tc>
          <w:tcPr>
            <w:tcW w:w="1555" w:type="dxa"/>
          </w:tcPr>
          <w:p w14:paraId="681233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41A8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AEA12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E646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55770</w:t>
            </w:r>
          </w:p>
        </w:tc>
        <w:tc>
          <w:tcPr>
            <w:tcW w:w="1134" w:type="dxa"/>
          </w:tcPr>
          <w:p w14:paraId="1D3516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8AA5C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D804BF" w14:textId="77777777" w:rsidTr="00743919">
        <w:trPr>
          <w:trHeight w:val="302"/>
        </w:trPr>
        <w:tc>
          <w:tcPr>
            <w:tcW w:w="1555" w:type="dxa"/>
          </w:tcPr>
          <w:p w14:paraId="292FABA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4D7EBB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I3 Diagnostic Radiology</w:t>
            </w:r>
          </w:p>
        </w:tc>
        <w:tc>
          <w:tcPr>
            <w:tcW w:w="1843" w:type="dxa"/>
          </w:tcPr>
          <w:p w14:paraId="0A79EBF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 Extremities</w:t>
            </w:r>
          </w:p>
        </w:tc>
        <w:tc>
          <w:tcPr>
            <w:tcW w:w="992" w:type="dxa"/>
          </w:tcPr>
          <w:p w14:paraId="025D8C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57509</w:t>
            </w:r>
          </w:p>
        </w:tc>
        <w:tc>
          <w:tcPr>
            <w:tcW w:w="1134" w:type="dxa"/>
          </w:tcPr>
          <w:p w14:paraId="59E08E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D1709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91CF594" w14:textId="77777777" w:rsidTr="00743919">
        <w:trPr>
          <w:trHeight w:val="302"/>
        </w:trPr>
        <w:tc>
          <w:tcPr>
            <w:tcW w:w="1555" w:type="dxa"/>
          </w:tcPr>
          <w:p w14:paraId="293B1BA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BA1CB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0DF5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78FD5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57521</w:t>
            </w:r>
          </w:p>
        </w:tc>
        <w:tc>
          <w:tcPr>
            <w:tcW w:w="1134" w:type="dxa"/>
          </w:tcPr>
          <w:p w14:paraId="43F83A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4D70D1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7096A41" w14:textId="77777777" w:rsidTr="00743919">
        <w:trPr>
          <w:trHeight w:val="302"/>
        </w:trPr>
        <w:tc>
          <w:tcPr>
            <w:tcW w:w="1555" w:type="dxa"/>
          </w:tcPr>
          <w:p w14:paraId="170615A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F791D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6CB68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13 Angiography</w:t>
            </w:r>
          </w:p>
        </w:tc>
        <w:tc>
          <w:tcPr>
            <w:tcW w:w="992" w:type="dxa"/>
          </w:tcPr>
          <w:p w14:paraId="19A401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60054</w:t>
            </w:r>
          </w:p>
        </w:tc>
        <w:tc>
          <w:tcPr>
            <w:tcW w:w="1134" w:type="dxa"/>
          </w:tcPr>
          <w:p w14:paraId="43EA14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61F3A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0DD951" w14:textId="77777777" w:rsidTr="00743919">
        <w:trPr>
          <w:trHeight w:val="302"/>
        </w:trPr>
        <w:tc>
          <w:tcPr>
            <w:tcW w:w="1555" w:type="dxa"/>
          </w:tcPr>
          <w:p w14:paraId="3F3E3FB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22026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804A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C346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60072</w:t>
            </w:r>
          </w:p>
        </w:tc>
        <w:tc>
          <w:tcPr>
            <w:tcW w:w="1134" w:type="dxa"/>
          </w:tcPr>
          <w:p w14:paraId="486B48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6C3F1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5122DB" w14:textId="77777777" w:rsidTr="00743919">
        <w:trPr>
          <w:trHeight w:val="302"/>
        </w:trPr>
        <w:tc>
          <w:tcPr>
            <w:tcW w:w="1555" w:type="dxa"/>
          </w:tcPr>
          <w:p w14:paraId="4C56BBF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74B2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0094D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15 Fluoroscopic examination and report</w:t>
            </w:r>
          </w:p>
        </w:tc>
        <w:tc>
          <w:tcPr>
            <w:tcW w:w="992" w:type="dxa"/>
          </w:tcPr>
          <w:p w14:paraId="4F5B1A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60506</w:t>
            </w:r>
          </w:p>
        </w:tc>
        <w:tc>
          <w:tcPr>
            <w:tcW w:w="1134" w:type="dxa"/>
          </w:tcPr>
          <w:p w14:paraId="7514A0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54AB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30E1B7" w14:textId="77777777" w:rsidTr="00743919">
        <w:trPr>
          <w:trHeight w:val="302"/>
        </w:trPr>
        <w:tc>
          <w:tcPr>
            <w:tcW w:w="1555" w:type="dxa"/>
          </w:tcPr>
          <w:p w14:paraId="0DB31D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B8EE1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6B5A3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17 Interventional Techniques</w:t>
            </w:r>
          </w:p>
        </w:tc>
        <w:tc>
          <w:tcPr>
            <w:tcW w:w="992" w:type="dxa"/>
          </w:tcPr>
          <w:p w14:paraId="687078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61109</w:t>
            </w:r>
          </w:p>
        </w:tc>
        <w:tc>
          <w:tcPr>
            <w:tcW w:w="1134" w:type="dxa"/>
          </w:tcPr>
          <w:p w14:paraId="3DDADA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0252D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61BA36E" w14:textId="77777777" w:rsidTr="00743919">
        <w:trPr>
          <w:trHeight w:val="302"/>
        </w:trPr>
        <w:tc>
          <w:tcPr>
            <w:tcW w:w="1555" w:type="dxa"/>
          </w:tcPr>
          <w:p w14:paraId="224FFAA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14EC1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60B6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6 Thoracic</w:t>
            </w:r>
          </w:p>
        </w:tc>
        <w:tc>
          <w:tcPr>
            <w:tcW w:w="992" w:type="dxa"/>
          </w:tcPr>
          <w:p w14:paraId="1A5704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58503</w:t>
            </w:r>
          </w:p>
        </w:tc>
        <w:tc>
          <w:tcPr>
            <w:tcW w:w="1134" w:type="dxa"/>
          </w:tcPr>
          <w:p w14:paraId="175E4B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8E388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6359B5" w14:textId="77777777" w:rsidTr="00743919">
        <w:trPr>
          <w:trHeight w:val="302"/>
        </w:trPr>
        <w:tc>
          <w:tcPr>
            <w:tcW w:w="1555" w:type="dxa"/>
          </w:tcPr>
          <w:p w14:paraId="2D598DA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F9B04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910FFA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8 Alimentary Tract and Biliary System</w:t>
            </w:r>
          </w:p>
        </w:tc>
        <w:tc>
          <w:tcPr>
            <w:tcW w:w="992" w:type="dxa"/>
          </w:tcPr>
          <w:p w14:paraId="7C2B95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58903</w:t>
            </w:r>
          </w:p>
        </w:tc>
        <w:tc>
          <w:tcPr>
            <w:tcW w:w="1134" w:type="dxa"/>
          </w:tcPr>
          <w:p w14:paraId="2F1FFE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964BAE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921594" w14:textId="77777777" w:rsidTr="00743919">
        <w:trPr>
          <w:trHeight w:val="302"/>
        </w:trPr>
        <w:tc>
          <w:tcPr>
            <w:tcW w:w="1555" w:type="dxa"/>
          </w:tcPr>
          <w:p w14:paraId="06753F50" w14:textId="77777777" w:rsidR="00743919" w:rsidRPr="00F333A1" w:rsidRDefault="00743919">
            <w:pPr>
              <w:widowControl w:val="0"/>
              <w:numPr>
                <w:ilvl w:val="0"/>
                <w:numId w:val="5"/>
              </w:numPr>
              <w:tabs>
                <w:tab w:val="clear" w:pos="340"/>
              </w:tabs>
              <w:autoSpaceDE w:val="0"/>
              <w:autoSpaceDN w:val="0"/>
              <w:adjustRightInd w:val="0"/>
              <w:spacing w:before="0" w:after="0" w:line="240" w:lineRule="auto"/>
              <w:rPr>
                <w:rFonts w:ascii="Arial Narrow" w:hAnsi="Arial Narrow" w:cs="Calibri"/>
                <w:sz w:val="20"/>
                <w:lang w:val="en-US" w:eastAsia="en-AU"/>
              </w:rPr>
            </w:pPr>
            <w:r w:rsidRPr="00F333A1">
              <w:rPr>
                <w:rFonts w:ascii="Arial Narrow" w:hAnsi="Arial Narrow" w:cs="Calibri"/>
                <w:sz w:val="20"/>
                <w:lang w:val="en-US" w:eastAsia="en-AU"/>
              </w:rPr>
              <w:t>6 Pathology Services</w:t>
            </w:r>
            <w:r w:rsidRPr="00F333A1">
              <w:rPr>
                <w:rFonts w:ascii="Arial Narrow" w:hAnsi="Arial Narrow" w:cs="Calibri"/>
                <w:sz w:val="20"/>
                <w:lang w:val="en-US" w:eastAsia="en-AU"/>
              </w:rPr>
              <w:tab/>
            </w:r>
          </w:p>
        </w:tc>
        <w:tc>
          <w:tcPr>
            <w:tcW w:w="1984" w:type="dxa"/>
          </w:tcPr>
          <w:p w14:paraId="5B0A894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P1 Haematology</w:t>
            </w:r>
          </w:p>
        </w:tc>
        <w:tc>
          <w:tcPr>
            <w:tcW w:w="1843" w:type="dxa"/>
          </w:tcPr>
          <w:p w14:paraId="3E41188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62569B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65060</w:t>
            </w:r>
          </w:p>
        </w:tc>
        <w:tc>
          <w:tcPr>
            <w:tcW w:w="1134" w:type="dxa"/>
          </w:tcPr>
          <w:p w14:paraId="2F8D01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8006C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EC5676" w14:textId="77777777" w:rsidTr="00743919">
        <w:trPr>
          <w:trHeight w:val="302"/>
        </w:trPr>
        <w:tc>
          <w:tcPr>
            <w:tcW w:w="1555" w:type="dxa"/>
          </w:tcPr>
          <w:p w14:paraId="6852BB8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8F253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7103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AFE1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65066</w:t>
            </w:r>
          </w:p>
        </w:tc>
        <w:tc>
          <w:tcPr>
            <w:tcW w:w="1134" w:type="dxa"/>
          </w:tcPr>
          <w:p w14:paraId="037B2A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71DFFD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FAEB3A" w14:textId="77777777" w:rsidTr="00743919">
        <w:trPr>
          <w:trHeight w:val="302"/>
        </w:trPr>
        <w:tc>
          <w:tcPr>
            <w:tcW w:w="1555" w:type="dxa"/>
          </w:tcPr>
          <w:p w14:paraId="39BDBCA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FBB0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8B8C4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35C89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65070</w:t>
            </w:r>
          </w:p>
        </w:tc>
        <w:tc>
          <w:tcPr>
            <w:tcW w:w="1134" w:type="dxa"/>
          </w:tcPr>
          <w:p w14:paraId="5025A0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78D11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19A3DCD" w14:textId="77777777" w:rsidTr="00743919">
        <w:trPr>
          <w:trHeight w:val="302"/>
        </w:trPr>
        <w:tc>
          <w:tcPr>
            <w:tcW w:w="1555" w:type="dxa"/>
          </w:tcPr>
          <w:p w14:paraId="341ED18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5A2B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73DCB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8AF03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65072</w:t>
            </w:r>
          </w:p>
        </w:tc>
        <w:tc>
          <w:tcPr>
            <w:tcW w:w="1134" w:type="dxa"/>
          </w:tcPr>
          <w:p w14:paraId="3D1C99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D4CAD1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94B55AD" w14:textId="77777777" w:rsidTr="00743919">
        <w:trPr>
          <w:trHeight w:val="302"/>
        </w:trPr>
        <w:tc>
          <w:tcPr>
            <w:tcW w:w="1555" w:type="dxa"/>
          </w:tcPr>
          <w:p w14:paraId="2541BC8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E9BB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D14C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28167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65075</w:t>
            </w:r>
          </w:p>
        </w:tc>
        <w:tc>
          <w:tcPr>
            <w:tcW w:w="1134" w:type="dxa"/>
          </w:tcPr>
          <w:p w14:paraId="7968E0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7894C9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9B1EC33" w14:textId="77777777" w:rsidTr="00743919">
        <w:trPr>
          <w:trHeight w:val="302"/>
        </w:trPr>
        <w:tc>
          <w:tcPr>
            <w:tcW w:w="1555" w:type="dxa"/>
          </w:tcPr>
          <w:p w14:paraId="5A22C97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39842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33972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EA21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65078</w:t>
            </w:r>
          </w:p>
        </w:tc>
        <w:tc>
          <w:tcPr>
            <w:tcW w:w="1134" w:type="dxa"/>
          </w:tcPr>
          <w:p w14:paraId="2A0B11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5A0177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FF6C936" w14:textId="77777777" w:rsidTr="00743919">
        <w:trPr>
          <w:trHeight w:val="302"/>
        </w:trPr>
        <w:tc>
          <w:tcPr>
            <w:tcW w:w="1555" w:type="dxa"/>
          </w:tcPr>
          <w:p w14:paraId="69BF5F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DCF19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0001E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55C5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65081</w:t>
            </w:r>
          </w:p>
        </w:tc>
        <w:tc>
          <w:tcPr>
            <w:tcW w:w="1134" w:type="dxa"/>
          </w:tcPr>
          <w:p w14:paraId="297A03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8D3C9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A9A609" w14:textId="77777777" w:rsidTr="00743919">
        <w:trPr>
          <w:trHeight w:val="302"/>
        </w:trPr>
        <w:tc>
          <w:tcPr>
            <w:tcW w:w="1555" w:type="dxa"/>
          </w:tcPr>
          <w:p w14:paraId="3992125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D608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5032E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2C69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65084</w:t>
            </w:r>
          </w:p>
        </w:tc>
        <w:tc>
          <w:tcPr>
            <w:tcW w:w="1134" w:type="dxa"/>
          </w:tcPr>
          <w:p w14:paraId="00CCDC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3B1BE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3CCC8E5" w14:textId="77777777" w:rsidTr="00743919">
        <w:trPr>
          <w:trHeight w:val="302"/>
        </w:trPr>
        <w:tc>
          <w:tcPr>
            <w:tcW w:w="1555" w:type="dxa"/>
          </w:tcPr>
          <w:p w14:paraId="2353930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3BE1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5773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1FF81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65087</w:t>
            </w:r>
          </w:p>
        </w:tc>
        <w:tc>
          <w:tcPr>
            <w:tcW w:w="1134" w:type="dxa"/>
          </w:tcPr>
          <w:p w14:paraId="121C0B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8FB829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5E03101" w14:textId="77777777" w:rsidTr="00743919">
        <w:trPr>
          <w:trHeight w:val="302"/>
        </w:trPr>
        <w:tc>
          <w:tcPr>
            <w:tcW w:w="1555" w:type="dxa"/>
          </w:tcPr>
          <w:p w14:paraId="2243D95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FF520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F4E4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00EB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65090</w:t>
            </w:r>
          </w:p>
        </w:tc>
        <w:tc>
          <w:tcPr>
            <w:tcW w:w="1134" w:type="dxa"/>
          </w:tcPr>
          <w:p w14:paraId="35627B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E1E278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02DB7D" w14:textId="77777777" w:rsidTr="00743919">
        <w:trPr>
          <w:trHeight w:val="302"/>
        </w:trPr>
        <w:tc>
          <w:tcPr>
            <w:tcW w:w="1555" w:type="dxa"/>
          </w:tcPr>
          <w:p w14:paraId="04C4B29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904A3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20037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D5EA5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65093</w:t>
            </w:r>
          </w:p>
        </w:tc>
        <w:tc>
          <w:tcPr>
            <w:tcW w:w="1134" w:type="dxa"/>
          </w:tcPr>
          <w:p w14:paraId="23051A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C9565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B06259A" w14:textId="77777777" w:rsidTr="00743919">
        <w:trPr>
          <w:trHeight w:val="302"/>
        </w:trPr>
        <w:tc>
          <w:tcPr>
            <w:tcW w:w="1555" w:type="dxa"/>
          </w:tcPr>
          <w:p w14:paraId="50AB42F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3507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E7CDA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CF63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65096</w:t>
            </w:r>
          </w:p>
        </w:tc>
        <w:tc>
          <w:tcPr>
            <w:tcW w:w="1134" w:type="dxa"/>
          </w:tcPr>
          <w:p w14:paraId="1D3B94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1B86BA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6A316D" w14:textId="77777777" w:rsidTr="00743919">
        <w:trPr>
          <w:trHeight w:val="302"/>
        </w:trPr>
        <w:tc>
          <w:tcPr>
            <w:tcW w:w="1555" w:type="dxa"/>
          </w:tcPr>
          <w:p w14:paraId="65DD798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C8C48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C708A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AA3F6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65099</w:t>
            </w:r>
          </w:p>
        </w:tc>
        <w:tc>
          <w:tcPr>
            <w:tcW w:w="1134" w:type="dxa"/>
          </w:tcPr>
          <w:p w14:paraId="2F23A6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5AE727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64A31C4" w14:textId="77777777" w:rsidTr="00743919">
        <w:trPr>
          <w:trHeight w:val="302"/>
        </w:trPr>
        <w:tc>
          <w:tcPr>
            <w:tcW w:w="1555" w:type="dxa"/>
          </w:tcPr>
          <w:p w14:paraId="54F6CF2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76F4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D8D9A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7A6F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65105</w:t>
            </w:r>
          </w:p>
        </w:tc>
        <w:tc>
          <w:tcPr>
            <w:tcW w:w="1134" w:type="dxa"/>
          </w:tcPr>
          <w:p w14:paraId="000D53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400D4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653FA1D" w14:textId="77777777" w:rsidTr="00743919">
        <w:trPr>
          <w:trHeight w:val="302"/>
        </w:trPr>
        <w:tc>
          <w:tcPr>
            <w:tcW w:w="1555" w:type="dxa"/>
          </w:tcPr>
          <w:p w14:paraId="0763EC9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F7809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B14AA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2D1E6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65108</w:t>
            </w:r>
          </w:p>
        </w:tc>
        <w:tc>
          <w:tcPr>
            <w:tcW w:w="1134" w:type="dxa"/>
          </w:tcPr>
          <w:p w14:paraId="0982C3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8801FE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117B407" w14:textId="77777777" w:rsidTr="00743919">
        <w:trPr>
          <w:trHeight w:val="302"/>
        </w:trPr>
        <w:tc>
          <w:tcPr>
            <w:tcW w:w="1555" w:type="dxa"/>
          </w:tcPr>
          <w:p w14:paraId="3EAF22A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FD0F4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E38F8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A91E3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65109</w:t>
            </w:r>
          </w:p>
        </w:tc>
        <w:tc>
          <w:tcPr>
            <w:tcW w:w="1134" w:type="dxa"/>
          </w:tcPr>
          <w:p w14:paraId="69CD62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3B181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A16867E" w14:textId="77777777" w:rsidTr="00743919">
        <w:trPr>
          <w:trHeight w:val="302"/>
        </w:trPr>
        <w:tc>
          <w:tcPr>
            <w:tcW w:w="1555" w:type="dxa"/>
          </w:tcPr>
          <w:p w14:paraId="05620E3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C82B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2B33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B54BA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65110</w:t>
            </w:r>
          </w:p>
        </w:tc>
        <w:tc>
          <w:tcPr>
            <w:tcW w:w="1134" w:type="dxa"/>
          </w:tcPr>
          <w:p w14:paraId="0C9077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D330A1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F944802" w14:textId="77777777" w:rsidTr="00743919">
        <w:trPr>
          <w:trHeight w:val="302"/>
        </w:trPr>
        <w:tc>
          <w:tcPr>
            <w:tcW w:w="1555" w:type="dxa"/>
          </w:tcPr>
          <w:p w14:paraId="5D3278D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5203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95B59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0968C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65111</w:t>
            </w:r>
          </w:p>
        </w:tc>
        <w:tc>
          <w:tcPr>
            <w:tcW w:w="1134" w:type="dxa"/>
          </w:tcPr>
          <w:p w14:paraId="7AA57A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964155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BA3A22" w14:textId="77777777" w:rsidTr="00743919">
        <w:trPr>
          <w:trHeight w:val="302"/>
        </w:trPr>
        <w:tc>
          <w:tcPr>
            <w:tcW w:w="1555" w:type="dxa"/>
          </w:tcPr>
          <w:p w14:paraId="069B498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E614B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8793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D210E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65114</w:t>
            </w:r>
          </w:p>
        </w:tc>
        <w:tc>
          <w:tcPr>
            <w:tcW w:w="1134" w:type="dxa"/>
          </w:tcPr>
          <w:p w14:paraId="78436C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A0AA8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37A70D1" w14:textId="77777777" w:rsidTr="00743919">
        <w:trPr>
          <w:trHeight w:val="302"/>
        </w:trPr>
        <w:tc>
          <w:tcPr>
            <w:tcW w:w="1555" w:type="dxa"/>
          </w:tcPr>
          <w:p w14:paraId="2E54FC5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D60CB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55A95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32B3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65117</w:t>
            </w:r>
          </w:p>
        </w:tc>
        <w:tc>
          <w:tcPr>
            <w:tcW w:w="1134" w:type="dxa"/>
          </w:tcPr>
          <w:p w14:paraId="27141B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981613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1E67F22" w14:textId="77777777" w:rsidTr="00743919">
        <w:trPr>
          <w:trHeight w:val="302"/>
        </w:trPr>
        <w:tc>
          <w:tcPr>
            <w:tcW w:w="1555" w:type="dxa"/>
          </w:tcPr>
          <w:p w14:paraId="0B46B78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2FA7E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D29A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8504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65120</w:t>
            </w:r>
          </w:p>
        </w:tc>
        <w:tc>
          <w:tcPr>
            <w:tcW w:w="1134" w:type="dxa"/>
          </w:tcPr>
          <w:p w14:paraId="0A0267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3ADAB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66D349" w14:textId="77777777" w:rsidTr="00743919">
        <w:trPr>
          <w:trHeight w:val="302"/>
        </w:trPr>
        <w:tc>
          <w:tcPr>
            <w:tcW w:w="1555" w:type="dxa"/>
          </w:tcPr>
          <w:p w14:paraId="02A7FDD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C262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539B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7DA0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65123</w:t>
            </w:r>
          </w:p>
        </w:tc>
        <w:tc>
          <w:tcPr>
            <w:tcW w:w="1134" w:type="dxa"/>
          </w:tcPr>
          <w:p w14:paraId="698AF0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2287D9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3BDAD9" w14:textId="77777777" w:rsidTr="00743919">
        <w:trPr>
          <w:trHeight w:val="302"/>
        </w:trPr>
        <w:tc>
          <w:tcPr>
            <w:tcW w:w="1555" w:type="dxa"/>
          </w:tcPr>
          <w:p w14:paraId="21C471A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84927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98021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39893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65126</w:t>
            </w:r>
          </w:p>
        </w:tc>
        <w:tc>
          <w:tcPr>
            <w:tcW w:w="1134" w:type="dxa"/>
          </w:tcPr>
          <w:p w14:paraId="4F543C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9982C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0DA6B36" w14:textId="77777777" w:rsidTr="00743919">
        <w:trPr>
          <w:trHeight w:val="302"/>
        </w:trPr>
        <w:tc>
          <w:tcPr>
            <w:tcW w:w="1555" w:type="dxa"/>
          </w:tcPr>
          <w:p w14:paraId="544791B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AE26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01EA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089D1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65129</w:t>
            </w:r>
          </w:p>
        </w:tc>
        <w:tc>
          <w:tcPr>
            <w:tcW w:w="1134" w:type="dxa"/>
          </w:tcPr>
          <w:p w14:paraId="224266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85ADCE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F9EF68" w14:textId="77777777" w:rsidTr="00743919">
        <w:trPr>
          <w:trHeight w:val="302"/>
        </w:trPr>
        <w:tc>
          <w:tcPr>
            <w:tcW w:w="1555" w:type="dxa"/>
          </w:tcPr>
          <w:p w14:paraId="564F947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5FE71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D5F52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CF78F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65137</w:t>
            </w:r>
          </w:p>
        </w:tc>
        <w:tc>
          <w:tcPr>
            <w:tcW w:w="1134" w:type="dxa"/>
          </w:tcPr>
          <w:p w14:paraId="204FFB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780744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7B6B40" w14:textId="77777777" w:rsidTr="00743919">
        <w:trPr>
          <w:trHeight w:val="302"/>
        </w:trPr>
        <w:tc>
          <w:tcPr>
            <w:tcW w:w="1555" w:type="dxa"/>
          </w:tcPr>
          <w:p w14:paraId="70624F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8869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A4726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9592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65142</w:t>
            </w:r>
          </w:p>
        </w:tc>
        <w:tc>
          <w:tcPr>
            <w:tcW w:w="1134" w:type="dxa"/>
          </w:tcPr>
          <w:p w14:paraId="432F42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20E19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44A755" w14:textId="77777777" w:rsidTr="00743919">
        <w:trPr>
          <w:trHeight w:val="302"/>
        </w:trPr>
        <w:tc>
          <w:tcPr>
            <w:tcW w:w="1555" w:type="dxa"/>
          </w:tcPr>
          <w:p w14:paraId="00CE205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EBC46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7E5ED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AD83E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65144</w:t>
            </w:r>
          </w:p>
        </w:tc>
        <w:tc>
          <w:tcPr>
            <w:tcW w:w="1134" w:type="dxa"/>
          </w:tcPr>
          <w:p w14:paraId="04DFB8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B6360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1182BDA" w14:textId="77777777" w:rsidTr="00743919">
        <w:trPr>
          <w:trHeight w:val="302"/>
        </w:trPr>
        <w:tc>
          <w:tcPr>
            <w:tcW w:w="1555" w:type="dxa"/>
          </w:tcPr>
          <w:p w14:paraId="06D41F1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B9FD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435E4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29986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65147</w:t>
            </w:r>
          </w:p>
        </w:tc>
        <w:tc>
          <w:tcPr>
            <w:tcW w:w="1134" w:type="dxa"/>
          </w:tcPr>
          <w:p w14:paraId="76CA51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A32D9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3898B79" w14:textId="77777777" w:rsidTr="00743919">
        <w:trPr>
          <w:trHeight w:val="302"/>
        </w:trPr>
        <w:tc>
          <w:tcPr>
            <w:tcW w:w="1555" w:type="dxa"/>
          </w:tcPr>
          <w:p w14:paraId="4757470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A4CA2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0A67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F361A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65150</w:t>
            </w:r>
          </w:p>
        </w:tc>
        <w:tc>
          <w:tcPr>
            <w:tcW w:w="1134" w:type="dxa"/>
          </w:tcPr>
          <w:p w14:paraId="699F9A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F77D2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77E24B" w14:textId="77777777" w:rsidTr="00743919">
        <w:trPr>
          <w:trHeight w:val="302"/>
        </w:trPr>
        <w:tc>
          <w:tcPr>
            <w:tcW w:w="1555" w:type="dxa"/>
          </w:tcPr>
          <w:p w14:paraId="7EB88B4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8C419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0F72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B937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65153</w:t>
            </w:r>
          </w:p>
        </w:tc>
        <w:tc>
          <w:tcPr>
            <w:tcW w:w="1134" w:type="dxa"/>
          </w:tcPr>
          <w:p w14:paraId="51A472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CA1A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3178FF" w14:textId="77777777" w:rsidTr="00743919">
        <w:trPr>
          <w:trHeight w:val="302"/>
        </w:trPr>
        <w:tc>
          <w:tcPr>
            <w:tcW w:w="1555" w:type="dxa"/>
          </w:tcPr>
          <w:p w14:paraId="72313C2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DE57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DD08D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4C27EC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65156</w:t>
            </w:r>
          </w:p>
        </w:tc>
        <w:tc>
          <w:tcPr>
            <w:tcW w:w="1134" w:type="dxa"/>
          </w:tcPr>
          <w:p w14:paraId="148692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99DDC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E1592C" w14:textId="77777777" w:rsidTr="00743919">
        <w:trPr>
          <w:trHeight w:val="302"/>
        </w:trPr>
        <w:tc>
          <w:tcPr>
            <w:tcW w:w="1555" w:type="dxa"/>
          </w:tcPr>
          <w:p w14:paraId="6CFB7CA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E98D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8EBECB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E46F3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65159</w:t>
            </w:r>
          </w:p>
        </w:tc>
        <w:tc>
          <w:tcPr>
            <w:tcW w:w="1134" w:type="dxa"/>
          </w:tcPr>
          <w:p w14:paraId="5F8C33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099F1E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ED26E0" w14:textId="77777777" w:rsidTr="00743919">
        <w:trPr>
          <w:trHeight w:val="302"/>
        </w:trPr>
        <w:tc>
          <w:tcPr>
            <w:tcW w:w="1555" w:type="dxa"/>
          </w:tcPr>
          <w:p w14:paraId="7C26C0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5AC49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8F73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4094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65162</w:t>
            </w:r>
          </w:p>
        </w:tc>
        <w:tc>
          <w:tcPr>
            <w:tcW w:w="1134" w:type="dxa"/>
          </w:tcPr>
          <w:p w14:paraId="4F7B9E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83D77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701C5C" w14:textId="77777777" w:rsidTr="00743919">
        <w:trPr>
          <w:trHeight w:val="302"/>
        </w:trPr>
        <w:tc>
          <w:tcPr>
            <w:tcW w:w="1555" w:type="dxa"/>
          </w:tcPr>
          <w:p w14:paraId="04F93F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91499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43E4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59B33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65171</w:t>
            </w:r>
          </w:p>
        </w:tc>
        <w:tc>
          <w:tcPr>
            <w:tcW w:w="1134" w:type="dxa"/>
          </w:tcPr>
          <w:p w14:paraId="2E1C057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40993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81BC8B3" w14:textId="77777777" w:rsidTr="00743919">
        <w:trPr>
          <w:trHeight w:val="302"/>
        </w:trPr>
        <w:tc>
          <w:tcPr>
            <w:tcW w:w="1555" w:type="dxa"/>
          </w:tcPr>
          <w:p w14:paraId="2DFCF61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C790C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AD1E2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0F352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65175</w:t>
            </w:r>
          </w:p>
        </w:tc>
        <w:tc>
          <w:tcPr>
            <w:tcW w:w="1134" w:type="dxa"/>
          </w:tcPr>
          <w:p w14:paraId="21BD92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0B342F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638FF0" w14:textId="77777777" w:rsidTr="00743919">
        <w:trPr>
          <w:trHeight w:val="302"/>
        </w:trPr>
        <w:tc>
          <w:tcPr>
            <w:tcW w:w="1555" w:type="dxa"/>
          </w:tcPr>
          <w:p w14:paraId="5CEF813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3D59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B9A80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13CE9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65176</w:t>
            </w:r>
          </w:p>
        </w:tc>
        <w:tc>
          <w:tcPr>
            <w:tcW w:w="1134" w:type="dxa"/>
          </w:tcPr>
          <w:p w14:paraId="78C483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601AD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D3BC01" w14:textId="77777777" w:rsidTr="00743919">
        <w:trPr>
          <w:trHeight w:val="302"/>
        </w:trPr>
        <w:tc>
          <w:tcPr>
            <w:tcW w:w="1555" w:type="dxa"/>
          </w:tcPr>
          <w:p w14:paraId="6B95BF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EFF9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3CE1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1A22C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65177</w:t>
            </w:r>
          </w:p>
        </w:tc>
        <w:tc>
          <w:tcPr>
            <w:tcW w:w="1134" w:type="dxa"/>
          </w:tcPr>
          <w:p w14:paraId="65932D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53EDB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BC4639" w14:textId="77777777" w:rsidTr="00743919">
        <w:trPr>
          <w:trHeight w:val="302"/>
        </w:trPr>
        <w:tc>
          <w:tcPr>
            <w:tcW w:w="1555" w:type="dxa"/>
          </w:tcPr>
          <w:p w14:paraId="35E05E7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9599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51BB3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2AFCA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65178</w:t>
            </w:r>
          </w:p>
        </w:tc>
        <w:tc>
          <w:tcPr>
            <w:tcW w:w="1134" w:type="dxa"/>
          </w:tcPr>
          <w:p w14:paraId="2CEB97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50EE03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7777BE9" w14:textId="77777777" w:rsidTr="00743919">
        <w:trPr>
          <w:trHeight w:val="302"/>
        </w:trPr>
        <w:tc>
          <w:tcPr>
            <w:tcW w:w="1555" w:type="dxa"/>
          </w:tcPr>
          <w:p w14:paraId="7FDE9A9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DCD7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8363C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BD90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65179</w:t>
            </w:r>
          </w:p>
        </w:tc>
        <w:tc>
          <w:tcPr>
            <w:tcW w:w="1134" w:type="dxa"/>
          </w:tcPr>
          <w:p w14:paraId="7A6680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952C5B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830F06" w14:textId="77777777" w:rsidTr="00743919">
        <w:trPr>
          <w:trHeight w:val="302"/>
        </w:trPr>
        <w:tc>
          <w:tcPr>
            <w:tcW w:w="1555" w:type="dxa"/>
          </w:tcPr>
          <w:p w14:paraId="0DD9543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8183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P10 Patient Episode Initiation</w:t>
            </w:r>
          </w:p>
        </w:tc>
        <w:tc>
          <w:tcPr>
            <w:tcW w:w="1843" w:type="dxa"/>
          </w:tcPr>
          <w:p w14:paraId="34A448D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1D8AB8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73920</w:t>
            </w:r>
          </w:p>
        </w:tc>
        <w:tc>
          <w:tcPr>
            <w:tcW w:w="1134" w:type="dxa"/>
          </w:tcPr>
          <w:p w14:paraId="6DD3AA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2FF2D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3FA678F" w14:textId="77777777" w:rsidTr="00743919">
        <w:trPr>
          <w:trHeight w:val="302"/>
        </w:trPr>
        <w:tc>
          <w:tcPr>
            <w:tcW w:w="1555" w:type="dxa"/>
          </w:tcPr>
          <w:p w14:paraId="6CE41D9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4FFD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BC00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5B88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73923</w:t>
            </w:r>
          </w:p>
        </w:tc>
        <w:tc>
          <w:tcPr>
            <w:tcW w:w="1134" w:type="dxa"/>
          </w:tcPr>
          <w:p w14:paraId="4A985D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3E1D6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033E852" w14:textId="77777777" w:rsidTr="00743919">
        <w:trPr>
          <w:trHeight w:val="302"/>
        </w:trPr>
        <w:tc>
          <w:tcPr>
            <w:tcW w:w="1555" w:type="dxa"/>
          </w:tcPr>
          <w:p w14:paraId="2863B7C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8F58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3EC6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4487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73924</w:t>
            </w:r>
          </w:p>
        </w:tc>
        <w:tc>
          <w:tcPr>
            <w:tcW w:w="1134" w:type="dxa"/>
          </w:tcPr>
          <w:p w14:paraId="2100E9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0454B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8FB3D1" w14:textId="77777777" w:rsidTr="00743919">
        <w:trPr>
          <w:trHeight w:val="302"/>
        </w:trPr>
        <w:tc>
          <w:tcPr>
            <w:tcW w:w="1555" w:type="dxa"/>
          </w:tcPr>
          <w:p w14:paraId="52646FD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222C9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A915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09DA9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73925</w:t>
            </w:r>
          </w:p>
        </w:tc>
        <w:tc>
          <w:tcPr>
            <w:tcW w:w="1134" w:type="dxa"/>
          </w:tcPr>
          <w:p w14:paraId="1B6FF0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70E1B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6C62E9" w14:textId="77777777" w:rsidTr="00743919">
        <w:trPr>
          <w:trHeight w:val="302"/>
        </w:trPr>
        <w:tc>
          <w:tcPr>
            <w:tcW w:w="1555" w:type="dxa"/>
          </w:tcPr>
          <w:p w14:paraId="24F25BA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B3D4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DE5D4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26D2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73926</w:t>
            </w:r>
          </w:p>
        </w:tc>
        <w:tc>
          <w:tcPr>
            <w:tcW w:w="1134" w:type="dxa"/>
          </w:tcPr>
          <w:p w14:paraId="7D544F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689AAD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A5E6E9" w14:textId="77777777" w:rsidTr="00743919">
        <w:trPr>
          <w:trHeight w:val="302"/>
        </w:trPr>
        <w:tc>
          <w:tcPr>
            <w:tcW w:w="1555" w:type="dxa"/>
          </w:tcPr>
          <w:p w14:paraId="7B1B45D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052D7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1932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AAC1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73927</w:t>
            </w:r>
          </w:p>
        </w:tc>
        <w:tc>
          <w:tcPr>
            <w:tcW w:w="1134" w:type="dxa"/>
          </w:tcPr>
          <w:p w14:paraId="3BC1F7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B3DD1C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EF01C9" w14:textId="77777777" w:rsidTr="00743919">
        <w:trPr>
          <w:trHeight w:val="302"/>
        </w:trPr>
        <w:tc>
          <w:tcPr>
            <w:tcW w:w="1555" w:type="dxa"/>
          </w:tcPr>
          <w:p w14:paraId="509838C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AC73D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87EFB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A8C429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73928</w:t>
            </w:r>
          </w:p>
        </w:tc>
        <w:tc>
          <w:tcPr>
            <w:tcW w:w="1134" w:type="dxa"/>
          </w:tcPr>
          <w:p w14:paraId="01E4BA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EC490A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25A53B7" w14:textId="77777777" w:rsidTr="00743919">
        <w:trPr>
          <w:trHeight w:val="302"/>
        </w:trPr>
        <w:tc>
          <w:tcPr>
            <w:tcW w:w="1555" w:type="dxa"/>
          </w:tcPr>
          <w:p w14:paraId="0D244AB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4525D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E7C0E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3E01A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73929</w:t>
            </w:r>
          </w:p>
        </w:tc>
        <w:tc>
          <w:tcPr>
            <w:tcW w:w="1134" w:type="dxa"/>
          </w:tcPr>
          <w:p w14:paraId="676C91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10109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7E46906" w14:textId="77777777" w:rsidTr="00743919">
        <w:trPr>
          <w:trHeight w:val="302"/>
        </w:trPr>
        <w:tc>
          <w:tcPr>
            <w:tcW w:w="1555" w:type="dxa"/>
          </w:tcPr>
          <w:p w14:paraId="1E4A76E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9C0A3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E5CDE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BC788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73930</w:t>
            </w:r>
          </w:p>
        </w:tc>
        <w:tc>
          <w:tcPr>
            <w:tcW w:w="1134" w:type="dxa"/>
          </w:tcPr>
          <w:p w14:paraId="20BF3B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368D5F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8A3E8B" w14:textId="77777777" w:rsidTr="00743919">
        <w:trPr>
          <w:trHeight w:val="302"/>
        </w:trPr>
        <w:tc>
          <w:tcPr>
            <w:tcW w:w="1555" w:type="dxa"/>
          </w:tcPr>
          <w:p w14:paraId="209DE94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0B9B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94AA29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4B78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73931</w:t>
            </w:r>
          </w:p>
        </w:tc>
        <w:tc>
          <w:tcPr>
            <w:tcW w:w="1134" w:type="dxa"/>
          </w:tcPr>
          <w:p w14:paraId="5D513E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E38C4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EEE1DC7" w14:textId="77777777" w:rsidTr="00743919">
        <w:trPr>
          <w:trHeight w:val="302"/>
        </w:trPr>
        <w:tc>
          <w:tcPr>
            <w:tcW w:w="1555" w:type="dxa"/>
          </w:tcPr>
          <w:p w14:paraId="468E026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002F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F19A7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630CA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73932</w:t>
            </w:r>
          </w:p>
        </w:tc>
        <w:tc>
          <w:tcPr>
            <w:tcW w:w="1134" w:type="dxa"/>
          </w:tcPr>
          <w:p w14:paraId="78CB57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DB80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1625E9D" w14:textId="77777777" w:rsidTr="00743919">
        <w:trPr>
          <w:trHeight w:val="302"/>
        </w:trPr>
        <w:tc>
          <w:tcPr>
            <w:tcW w:w="1555" w:type="dxa"/>
          </w:tcPr>
          <w:p w14:paraId="2FF923A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3DA692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D00FE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A1ED6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73933</w:t>
            </w:r>
          </w:p>
        </w:tc>
        <w:tc>
          <w:tcPr>
            <w:tcW w:w="1134" w:type="dxa"/>
          </w:tcPr>
          <w:p w14:paraId="6C0558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423182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67DC0F6" w14:textId="77777777" w:rsidTr="00743919">
        <w:trPr>
          <w:trHeight w:val="302"/>
        </w:trPr>
        <w:tc>
          <w:tcPr>
            <w:tcW w:w="1555" w:type="dxa"/>
          </w:tcPr>
          <w:p w14:paraId="65D4B40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0C63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246FE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A09C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73934</w:t>
            </w:r>
          </w:p>
        </w:tc>
        <w:tc>
          <w:tcPr>
            <w:tcW w:w="1134" w:type="dxa"/>
          </w:tcPr>
          <w:p w14:paraId="348E77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88D799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FC0C55" w14:textId="77777777" w:rsidTr="00743919">
        <w:trPr>
          <w:trHeight w:val="302"/>
        </w:trPr>
        <w:tc>
          <w:tcPr>
            <w:tcW w:w="1555" w:type="dxa"/>
          </w:tcPr>
          <w:p w14:paraId="61607EE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F210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73E1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A943C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73935</w:t>
            </w:r>
          </w:p>
        </w:tc>
        <w:tc>
          <w:tcPr>
            <w:tcW w:w="1134" w:type="dxa"/>
          </w:tcPr>
          <w:p w14:paraId="13E29A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60286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921B79" w14:textId="77777777" w:rsidTr="00743919">
        <w:trPr>
          <w:trHeight w:val="302"/>
        </w:trPr>
        <w:tc>
          <w:tcPr>
            <w:tcW w:w="1555" w:type="dxa"/>
          </w:tcPr>
          <w:p w14:paraId="6671E2D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17E9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7646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7C4E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73936</w:t>
            </w:r>
          </w:p>
        </w:tc>
        <w:tc>
          <w:tcPr>
            <w:tcW w:w="1134" w:type="dxa"/>
          </w:tcPr>
          <w:p w14:paraId="11D124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F79612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B8B49E" w14:textId="77777777" w:rsidTr="00743919">
        <w:trPr>
          <w:trHeight w:val="302"/>
        </w:trPr>
        <w:tc>
          <w:tcPr>
            <w:tcW w:w="1555" w:type="dxa"/>
          </w:tcPr>
          <w:p w14:paraId="1634AAC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D895D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C1C3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7ECB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73937</w:t>
            </w:r>
          </w:p>
        </w:tc>
        <w:tc>
          <w:tcPr>
            <w:tcW w:w="1134" w:type="dxa"/>
          </w:tcPr>
          <w:p w14:paraId="504478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CCBE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38C5B7" w14:textId="77777777" w:rsidTr="00743919">
        <w:trPr>
          <w:trHeight w:val="302"/>
        </w:trPr>
        <w:tc>
          <w:tcPr>
            <w:tcW w:w="1555" w:type="dxa"/>
          </w:tcPr>
          <w:p w14:paraId="62F604B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31FA8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09DEB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56400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73938</w:t>
            </w:r>
          </w:p>
        </w:tc>
        <w:tc>
          <w:tcPr>
            <w:tcW w:w="1134" w:type="dxa"/>
          </w:tcPr>
          <w:p w14:paraId="687CEF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0E64A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0C866A" w14:textId="77777777" w:rsidTr="00743919">
        <w:trPr>
          <w:trHeight w:val="302"/>
        </w:trPr>
        <w:tc>
          <w:tcPr>
            <w:tcW w:w="1555" w:type="dxa"/>
          </w:tcPr>
          <w:p w14:paraId="7005F64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FC561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28FB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38C3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73939</w:t>
            </w:r>
          </w:p>
        </w:tc>
        <w:tc>
          <w:tcPr>
            <w:tcW w:w="1134" w:type="dxa"/>
          </w:tcPr>
          <w:p w14:paraId="51BCF3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8E6C47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8BF5223" w14:textId="77777777" w:rsidTr="00743919">
        <w:trPr>
          <w:trHeight w:val="302"/>
        </w:trPr>
        <w:tc>
          <w:tcPr>
            <w:tcW w:w="1555" w:type="dxa"/>
          </w:tcPr>
          <w:p w14:paraId="038D614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1D9D9A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P11 Specimen Referred</w:t>
            </w:r>
          </w:p>
        </w:tc>
        <w:tc>
          <w:tcPr>
            <w:tcW w:w="1843" w:type="dxa"/>
          </w:tcPr>
          <w:p w14:paraId="7D7FB4F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274EEE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73940</w:t>
            </w:r>
          </w:p>
        </w:tc>
        <w:tc>
          <w:tcPr>
            <w:tcW w:w="1134" w:type="dxa"/>
          </w:tcPr>
          <w:p w14:paraId="1A2C24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8C05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416878" w14:textId="77777777" w:rsidTr="00743919">
        <w:trPr>
          <w:trHeight w:val="302"/>
        </w:trPr>
        <w:tc>
          <w:tcPr>
            <w:tcW w:w="1555" w:type="dxa"/>
          </w:tcPr>
          <w:p w14:paraId="3EBEF23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5EF83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P2 Chemical</w:t>
            </w:r>
          </w:p>
        </w:tc>
        <w:tc>
          <w:tcPr>
            <w:tcW w:w="1843" w:type="dxa"/>
          </w:tcPr>
          <w:p w14:paraId="5C65B78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453E12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66500</w:t>
            </w:r>
          </w:p>
        </w:tc>
        <w:tc>
          <w:tcPr>
            <w:tcW w:w="1134" w:type="dxa"/>
          </w:tcPr>
          <w:p w14:paraId="79623A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87499E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428E134" w14:textId="77777777" w:rsidTr="00743919">
        <w:trPr>
          <w:trHeight w:val="302"/>
        </w:trPr>
        <w:tc>
          <w:tcPr>
            <w:tcW w:w="1555" w:type="dxa"/>
          </w:tcPr>
          <w:p w14:paraId="3451A1D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BB15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2F83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7D782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66503</w:t>
            </w:r>
          </w:p>
        </w:tc>
        <w:tc>
          <w:tcPr>
            <w:tcW w:w="1134" w:type="dxa"/>
          </w:tcPr>
          <w:p w14:paraId="01BF22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8BA44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BED928C" w14:textId="77777777" w:rsidTr="00743919">
        <w:trPr>
          <w:trHeight w:val="302"/>
        </w:trPr>
        <w:tc>
          <w:tcPr>
            <w:tcW w:w="1555" w:type="dxa"/>
          </w:tcPr>
          <w:p w14:paraId="1F5449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FA6DD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F9038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ACEEB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66506</w:t>
            </w:r>
          </w:p>
        </w:tc>
        <w:tc>
          <w:tcPr>
            <w:tcW w:w="1134" w:type="dxa"/>
          </w:tcPr>
          <w:p w14:paraId="0F3FA5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B8E9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BE8E503" w14:textId="77777777" w:rsidTr="00743919">
        <w:trPr>
          <w:trHeight w:val="302"/>
        </w:trPr>
        <w:tc>
          <w:tcPr>
            <w:tcW w:w="1555" w:type="dxa"/>
          </w:tcPr>
          <w:p w14:paraId="541BC61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88C75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75E2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76AA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66509</w:t>
            </w:r>
          </w:p>
        </w:tc>
        <w:tc>
          <w:tcPr>
            <w:tcW w:w="1134" w:type="dxa"/>
          </w:tcPr>
          <w:p w14:paraId="7B7B32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58DB7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E91CBA2" w14:textId="77777777" w:rsidTr="00743919">
        <w:trPr>
          <w:trHeight w:val="302"/>
        </w:trPr>
        <w:tc>
          <w:tcPr>
            <w:tcW w:w="1555" w:type="dxa"/>
          </w:tcPr>
          <w:p w14:paraId="20A66A1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B4027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73485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4FA9B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66512</w:t>
            </w:r>
          </w:p>
        </w:tc>
        <w:tc>
          <w:tcPr>
            <w:tcW w:w="1134" w:type="dxa"/>
          </w:tcPr>
          <w:p w14:paraId="6D2CEF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FE2102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51E16E5" w14:textId="77777777" w:rsidTr="00743919">
        <w:trPr>
          <w:trHeight w:val="302"/>
        </w:trPr>
        <w:tc>
          <w:tcPr>
            <w:tcW w:w="1555" w:type="dxa"/>
          </w:tcPr>
          <w:p w14:paraId="4A3DD34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0DE307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F532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78BE0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66518</w:t>
            </w:r>
          </w:p>
        </w:tc>
        <w:tc>
          <w:tcPr>
            <w:tcW w:w="1134" w:type="dxa"/>
          </w:tcPr>
          <w:p w14:paraId="3C2C7D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1E8A56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7843EDC" w14:textId="77777777" w:rsidTr="00743919">
        <w:trPr>
          <w:trHeight w:val="302"/>
        </w:trPr>
        <w:tc>
          <w:tcPr>
            <w:tcW w:w="1555" w:type="dxa"/>
          </w:tcPr>
          <w:p w14:paraId="0E6104B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FDC8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FA0F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2556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66519</w:t>
            </w:r>
          </w:p>
        </w:tc>
        <w:tc>
          <w:tcPr>
            <w:tcW w:w="1134" w:type="dxa"/>
          </w:tcPr>
          <w:p w14:paraId="4B7100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9240F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00E4F4A" w14:textId="77777777" w:rsidTr="00743919">
        <w:trPr>
          <w:trHeight w:val="302"/>
        </w:trPr>
        <w:tc>
          <w:tcPr>
            <w:tcW w:w="1555" w:type="dxa"/>
          </w:tcPr>
          <w:p w14:paraId="776C3B2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E2596E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31B69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DB49C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66536</w:t>
            </w:r>
          </w:p>
        </w:tc>
        <w:tc>
          <w:tcPr>
            <w:tcW w:w="1134" w:type="dxa"/>
          </w:tcPr>
          <w:p w14:paraId="74F60A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E0E924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F05586" w14:textId="77777777" w:rsidTr="00743919">
        <w:trPr>
          <w:trHeight w:val="302"/>
        </w:trPr>
        <w:tc>
          <w:tcPr>
            <w:tcW w:w="1555" w:type="dxa"/>
          </w:tcPr>
          <w:p w14:paraId="300484C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6697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C6D9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8A92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66542</w:t>
            </w:r>
          </w:p>
        </w:tc>
        <w:tc>
          <w:tcPr>
            <w:tcW w:w="1134" w:type="dxa"/>
          </w:tcPr>
          <w:p w14:paraId="2C21F4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DA772E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FE32E84" w14:textId="77777777" w:rsidTr="00743919">
        <w:trPr>
          <w:trHeight w:val="302"/>
        </w:trPr>
        <w:tc>
          <w:tcPr>
            <w:tcW w:w="1555" w:type="dxa"/>
          </w:tcPr>
          <w:p w14:paraId="1E0DB95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8C19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B23D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CF475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66545</w:t>
            </w:r>
          </w:p>
        </w:tc>
        <w:tc>
          <w:tcPr>
            <w:tcW w:w="1134" w:type="dxa"/>
          </w:tcPr>
          <w:p w14:paraId="394038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FB362D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40F524" w14:textId="77777777" w:rsidTr="00743919">
        <w:trPr>
          <w:trHeight w:val="302"/>
        </w:trPr>
        <w:tc>
          <w:tcPr>
            <w:tcW w:w="1555" w:type="dxa"/>
          </w:tcPr>
          <w:p w14:paraId="597C4D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0A8AA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AC9D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2E0D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66548</w:t>
            </w:r>
          </w:p>
        </w:tc>
        <w:tc>
          <w:tcPr>
            <w:tcW w:w="1134" w:type="dxa"/>
          </w:tcPr>
          <w:p w14:paraId="6FD332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3333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CA2A0D" w14:textId="77777777" w:rsidTr="00743919">
        <w:trPr>
          <w:trHeight w:val="302"/>
        </w:trPr>
        <w:tc>
          <w:tcPr>
            <w:tcW w:w="1555" w:type="dxa"/>
          </w:tcPr>
          <w:p w14:paraId="56091AF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5CCB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1034F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7059F3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66551</w:t>
            </w:r>
          </w:p>
        </w:tc>
        <w:tc>
          <w:tcPr>
            <w:tcW w:w="1134" w:type="dxa"/>
          </w:tcPr>
          <w:p w14:paraId="4DBA49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EA7DCA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D2B3058" w14:textId="77777777" w:rsidTr="00743919">
        <w:trPr>
          <w:trHeight w:val="302"/>
        </w:trPr>
        <w:tc>
          <w:tcPr>
            <w:tcW w:w="1555" w:type="dxa"/>
          </w:tcPr>
          <w:p w14:paraId="4EBBED9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A96B4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2A64C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0C02B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66554</w:t>
            </w:r>
          </w:p>
        </w:tc>
        <w:tc>
          <w:tcPr>
            <w:tcW w:w="1134" w:type="dxa"/>
          </w:tcPr>
          <w:p w14:paraId="4745F7E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244317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B091DF2" w14:textId="77777777" w:rsidTr="00743919">
        <w:trPr>
          <w:trHeight w:val="302"/>
        </w:trPr>
        <w:tc>
          <w:tcPr>
            <w:tcW w:w="1555" w:type="dxa"/>
          </w:tcPr>
          <w:p w14:paraId="2CEA990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FE75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FF7F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D6F9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66557</w:t>
            </w:r>
          </w:p>
        </w:tc>
        <w:tc>
          <w:tcPr>
            <w:tcW w:w="1134" w:type="dxa"/>
          </w:tcPr>
          <w:p w14:paraId="7822DA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27B9A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A2C0570" w14:textId="77777777" w:rsidTr="00743919">
        <w:trPr>
          <w:trHeight w:val="302"/>
        </w:trPr>
        <w:tc>
          <w:tcPr>
            <w:tcW w:w="1555" w:type="dxa"/>
          </w:tcPr>
          <w:p w14:paraId="37CE994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DAA3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AE83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AE7E0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66560</w:t>
            </w:r>
          </w:p>
        </w:tc>
        <w:tc>
          <w:tcPr>
            <w:tcW w:w="1134" w:type="dxa"/>
          </w:tcPr>
          <w:p w14:paraId="7CAAAA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69068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CFF82FF" w14:textId="77777777" w:rsidTr="00743919">
        <w:trPr>
          <w:trHeight w:val="302"/>
        </w:trPr>
        <w:tc>
          <w:tcPr>
            <w:tcW w:w="1555" w:type="dxa"/>
          </w:tcPr>
          <w:p w14:paraId="35D993D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708BB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52033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F6DFC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66563</w:t>
            </w:r>
          </w:p>
        </w:tc>
        <w:tc>
          <w:tcPr>
            <w:tcW w:w="1134" w:type="dxa"/>
          </w:tcPr>
          <w:p w14:paraId="198188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6FB1A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22E033C" w14:textId="77777777" w:rsidTr="00743919">
        <w:trPr>
          <w:trHeight w:val="302"/>
        </w:trPr>
        <w:tc>
          <w:tcPr>
            <w:tcW w:w="1555" w:type="dxa"/>
          </w:tcPr>
          <w:p w14:paraId="2151725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C9C37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00106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25E15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66566</w:t>
            </w:r>
          </w:p>
        </w:tc>
        <w:tc>
          <w:tcPr>
            <w:tcW w:w="1134" w:type="dxa"/>
          </w:tcPr>
          <w:p w14:paraId="4E7512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C5F618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B6C4326" w14:textId="77777777" w:rsidTr="00743919">
        <w:trPr>
          <w:trHeight w:val="302"/>
        </w:trPr>
        <w:tc>
          <w:tcPr>
            <w:tcW w:w="1555" w:type="dxa"/>
          </w:tcPr>
          <w:p w14:paraId="6A3F0AC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8E84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77A8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8C72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66569</w:t>
            </w:r>
          </w:p>
        </w:tc>
        <w:tc>
          <w:tcPr>
            <w:tcW w:w="1134" w:type="dxa"/>
          </w:tcPr>
          <w:p w14:paraId="5D2159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37BB21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5A78589" w14:textId="77777777" w:rsidTr="00743919">
        <w:trPr>
          <w:trHeight w:val="302"/>
        </w:trPr>
        <w:tc>
          <w:tcPr>
            <w:tcW w:w="1555" w:type="dxa"/>
          </w:tcPr>
          <w:p w14:paraId="2358C90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2491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5FBDA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A066B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66572</w:t>
            </w:r>
          </w:p>
        </w:tc>
        <w:tc>
          <w:tcPr>
            <w:tcW w:w="1134" w:type="dxa"/>
          </w:tcPr>
          <w:p w14:paraId="035602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9F91C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556C59" w14:textId="77777777" w:rsidTr="00743919">
        <w:trPr>
          <w:trHeight w:val="302"/>
        </w:trPr>
        <w:tc>
          <w:tcPr>
            <w:tcW w:w="1555" w:type="dxa"/>
          </w:tcPr>
          <w:p w14:paraId="26BAAC3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6E87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4ACC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199F7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66575</w:t>
            </w:r>
          </w:p>
        </w:tc>
        <w:tc>
          <w:tcPr>
            <w:tcW w:w="1134" w:type="dxa"/>
          </w:tcPr>
          <w:p w14:paraId="6AB561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71A86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8BE2FD" w14:textId="77777777" w:rsidTr="00743919">
        <w:trPr>
          <w:trHeight w:val="302"/>
        </w:trPr>
        <w:tc>
          <w:tcPr>
            <w:tcW w:w="1555" w:type="dxa"/>
          </w:tcPr>
          <w:p w14:paraId="022A8DB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8C6B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0D46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3542A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66578</w:t>
            </w:r>
          </w:p>
        </w:tc>
        <w:tc>
          <w:tcPr>
            <w:tcW w:w="1134" w:type="dxa"/>
          </w:tcPr>
          <w:p w14:paraId="4EE7B0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9607C4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88EB687" w14:textId="77777777" w:rsidTr="00743919">
        <w:trPr>
          <w:trHeight w:val="302"/>
        </w:trPr>
        <w:tc>
          <w:tcPr>
            <w:tcW w:w="1555" w:type="dxa"/>
          </w:tcPr>
          <w:p w14:paraId="128FFD2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EF4A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0578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EEA9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66581</w:t>
            </w:r>
          </w:p>
        </w:tc>
        <w:tc>
          <w:tcPr>
            <w:tcW w:w="1134" w:type="dxa"/>
          </w:tcPr>
          <w:p w14:paraId="21D9B8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886704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18E0435" w14:textId="77777777" w:rsidTr="00743919">
        <w:trPr>
          <w:trHeight w:val="302"/>
        </w:trPr>
        <w:tc>
          <w:tcPr>
            <w:tcW w:w="1555" w:type="dxa"/>
          </w:tcPr>
          <w:p w14:paraId="35FD253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B8AB1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2C112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E4C5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66584</w:t>
            </w:r>
          </w:p>
        </w:tc>
        <w:tc>
          <w:tcPr>
            <w:tcW w:w="1134" w:type="dxa"/>
          </w:tcPr>
          <w:p w14:paraId="5A6AAA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90A774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2CC1DD" w14:textId="77777777" w:rsidTr="00743919">
        <w:trPr>
          <w:trHeight w:val="302"/>
        </w:trPr>
        <w:tc>
          <w:tcPr>
            <w:tcW w:w="1555" w:type="dxa"/>
          </w:tcPr>
          <w:p w14:paraId="304427F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1BD15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DE8FE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E7868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66590</w:t>
            </w:r>
          </w:p>
        </w:tc>
        <w:tc>
          <w:tcPr>
            <w:tcW w:w="1134" w:type="dxa"/>
          </w:tcPr>
          <w:p w14:paraId="2C4A84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1C13C2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CCCFFA9" w14:textId="77777777" w:rsidTr="00743919">
        <w:trPr>
          <w:trHeight w:val="302"/>
        </w:trPr>
        <w:tc>
          <w:tcPr>
            <w:tcW w:w="1555" w:type="dxa"/>
          </w:tcPr>
          <w:p w14:paraId="2916092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6952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CA194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DCA84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66593</w:t>
            </w:r>
          </w:p>
        </w:tc>
        <w:tc>
          <w:tcPr>
            <w:tcW w:w="1134" w:type="dxa"/>
          </w:tcPr>
          <w:p w14:paraId="1D54D2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27329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E2A6A7" w14:textId="77777777" w:rsidTr="00743919">
        <w:trPr>
          <w:trHeight w:val="302"/>
        </w:trPr>
        <w:tc>
          <w:tcPr>
            <w:tcW w:w="1555" w:type="dxa"/>
          </w:tcPr>
          <w:p w14:paraId="4F78B55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D16D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171D9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7A7B3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66596</w:t>
            </w:r>
          </w:p>
        </w:tc>
        <w:tc>
          <w:tcPr>
            <w:tcW w:w="1134" w:type="dxa"/>
          </w:tcPr>
          <w:p w14:paraId="17B06E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80F92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91E2834" w14:textId="77777777" w:rsidTr="00743919">
        <w:trPr>
          <w:trHeight w:val="302"/>
        </w:trPr>
        <w:tc>
          <w:tcPr>
            <w:tcW w:w="1555" w:type="dxa"/>
          </w:tcPr>
          <w:p w14:paraId="1E2046F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74E18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A1AC3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BE40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66599</w:t>
            </w:r>
          </w:p>
        </w:tc>
        <w:tc>
          <w:tcPr>
            <w:tcW w:w="1134" w:type="dxa"/>
          </w:tcPr>
          <w:p w14:paraId="60AF27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8486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FD31DAB" w14:textId="77777777" w:rsidTr="00743919">
        <w:trPr>
          <w:trHeight w:val="302"/>
        </w:trPr>
        <w:tc>
          <w:tcPr>
            <w:tcW w:w="1555" w:type="dxa"/>
          </w:tcPr>
          <w:p w14:paraId="64F911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21403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4CB82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6AE8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66602</w:t>
            </w:r>
          </w:p>
        </w:tc>
        <w:tc>
          <w:tcPr>
            <w:tcW w:w="1134" w:type="dxa"/>
          </w:tcPr>
          <w:p w14:paraId="466B78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3FD848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9478B0A" w14:textId="77777777" w:rsidTr="00743919">
        <w:trPr>
          <w:trHeight w:val="302"/>
        </w:trPr>
        <w:tc>
          <w:tcPr>
            <w:tcW w:w="1555" w:type="dxa"/>
          </w:tcPr>
          <w:p w14:paraId="7125FA0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F658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DAB45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8712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66608</w:t>
            </w:r>
          </w:p>
        </w:tc>
        <w:tc>
          <w:tcPr>
            <w:tcW w:w="1134" w:type="dxa"/>
          </w:tcPr>
          <w:p w14:paraId="0ED000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CB650D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5023934" w14:textId="77777777" w:rsidTr="00743919">
        <w:trPr>
          <w:trHeight w:val="302"/>
        </w:trPr>
        <w:tc>
          <w:tcPr>
            <w:tcW w:w="1555" w:type="dxa"/>
          </w:tcPr>
          <w:p w14:paraId="28ADD70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1FCE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F31FC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BC20A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66623</w:t>
            </w:r>
          </w:p>
        </w:tc>
        <w:tc>
          <w:tcPr>
            <w:tcW w:w="1134" w:type="dxa"/>
          </w:tcPr>
          <w:p w14:paraId="6E0ABC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ED41C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BCCE8D2" w14:textId="77777777" w:rsidTr="00743919">
        <w:trPr>
          <w:trHeight w:val="302"/>
        </w:trPr>
        <w:tc>
          <w:tcPr>
            <w:tcW w:w="1555" w:type="dxa"/>
          </w:tcPr>
          <w:p w14:paraId="615950A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785C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7802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152B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66626</w:t>
            </w:r>
          </w:p>
        </w:tc>
        <w:tc>
          <w:tcPr>
            <w:tcW w:w="1134" w:type="dxa"/>
          </w:tcPr>
          <w:p w14:paraId="083B01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BDBB7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76B5E5" w14:textId="77777777" w:rsidTr="00743919">
        <w:trPr>
          <w:trHeight w:val="302"/>
        </w:trPr>
        <w:tc>
          <w:tcPr>
            <w:tcW w:w="1555" w:type="dxa"/>
          </w:tcPr>
          <w:p w14:paraId="3F0C830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E0C5D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6B87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73887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66629</w:t>
            </w:r>
          </w:p>
        </w:tc>
        <w:tc>
          <w:tcPr>
            <w:tcW w:w="1134" w:type="dxa"/>
          </w:tcPr>
          <w:p w14:paraId="1EBE4C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59C62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E8D8EAB" w14:textId="77777777" w:rsidTr="00743919">
        <w:trPr>
          <w:trHeight w:val="302"/>
        </w:trPr>
        <w:tc>
          <w:tcPr>
            <w:tcW w:w="1555" w:type="dxa"/>
          </w:tcPr>
          <w:p w14:paraId="742CF4C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B811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822C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EF9F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66632</w:t>
            </w:r>
          </w:p>
        </w:tc>
        <w:tc>
          <w:tcPr>
            <w:tcW w:w="1134" w:type="dxa"/>
          </w:tcPr>
          <w:p w14:paraId="46C3F12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07A68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0F5A148" w14:textId="77777777" w:rsidTr="00743919">
        <w:trPr>
          <w:trHeight w:val="302"/>
        </w:trPr>
        <w:tc>
          <w:tcPr>
            <w:tcW w:w="1555" w:type="dxa"/>
          </w:tcPr>
          <w:p w14:paraId="27A7245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229FE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02335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1BFF2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66635</w:t>
            </w:r>
          </w:p>
        </w:tc>
        <w:tc>
          <w:tcPr>
            <w:tcW w:w="1134" w:type="dxa"/>
          </w:tcPr>
          <w:p w14:paraId="4BC924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E997A4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80F2B0" w14:textId="77777777" w:rsidTr="00743919">
        <w:trPr>
          <w:trHeight w:val="302"/>
        </w:trPr>
        <w:tc>
          <w:tcPr>
            <w:tcW w:w="1555" w:type="dxa"/>
          </w:tcPr>
          <w:p w14:paraId="4A3921B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CD067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0CDA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23A3A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66650</w:t>
            </w:r>
          </w:p>
        </w:tc>
        <w:tc>
          <w:tcPr>
            <w:tcW w:w="1134" w:type="dxa"/>
          </w:tcPr>
          <w:p w14:paraId="7EE741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8CB622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ECF610B" w14:textId="77777777" w:rsidTr="00743919">
        <w:trPr>
          <w:trHeight w:val="302"/>
        </w:trPr>
        <w:tc>
          <w:tcPr>
            <w:tcW w:w="1555" w:type="dxa"/>
          </w:tcPr>
          <w:p w14:paraId="56EB548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D17A6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6B95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5A2E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66651</w:t>
            </w:r>
          </w:p>
        </w:tc>
        <w:tc>
          <w:tcPr>
            <w:tcW w:w="1134" w:type="dxa"/>
          </w:tcPr>
          <w:p w14:paraId="17ADE2C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4E20B1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4728CA" w14:textId="77777777" w:rsidTr="00743919">
        <w:trPr>
          <w:trHeight w:val="302"/>
        </w:trPr>
        <w:tc>
          <w:tcPr>
            <w:tcW w:w="1555" w:type="dxa"/>
          </w:tcPr>
          <w:p w14:paraId="24CAC2F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1A6E4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A799C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AC436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66652</w:t>
            </w:r>
          </w:p>
        </w:tc>
        <w:tc>
          <w:tcPr>
            <w:tcW w:w="1134" w:type="dxa"/>
          </w:tcPr>
          <w:p w14:paraId="7463DF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69034D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CD5D03" w14:textId="77777777" w:rsidTr="00743919">
        <w:trPr>
          <w:trHeight w:val="302"/>
        </w:trPr>
        <w:tc>
          <w:tcPr>
            <w:tcW w:w="1555" w:type="dxa"/>
          </w:tcPr>
          <w:p w14:paraId="25F4B8A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85DC9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FE4E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0906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66653</w:t>
            </w:r>
          </w:p>
        </w:tc>
        <w:tc>
          <w:tcPr>
            <w:tcW w:w="1134" w:type="dxa"/>
          </w:tcPr>
          <w:p w14:paraId="705CC8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279917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3455B49" w14:textId="77777777" w:rsidTr="00743919">
        <w:trPr>
          <w:trHeight w:val="302"/>
        </w:trPr>
        <w:tc>
          <w:tcPr>
            <w:tcW w:w="1555" w:type="dxa"/>
          </w:tcPr>
          <w:p w14:paraId="6D76286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8FA1D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E4465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F8AE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66655</w:t>
            </w:r>
          </w:p>
        </w:tc>
        <w:tc>
          <w:tcPr>
            <w:tcW w:w="1134" w:type="dxa"/>
          </w:tcPr>
          <w:p w14:paraId="5F5DCE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C5972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A5F5E0" w14:textId="77777777" w:rsidTr="00743919">
        <w:trPr>
          <w:trHeight w:val="302"/>
        </w:trPr>
        <w:tc>
          <w:tcPr>
            <w:tcW w:w="1555" w:type="dxa"/>
          </w:tcPr>
          <w:p w14:paraId="06CBD35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4787A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FE0AD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F34A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66656</w:t>
            </w:r>
          </w:p>
        </w:tc>
        <w:tc>
          <w:tcPr>
            <w:tcW w:w="1134" w:type="dxa"/>
          </w:tcPr>
          <w:p w14:paraId="187179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46D6A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3D5E868" w14:textId="77777777" w:rsidTr="00743919">
        <w:trPr>
          <w:trHeight w:val="302"/>
        </w:trPr>
        <w:tc>
          <w:tcPr>
            <w:tcW w:w="1555" w:type="dxa"/>
          </w:tcPr>
          <w:p w14:paraId="45D65C1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B9847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BFA30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25F5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66659</w:t>
            </w:r>
          </w:p>
        </w:tc>
        <w:tc>
          <w:tcPr>
            <w:tcW w:w="1134" w:type="dxa"/>
          </w:tcPr>
          <w:p w14:paraId="2337E8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2D6570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992D1B5" w14:textId="77777777" w:rsidTr="00743919">
        <w:trPr>
          <w:trHeight w:val="302"/>
        </w:trPr>
        <w:tc>
          <w:tcPr>
            <w:tcW w:w="1555" w:type="dxa"/>
          </w:tcPr>
          <w:p w14:paraId="2041CC7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4D3C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91619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FD622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66671</w:t>
            </w:r>
          </w:p>
        </w:tc>
        <w:tc>
          <w:tcPr>
            <w:tcW w:w="1134" w:type="dxa"/>
          </w:tcPr>
          <w:p w14:paraId="44E611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92A5F3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34636D7" w14:textId="77777777" w:rsidTr="00743919">
        <w:trPr>
          <w:trHeight w:val="302"/>
        </w:trPr>
        <w:tc>
          <w:tcPr>
            <w:tcW w:w="1555" w:type="dxa"/>
          </w:tcPr>
          <w:p w14:paraId="1084171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75F3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0631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9B03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66680</w:t>
            </w:r>
          </w:p>
        </w:tc>
        <w:tc>
          <w:tcPr>
            <w:tcW w:w="1134" w:type="dxa"/>
          </w:tcPr>
          <w:p w14:paraId="53E3A8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FD4D6E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F2D4DC4" w14:textId="77777777" w:rsidTr="00743919">
        <w:trPr>
          <w:trHeight w:val="302"/>
        </w:trPr>
        <w:tc>
          <w:tcPr>
            <w:tcW w:w="1555" w:type="dxa"/>
          </w:tcPr>
          <w:p w14:paraId="37B2896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74F2B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33D7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CF2B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66686</w:t>
            </w:r>
          </w:p>
        </w:tc>
        <w:tc>
          <w:tcPr>
            <w:tcW w:w="1134" w:type="dxa"/>
          </w:tcPr>
          <w:p w14:paraId="14C0E2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AC686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849A172" w14:textId="77777777" w:rsidTr="00743919">
        <w:trPr>
          <w:trHeight w:val="302"/>
        </w:trPr>
        <w:tc>
          <w:tcPr>
            <w:tcW w:w="1555" w:type="dxa"/>
          </w:tcPr>
          <w:p w14:paraId="680D540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5EA6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437C0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EF09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66695</w:t>
            </w:r>
          </w:p>
        </w:tc>
        <w:tc>
          <w:tcPr>
            <w:tcW w:w="1134" w:type="dxa"/>
          </w:tcPr>
          <w:p w14:paraId="725A88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2804B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2781AA" w14:textId="77777777" w:rsidTr="00743919">
        <w:trPr>
          <w:trHeight w:val="302"/>
        </w:trPr>
        <w:tc>
          <w:tcPr>
            <w:tcW w:w="1555" w:type="dxa"/>
          </w:tcPr>
          <w:p w14:paraId="5BC3586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0230D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BCBEB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9251B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66696</w:t>
            </w:r>
          </w:p>
        </w:tc>
        <w:tc>
          <w:tcPr>
            <w:tcW w:w="1134" w:type="dxa"/>
          </w:tcPr>
          <w:p w14:paraId="0F8EE5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819A6F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AF3EF07" w14:textId="77777777" w:rsidTr="00743919">
        <w:trPr>
          <w:trHeight w:val="302"/>
        </w:trPr>
        <w:tc>
          <w:tcPr>
            <w:tcW w:w="1555" w:type="dxa"/>
          </w:tcPr>
          <w:p w14:paraId="05A61D1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B7D0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D51E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FD41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66697</w:t>
            </w:r>
          </w:p>
        </w:tc>
        <w:tc>
          <w:tcPr>
            <w:tcW w:w="1134" w:type="dxa"/>
          </w:tcPr>
          <w:p w14:paraId="16D4CEA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095AF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3B6957A" w14:textId="77777777" w:rsidTr="00743919">
        <w:trPr>
          <w:trHeight w:val="302"/>
        </w:trPr>
        <w:tc>
          <w:tcPr>
            <w:tcW w:w="1555" w:type="dxa"/>
          </w:tcPr>
          <w:p w14:paraId="2B25C10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6AE9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A7F85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32C9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66698</w:t>
            </w:r>
          </w:p>
        </w:tc>
        <w:tc>
          <w:tcPr>
            <w:tcW w:w="1134" w:type="dxa"/>
          </w:tcPr>
          <w:p w14:paraId="3C59358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5680C8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2C4EEAB" w14:textId="77777777" w:rsidTr="00743919">
        <w:trPr>
          <w:trHeight w:val="302"/>
        </w:trPr>
        <w:tc>
          <w:tcPr>
            <w:tcW w:w="1555" w:type="dxa"/>
          </w:tcPr>
          <w:p w14:paraId="4E9146C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65447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4267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0959D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66701</w:t>
            </w:r>
          </w:p>
        </w:tc>
        <w:tc>
          <w:tcPr>
            <w:tcW w:w="1134" w:type="dxa"/>
          </w:tcPr>
          <w:p w14:paraId="46BA03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933C97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690107" w14:textId="77777777" w:rsidTr="00743919">
        <w:trPr>
          <w:trHeight w:val="302"/>
        </w:trPr>
        <w:tc>
          <w:tcPr>
            <w:tcW w:w="1555" w:type="dxa"/>
          </w:tcPr>
          <w:p w14:paraId="5804C31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BCAF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6A5E5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562EA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66704</w:t>
            </w:r>
          </w:p>
        </w:tc>
        <w:tc>
          <w:tcPr>
            <w:tcW w:w="1134" w:type="dxa"/>
          </w:tcPr>
          <w:p w14:paraId="3EC13E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698650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924406" w14:textId="77777777" w:rsidTr="00743919">
        <w:trPr>
          <w:trHeight w:val="302"/>
        </w:trPr>
        <w:tc>
          <w:tcPr>
            <w:tcW w:w="1555" w:type="dxa"/>
          </w:tcPr>
          <w:p w14:paraId="2A5965E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2A7FC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947E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C289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66707</w:t>
            </w:r>
          </w:p>
        </w:tc>
        <w:tc>
          <w:tcPr>
            <w:tcW w:w="1134" w:type="dxa"/>
          </w:tcPr>
          <w:p w14:paraId="5A3494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E3DCA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872B2F8" w14:textId="77777777" w:rsidTr="00743919">
        <w:trPr>
          <w:trHeight w:val="302"/>
        </w:trPr>
        <w:tc>
          <w:tcPr>
            <w:tcW w:w="1555" w:type="dxa"/>
          </w:tcPr>
          <w:p w14:paraId="6D4857F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64A5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F3BA2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DD3B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66715</w:t>
            </w:r>
          </w:p>
        </w:tc>
        <w:tc>
          <w:tcPr>
            <w:tcW w:w="1134" w:type="dxa"/>
          </w:tcPr>
          <w:p w14:paraId="4B4E65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9A34AA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18D4EBE" w14:textId="77777777" w:rsidTr="00743919">
        <w:trPr>
          <w:trHeight w:val="302"/>
        </w:trPr>
        <w:tc>
          <w:tcPr>
            <w:tcW w:w="1555" w:type="dxa"/>
          </w:tcPr>
          <w:p w14:paraId="53489B9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3853B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93C39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66F97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66716</w:t>
            </w:r>
          </w:p>
        </w:tc>
        <w:tc>
          <w:tcPr>
            <w:tcW w:w="1134" w:type="dxa"/>
          </w:tcPr>
          <w:p w14:paraId="22175A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4F4772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A22E8B" w14:textId="77777777" w:rsidTr="00743919">
        <w:trPr>
          <w:trHeight w:val="302"/>
        </w:trPr>
        <w:tc>
          <w:tcPr>
            <w:tcW w:w="1555" w:type="dxa"/>
          </w:tcPr>
          <w:p w14:paraId="0512B4D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B0E3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0B79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5050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66719</w:t>
            </w:r>
          </w:p>
        </w:tc>
        <w:tc>
          <w:tcPr>
            <w:tcW w:w="1134" w:type="dxa"/>
          </w:tcPr>
          <w:p w14:paraId="2D27B12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C466A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2074727" w14:textId="77777777" w:rsidTr="00743919">
        <w:trPr>
          <w:trHeight w:val="302"/>
        </w:trPr>
        <w:tc>
          <w:tcPr>
            <w:tcW w:w="1555" w:type="dxa"/>
          </w:tcPr>
          <w:p w14:paraId="43E04E3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260F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1CCC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5E3F57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66722</w:t>
            </w:r>
          </w:p>
        </w:tc>
        <w:tc>
          <w:tcPr>
            <w:tcW w:w="1134" w:type="dxa"/>
          </w:tcPr>
          <w:p w14:paraId="754CA5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864E73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0501014" w14:textId="77777777" w:rsidTr="00743919">
        <w:trPr>
          <w:trHeight w:val="302"/>
        </w:trPr>
        <w:tc>
          <w:tcPr>
            <w:tcW w:w="1555" w:type="dxa"/>
          </w:tcPr>
          <w:p w14:paraId="1C418E0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F20A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57DD2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6FC2E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66723</w:t>
            </w:r>
          </w:p>
        </w:tc>
        <w:tc>
          <w:tcPr>
            <w:tcW w:w="1134" w:type="dxa"/>
          </w:tcPr>
          <w:p w14:paraId="438EC4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7180A4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5AF6216" w14:textId="77777777" w:rsidTr="00743919">
        <w:trPr>
          <w:trHeight w:val="302"/>
        </w:trPr>
        <w:tc>
          <w:tcPr>
            <w:tcW w:w="1555" w:type="dxa"/>
          </w:tcPr>
          <w:p w14:paraId="2A859C8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D258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A8EC47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12FF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66724</w:t>
            </w:r>
          </w:p>
        </w:tc>
        <w:tc>
          <w:tcPr>
            <w:tcW w:w="1134" w:type="dxa"/>
          </w:tcPr>
          <w:p w14:paraId="7DCFE4B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876EB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C9DF60" w14:textId="77777777" w:rsidTr="00743919">
        <w:trPr>
          <w:trHeight w:val="302"/>
        </w:trPr>
        <w:tc>
          <w:tcPr>
            <w:tcW w:w="1555" w:type="dxa"/>
          </w:tcPr>
          <w:p w14:paraId="3452A6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1C1EC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8D5F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918D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66725</w:t>
            </w:r>
          </w:p>
        </w:tc>
        <w:tc>
          <w:tcPr>
            <w:tcW w:w="1134" w:type="dxa"/>
          </w:tcPr>
          <w:p w14:paraId="2BF2BD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66DA1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43A51AD" w14:textId="77777777" w:rsidTr="00743919">
        <w:trPr>
          <w:trHeight w:val="302"/>
        </w:trPr>
        <w:tc>
          <w:tcPr>
            <w:tcW w:w="1555" w:type="dxa"/>
          </w:tcPr>
          <w:p w14:paraId="398B4E1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4008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8EF9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F0402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66728</w:t>
            </w:r>
          </w:p>
        </w:tc>
        <w:tc>
          <w:tcPr>
            <w:tcW w:w="1134" w:type="dxa"/>
          </w:tcPr>
          <w:p w14:paraId="17F3CB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EC55AD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55BD63" w14:textId="77777777" w:rsidTr="00743919">
        <w:trPr>
          <w:trHeight w:val="302"/>
        </w:trPr>
        <w:tc>
          <w:tcPr>
            <w:tcW w:w="1555" w:type="dxa"/>
          </w:tcPr>
          <w:p w14:paraId="7C5C51F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CC104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D40D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92399C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66731</w:t>
            </w:r>
          </w:p>
        </w:tc>
        <w:tc>
          <w:tcPr>
            <w:tcW w:w="1134" w:type="dxa"/>
          </w:tcPr>
          <w:p w14:paraId="75CFCC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E236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B20D6FD" w14:textId="77777777" w:rsidTr="00743919">
        <w:trPr>
          <w:trHeight w:val="302"/>
        </w:trPr>
        <w:tc>
          <w:tcPr>
            <w:tcW w:w="1555" w:type="dxa"/>
          </w:tcPr>
          <w:p w14:paraId="484F5A1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73F86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B1064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F63B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66734</w:t>
            </w:r>
          </w:p>
        </w:tc>
        <w:tc>
          <w:tcPr>
            <w:tcW w:w="1134" w:type="dxa"/>
          </w:tcPr>
          <w:p w14:paraId="5744FE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CD6E52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DC11880" w14:textId="77777777" w:rsidTr="00743919">
        <w:trPr>
          <w:trHeight w:val="302"/>
        </w:trPr>
        <w:tc>
          <w:tcPr>
            <w:tcW w:w="1555" w:type="dxa"/>
          </w:tcPr>
          <w:p w14:paraId="25E4840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A8B0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8995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D332A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66743</w:t>
            </w:r>
          </w:p>
        </w:tc>
        <w:tc>
          <w:tcPr>
            <w:tcW w:w="1134" w:type="dxa"/>
          </w:tcPr>
          <w:p w14:paraId="5EEFB9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DACEB0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895F60" w14:textId="77777777" w:rsidTr="00743919">
        <w:trPr>
          <w:trHeight w:val="302"/>
        </w:trPr>
        <w:tc>
          <w:tcPr>
            <w:tcW w:w="1555" w:type="dxa"/>
          </w:tcPr>
          <w:p w14:paraId="53D5BFB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299C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95E7D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8F073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66752</w:t>
            </w:r>
          </w:p>
        </w:tc>
        <w:tc>
          <w:tcPr>
            <w:tcW w:w="1134" w:type="dxa"/>
          </w:tcPr>
          <w:p w14:paraId="3B929B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6ED2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C74F12" w14:textId="77777777" w:rsidTr="00743919">
        <w:trPr>
          <w:trHeight w:val="302"/>
        </w:trPr>
        <w:tc>
          <w:tcPr>
            <w:tcW w:w="1555" w:type="dxa"/>
          </w:tcPr>
          <w:p w14:paraId="611CD00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9665B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E2D3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C63A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66755</w:t>
            </w:r>
          </w:p>
        </w:tc>
        <w:tc>
          <w:tcPr>
            <w:tcW w:w="1134" w:type="dxa"/>
          </w:tcPr>
          <w:p w14:paraId="0DCB08C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11D154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6E2944" w14:textId="77777777" w:rsidTr="00743919">
        <w:trPr>
          <w:trHeight w:val="302"/>
        </w:trPr>
        <w:tc>
          <w:tcPr>
            <w:tcW w:w="1555" w:type="dxa"/>
          </w:tcPr>
          <w:p w14:paraId="6031111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68CD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0AD4C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360A3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66758</w:t>
            </w:r>
          </w:p>
        </w:tc>
        <w:tc>
          <w:tcPr>
            <w:tcW w:w="1134" w:type="dxa"/>
          </w:tcPr>
          <w:p w14:paraId="2D6129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38F59A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3499E01" w14:textId="77777777" w:rsidTr="00743919">
        <w:trPr>
          <w:trHeight w:val="302"/>
        </w:trPr>
        <w:tc>
          <w:tcPr>
            <w:tcW w:w="1555" w:type="dxa"/>
          </w:tcPr>
          <w:p w14:paraId="7631DCE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1F3B9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E1B41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6A55E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66761</w:t>
            </w:r>
          </w:p>
        </w:tc>
        <w:tc>
          <w:tcPr>
            <w:tcW w:w="1134" w:type="dxa"/>
          </w:tcPr>
          <w:p w14:paraId="71319B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16731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A41040B" w14:textId="77777777" w:rsidTr="00743919">
        <w:trPr>
          <w:trHeight w:val="302"/>
        </w:trPr>
        <w:tc>
          <w:tcPr>
            <w:tcW w:w="1555" w:type="dxa"/>
          </w:tcPr>
          <w:p w14:paraId="4A3F811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1489C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99AAE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2353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66764</w:t>
            </w:r>
          </w:p>
        </w:tc>
        <w:tc>
          <w:tcPr>
            <w:tcW w:w="1134" w:type="dxa"/>
          </w:tcPr>
          <w:p w14:paraId="4C43BC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9362C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CEDA604" w14:textId="77777777" w:rsidTr="00743919">
        <w:trPr>
          <w:trHeight w:val="302"/>
        </w:trPr>
        <w:tc>
          <w:tcPr>
            <w:tcW w:w="1555" w:type="dxa"/>
          </w:tcPr>
          <w:p w14:paraId="2B450A1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A0E4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57D7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1F03B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66767</w:t>
            </w:r>
          </w:p>
        </w:tc>
        <w:tc>
          <w:tcPr>
            <w:tcW w:w="1134" w:type="dxa"/>
          </w:tcPr>
          <w:p w14:paraId="581457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F5A795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50F9DC9" w14:textId="77777777" w:rsidTr="00743919">
        <w:trPr>
          <w:trHeight w:val="302"/>
        </w:trPr>
        <w:tc>
          <w:tcPr>
            <w:tcW w:w="1555" w:type="dxa"/>
          </w:tcPr>
          <w:p w14:paraId="7406D61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55148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458D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4AFC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66770</w:t>
            </w:r>
          </w:p>
        </w:tc>
        <w:tc>
          <w:tcPr>
            <w:tcW w:w="1134" w:type="dxa"/>
          </w:tcPr>
          <w:p w14:paraId="0CB9E4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83CB0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ECA4F7" w14:textId="77777777" w:rsidTr="00743919">
        <w:trPr>
          <w:trHeight w:val="302"/>
        </w:trPr>
        <w:tc>
          <w:tcPr>
            <w:tcW w:w="1555" w:type="dxa"/>
          </w:tcPr>
          <w:p w14:paraId="6324F93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C7A95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5C4DD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661D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66773</w:t>
            </w:r>
          </w:p>
        </w:tc>
        <w:tc>
          <w:tcPr>
            <w:tcW w:w="1134" w:type="dxa"/>
          </w:tcPr>
          <w:p w14:paraId="448997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D942F6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83D2A8" w14:textId="77777777" w:rsidTr="00743919">
        <w:trPr>
          <w:trHeight w:val="302"/>
        </w:trPr>
        <w:tc>
          <w:tcPr>
            <w:tcW w:w="1555" w:type="dxa"/>
          </w:tcPr>
          <w:p w14:paraId="59818A7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9A914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68ED6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0BC86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66779</w:t>
            </w:r>
          </w:p>
        </w:tc>
        <w:tc>
          <w:tcPr>
            <w:tcW w:w="1134" w:type="dxa"/>
          </w:tcPr>
          <w:p w14:paraId="0B8B13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174162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DA7EC98" w14:textId="77777777" w:rsidTr="00743919">
        <w:trPr>
          <w:trHeight w:val="302"/>
        </w:trPr>
        <w:tc>
          <w:tcPr>
            <w:tcW w:w="1555" w:type="dxa"/>
          </w:tcPr>
          <w:p w14:paraId="153538E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D476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C251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CEC7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66782</w:t>
            </w:r>
          </w:p>
        </w:tc>
        <w:tc>
          <w:tcPr>
            <w:tcW w:w="1134" w:type="dxa"/>
          </w:tcPr>
          <w:p w14:paraId="0EB7D7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DD9F56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B6E958" w14:textId="77777777" w:rsidTr="00743919">
        <w:trPr>
          <w:trHeight w:val="302"/>
        </w:trPr>
        <w:tc>
          <w:tcPr>
            <w:tcW w:w="1555" w:type="dxa"/>
          </w:tcPr>
          <w:p w14:paraId="5E2C794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3689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40A1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87DE1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66800</w:t>
            </w:r>
          </w:p>
        </w:tc>
        <w:tc>
          <w:tcPr>
            <w:tcW w:w="1134" w:type="dxa"/>
          </w:tcPr>
          <w:p w14:paraId="30403A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1C7B6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7C5C007" w14:textId="77777777" w:rsidTr="00743919">
        <w:trPr>
          <w:trHeight w:val="302"/>
        </w:trPr>
        <w:tc>
          <w:tcPr>
            <w:tcW w:w="1555" w:type="dxa"/>
          </w:tcPr>
          <w:p w14:paraId="4A22C76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47E2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CA2C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168A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66803</w:t>
            </w:r>
          </w:p>
        </w:tc>
        <w:tc>
          <w:tcPr>
            <w:tcW w:w="1134" w:type="dxa"/>
          </w:tcPr>
          <w:p w14:paraId="45BA8F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305F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D4848C" w14:textId="77777777" w:rsidTr="00743919">
        <w:trPr>
          <w:trHeight w:val="302"/>
        </w:trPr>
        <w:tc>
          <w:tcPr>
            <w:tcW w:w="1555" w:type="dxa"/>
          </w:tcPr>
          <w:p w14:paraId="5864B45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A6677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7F879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5951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66804</w:t>
            </w:r>
          </w:p>
        </w:tc>
        <w:tc>
          <w:tcPr>
            <w:tcW w:w="1134" w:type="dxa"/>
          </w:tcPr>
          <w:p w14:paraId="478E0D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FA2925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F9E927" w14:textId="77777777" w:rsidTr="00743919">
        <w:trPr>
          <w:trHeight w:val="302"/>
        </w:trPr>
        <w:tc>
          <w:tcPr>
            <w:tcW w:w="1555" w:type="dxa"/>
          </w:tcPr>
          <w:p w14:paraId="15EDB52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B4B0E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7652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B593A2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66806</w:t>
            </w:r>
          </w:p>
        </w:tc>
        <w:tc>
          <w:tcPr>
            <w:tcW w:w="1134" w:type="dxa"/>
          </w:tcPr>
          <w:p w14:paraId="29199A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64A004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3710D41" w14:textId="77777777" w:rsidTr="00743919">
        <w:trPr>
          <w:trHeight w:val="302"/>
        </w:trPr>
        <w:tc>
          <w:tcPr>
            <w:tcW w:w="1555" w:type="dxa"/>
          </w:tcPr>
          <w:p w14:paraId="617267F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D0A5C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181B2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ADB6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66812</w:t>
            </w:r>
          </w:p>
        </w:tc>
        <w:tc>
          <w:tcPr>
            <w:tcW w:w="1134" w:type="dxa"/>
          </w:tcPr>
          <w:p w14:paraId="1E3996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25FE21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56481FD" w14:textId="77777777" w:rsidTr="00743919">
        <w:trPr>
          <w:trHeight w:val="302"/>
        </w:trPr>
        <w:tc>
          <w:tcPr>
            <w:tcW w:w="1555" w:type="dxa"/>
          </w:tcPr>
          <w:p w14:paraId="3316575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21B7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79969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8040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66815</w:t>
            </w:r>
          </w:p>
        </w:tc>
        <w:tc>
          <w:tcPr>
            <w:tcW w:w="1134" w:type="dxa"/>
          </w:tcPr>
          <w:p w14:paraId="5A3AEF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F815A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F6670D" w14:textId="77777777" w:rsidTr="00743919">
        <w:trPr>
          <w:trHeight w:val="302"/>
        </w:trPr>
        <w:tc>
          <w:tcPr>
            <w:tcW w:w="1555" w:type="dxa"/>
          </w:tcPr>
          <w:p w14:paraId="3BDB8F3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11215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D6B9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18C0F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66819</w:t>
            </w:r>
          </w:p>
        </w:tc>
        <w:tc>
          <w:tcPr>
            <w:tcW w:w="1134" w:type="dxa"/>
          </w:tcPr>
          <w:p w14:paraId="454DCE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50A088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5214E3" w14:textId="77777777" w:rsidTr="00743919">
        <w:trPr>
          <w:trHeight w:val="302"/>
        </w:trPr>
        <w:tc>
          <w:tcPr>
            <w:tcW w:w="1555" w:type="dxa"/>
          </w:tcPr>
          <w:p w14:paraId="13DC648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909137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C3C8B3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B534F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66830</w:t>
            </w:r>
          </w:p>
        </w:tc>
        <w:tc>
          <w:tcPr>
            <w:tcW w:w="1134" w:type="dxa"/>
          </w:tcPr>
          <w:p w14:paraId="37BDB0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336CC8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7A5A73A" w14:textId="77777777" w:rsidTr="00743919">
        <w:trPr>
          <w:trHeight w:val="302"/>
        </w:trPr>
        <w:tc>
          <w:tcPr>
            <w:tcW w:w="1555" w:type="dxa"/>
          </w:tcPr>
          <w:p w14:paraId="2FF8363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045909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P3 Microbiology</w:t>
            </w:r>
          </w:p>
        </w:tc>
        <w:tc>
          <w:tcPr>
            <w:tcW w:w="1843" w:type="dxa"/>
          </w:tcPr>
          <w:p w14:paraId="67C9915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3AD929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69300</w:t>
            </w:r>
          </w:p>
        </w:tc>
        <w:tc>
          <w:tcPr>
            <w:tcW w:w="1134" w:type="dxa"/>
          </w:tcPr>
          <w:p w14:paraId="3819A8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6CCA9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A3BCCF" w14:textId="77777777" w:rsidTr="00743919">
        <w:trPr>
          <w:trHeight w:val="302"/>
        </w:trPr>
        <w:tc>
          <w:tcPr>
            <w:tcW w:w="1555" w:type="dxa"/>
          </w:tcPr>
          <w:p w14:paraId="190D2C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97B4D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A496F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E3A18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69303</w:t>
            </w:r>
          </w:p>
        </w:tc>
        <w:tc>
          <w:tcPr>
            <w:tcW w:w="1134" w:type="dxa"/>
          </w:tcPr>
          <w:p w14:paraId="45C76E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ED5D6F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67CA00" w14:textId="77777777" w:rsidTr="00743919">
        <w:trPr>
          <w:trHeight w:val="302"/>
        </w:trPr>
        <w:tc>
          <w:tcPr>
            <w:tcW w:w="1555" w:type="dxa"/>
          </w:tcPr>
          <w:p w14:paraId="708F223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1FBF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04EA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A9EA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69306</w:t>
            </w:r>
          </w:p>
        </w:tc>
        <w:tc>
          <w:tcPr>
            <w:tcW w:w="1134" w:type="dxa"/>
          </w:tcPr>
          <w:p w14:paraId="67A432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2B4E4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949ECC1" w14:textId="77777777" w:rsidTr="00743919">
        <w:trPr>
          <w:trHeight w:val="302"/>
        </w:trPr>
        <w:tc>
          <w:tcPr>
            <w:tcW w:w="1555" w:type="dxa"/>
          </w:tcPr>
          <w:p w14:paraId="49BD16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0D59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93208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7B69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69309</w:t>
            </w:r>
          </w:p>
        </w:tc>
        <w:tc>
          <w:tcPr>
            <w:tcW w:w="1134" w:type="dxa"/>
          </w:tcPr>
          <w:p w14:paraId="0C802E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822EC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2CBC5D3" w14:textId="77777777" w:rsidTr="00743919">
        <w:trPr>
          <w:trHeight w:val="302"/>
        </w:trPr>
        <w:tc>
          <w:tcPr>
            <w:tcW w:w="1555" w:type="dxa"/>
          </w:tcPr>
          <w:p w14:paraId="440C54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81CED4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8C84D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4D7B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69312</w:t>
            </w:r>
          </w:p>
        </w:tc>
        <w:tc>
          <w:tcPr>
            <w:tcW w:w="1134" w:type="dxa"/>
          </w:tcPr>
          <w:p w14:paraId="327847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5ABB2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574DE0" w14:textId="77777777" w:rsidTr="00743919">
        <w:trPr>
          <w:trHeight w:val="302"/>
        </w:trPr>
        <w:tc>
          <w:tcPr>
            <w:tcW w:w="1555" w:type="dxa"/>
          </w:tcPr>
          <w:p w14:paraId="0E7121F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31EE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79008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BAE21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69316</w:t>
            </w:r>
          </w:p>
        </w:tc>
        <w:tc>
          <w:tcPr>
            <w:tcW w:w="1134" w:type="dxa"/>
          </w:tcPr>
          <w:p w14:paraId="223A7A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87F6BC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8AA7C1F" w14:textId="77777777" w:rsidTr="00743919">
        <w:trPr>
          <w:trHeight w:val="302"/>
        </w:trPr>
        <w:tc>
          <w:tcPr>
            <w:tcW w:w="1555" w:type="dxa"/>
          </w:tcPr>
          <w:p w14:paraId="2F5338E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BAEE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C58C2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42113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69317</w:t>
            </w:r>
          </w:p>
        </w:tc>
        <w:tc>
          <w:tcPr>
            <w:tcW w:w="1134" w:type="dxa"/>
          </w:tcPr>
          <w:p w14:paraId="23F4FD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8ACCFB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B6762E6" w14:textId="77777777" w:rsidTr="00743919">
        <w:trPr>
          <w:trHeight w:val="302"/>
        </w:trPr>
        <w:tc>
          <w:tcPr>
            <w:tcW w:w="1555" w:type="dxa"/>
          </w:tcPr>
          <w:p w14:paraId="6F6891C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AD0A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E7CC6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DD05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69318</w:t>
            </w:r>
          </w:p>
        </w:tc>
        <w:tc>
          <w:tcPr>
            <w:tcW w:w="1134" w:type="dxa"/>
          </w:tcPr>
          <w:p w14:paraId="41169EA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BD166F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831B6D3" w14:textId="77777777" w:rsidTr="00743919">
        <w:trPr>
          <w:trHeight w:val="302"/>
        </w:trPr>
        <w:tc>
          <w:tcPr>
            <w:tcW w:w="1555" w:type="dxa"/>
          </w:tcPr>
          <w:p w14:paraId="5849FD9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992D3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D973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34DDD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69319</w:t>
            </w:r>
          </w:p>
        </w:tc>
        <w:tc>
          <w:tcPr>
            <w:tcW w:w="1134" w:type="dxa"/>
          </w:tcPr>
          <w:p w14:paraId="542F8DD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609B4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3594762" w14:textId="77777777" w:rsidTr="00743919">
        <w:trPr>
          <w:trHeight w:val="302"/>
        </w:trPr>
        <w:tc>
          <w:tcPr>
            <w:tcW w:w="1555" w:type="dxa"/>
          </w:tcPr>
          <w:p w14:paraId="263FBA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5D573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8CE7F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0326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69321</w:t>
            </w:r>
          </w:p>
        </w:tc>
        <w:tc>
          <w:tcPr>
            <w:tcW w:w="1134" w:type="dxa"/>
          </w:tcPr>
          <w:p w14:paraId="24ED61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1B4E24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2830AED" w14:textId="77777777" w:rsidTr="00743919">
        <w:trPr>
          <w:trHeight w:val="302"/>
        </w:trPr>
        <w:tc>
          <w:tcPr>
            <w:tcW w:w="1555" w:type="dxa"/>
          </w:tcPr>
          <w:p w14:paraId="23145E0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F6834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A638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D643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69324</w:t>
            </w:r>
          </w:p>
        </w:tc>
        <w:tc>
          <w:tcPr>
            <w:tcW w:w="1134" w:type="dxa"/>
          </w:tcPr>
          <w:p w14:paraId="20F265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E2091B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B9B0BD7" w14:textId="77777777" w:rsidTr="00743919">
        <w:trPr>
          <w:trHeight w:val="302"/>
        </w:trPr>
        <w:tc>
          <w:tcPr>
            <w:tcW w:w="1555" w:type="dxa"/>
          </w:tcPr>
          <w:p w14:paraId="4846D9B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11B6D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450BC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4BF3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69325</w:t>
            </w:r>
          </w:p>
        </w:tc>
        <w:tc>
          <w:tcPr>
            <w:tcW w:w="1134" w:type="dxa"/>
          </w:tcPr>
          <w:p w14:paraId="74D7C3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4779BA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32EA9AC" w14:textId="77777777" w:rsidTr="00743919">
        <w:trPr>
          <w:trHeight w:val="302"/>
        </w:trPr>
        <w:tc>
          <w:tcPr>
            <w:tcW w:w="1555" w:type="dxa"/>
          </w:tcPr>
          <w:p w14:paraId="16221D7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5D0EF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B9398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52F2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69327</w:t>
            </w:r>
          </w:p>
        </w:tc>
        <w:tc>
          <w:tcPr>
            <w:tcW w:w="1134" w:type="dxa"/>
          </w:tcPr>
          <w:p w14:paraId="012200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089026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341AA1A" w14:textId="77777777" w:rsidTr="00743919">
        <w:trPr>
          <w:trHeight w:val="302"/>
        </w:trPr>
        <w:tc>
          <w:tcPr>
            <w:tcW w:w="1555" w:type="dxa"/>
          </w:tcPr>
          <w:p w14:paraId="603018E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038C1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557C4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8CBA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69328</w:t>
            </w:r>
          </w:p>
        </w:tc>
        <w:tc>
          <w:tcPr>
            <w:tcW w:w="1134" w:type="dxa"/>
          </w:tcPr>
          <w:p w14:paraId="1FCB83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8A71E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38C17A" w14:textId="77777777" w:rsidTr="00743919">
        <w:trPr>
          <w:trHeight w:val="302"/>
        </w:trPr>
        <w:tc>
          <w:tcPr>
            <w:tcW w:w="1555" w:type="dxa"/>
          </w:tcPr>
          <w:p w14:paraId="29277DD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1365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21BED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46860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69330</w:t>
            </w:r>
          </w:p>
        </w:tc>
        <w:tc>
          <w:tcPr>
            <w:tcW w:w="1134" w:type="dxa"/>
          </w:tcPr>
          <w:p w14:paraId="135567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64A5C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CC80AC6" w14:textId="77777777" w:rsidTr="00743919">
        <w:trPr>
          <w:trHeight w:val="302"/>
        </w:trPr>
        <w:tc>
          <w:tcPr>
            <w:tcW w:w="1555" w:type="dxa"/>
          </w:tcPr>
          <w:p w14:paraId="4A63144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60EA3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A4CF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FBD4B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69331</w:t>
            </w:r>
          </w:p>
        </w:tc>
        <w:tc>
          <w:tcPr>
            <w:tcW w:w="1134" w:type="dxa"/>
          </w:tcPr>
          <w:p w14:paraId="4C03271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000B8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A7692C7" w14:textId="77777777" w:rsidTr="00743919">
        <w:trPr>
          <w:trHeight w:val="302"/>
        </w:trPr>
        <w:tc>
          <w:tcPr>
            <w:tcW w:w="1555" w:type="dxa"/>
          </w:tcPr>
          <w:p w14:paraId="71520CA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3BBF1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1B7B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54F81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69333</w:t>
            </w:r>
          </w:p>
        </w:tc>
        <w:tc>
          <w:tcPr>
            <w:tcW w:w="1134" w:type="dxa"/>
          </w:tcPr>
          <w:p w14:paraId="26195DD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631402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8D1C4E" w14:textId="77777777" w:rsidTr="00743919">
        <w:trPr>
          <w:trHeight w:val="302"/>
        </w:trPr>
        <w:tc>
          <w:tcPr>
            <w:tcW w:w="1555" w:type="dxa"/>
          </w:tcPr>
          <w:p w14:paraId="51E98C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7CA4F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5553E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816A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69336</w:t>
            </w:r>
          </w:p>
        </w:tc>
        <w:tc>
          <w:tcPr>
            <w:tcW w:w="1134" w:type="dxa"/>
          </w:tcPr>
          <w:p w14:paraId="42D94A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516462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C3E3418" w14:textId="77777777" w:rsidTr="00743919">
        <w:trPr>
          <w:trHeight w:val="302"/>
        </w:trPr>
        <w:tc>
          <w:tcPr>
            <w:tcW w:w="1555" w:type="dxa"/>
          </w:tcPr>
          <w:p w14:paraId="5A83BEA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357F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E658C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D959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69339</w:t>
            </w:r>
          </w:p>
        </w:tc>
        <w:tc>
          <w:tcPr>
            <w:tcW w:w="1134" w:type="dxa"/>
          </w:tcPr>
          <w:p w14:paraId="054735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CE311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2CA2BE6" w14:textId="77777777" w:rsidTr="00743919">
        <w:trPr>
          <w:trHeight w:val="302"/>
        </w:trPr>
        <w:tc>
          <w:tcPr>
            <w:tcW w:w="1555" w:type="dxa"/>
          </w:tcPr>
          <w:p w14:paraId="596156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3CBD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4D42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5F803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69345</w:t>
            </w:r>
          </w:p>
        </w:tc>
        <w:tc>
          <w:tcPr>
            <w:tcW w:w="1134" w:type="dxa"/>
          </w:tcPr>
          <w:p w14:paraId="36BDD3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B6F959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5A435F5" w14:textId="77777777" w:rsidTr="00743919">
        <w:trPr>
          <w:trHeight w:val="302"/>
        </w:trPr>
        <w:tc>
          <w:tcPr>
            <w:tcW w:w="1555" w:type="dxa"/>
          </w:tcPr>
          <w:p w14:paraId="51030E4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D4810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0BDA7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6C7AA6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69354</w:t>
            </w:r>
          </w:p>
        </w:tc>
        <w:tc>
          <w:tcPr>
            <w:tcW w:w="1134" w:type="dxa"/>
          </w:tcPr>
          <w:p w14:paraId="04E140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7578B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7AE9EB" w14:textId="77777777" w:rsidTr="00743919">
        <w:trPr>
          <w:trHeight w:val="302"/>
        </w:trPr>
        <w:tc>
          <w:tcPr>
            <w:tcW w:w="1555" w:type="dxa"/>
          </w:tcPr>
          <w:p w14:paraId="47B6C40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8C34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2D7AB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DE6F8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69357</w:t>
            </w:r>
          </w:p>
        </w:tc>
        <w:tc>
          <w:tcPr>
            <w:tcW w:w="1134" w:type="dxa"/>
          </w:tcPr>
          <w:p w14:paraId="5E68BC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306C32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AC4C8A" w14:textId="77777777" w:rsidTr="00743919">
        <w:trPr>
          <w:trHeight w:val="302"/>
        </w:trPr>
        <w:tc>
          <w:tcPr>
            <w:tcW w:w="1555" w:type="dxa"/>
          </w:tcPr>
          <w:p w14:paraId="376CC25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68B2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8E7D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673BB8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69360</w:t>
            </w:r>
          </w:p>
        </w:tc>
        <w:tc>
          <w:tcPr>
            <w:tcW w:w="1134" w:type="dxa"/>
          </w:tcPr>
          <w:p w14:paraId="40ED14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23AA3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983345" w14:textId="77777777" w:rsidTr="00743919">
        <w:trPr>
          <w:trHeight w:val="302"/>
        </w:trPr>
        <w:tc>
          <w:tcPr>
            <w:tcW w:w="1555" w:type="dxa"/>
          </w:tcPr>
          <w:p w14:paraId="3301376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B657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E5281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E4A6FC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69363</w:t>
            </w:r>
          </w:p>
        </w:tc>
        <w:tc>
          <w:tcPr>
            <w:tcW w:w="1134" w:type="dxa"/>
          </w:tcPr>
          <w:p w14:paraId="48AE61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4CD5DE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5AA2F0D" w14:textId="77777777" w:rsidTr="00743919">
        <w:trPr>
          <w:trHeight w:val="302"/>
        </w:trPr>
        <w:tc>
          <w:tcPr>
            <w:tcW w:w="1555" w:type="dxa"/>
          </w:tcPr>
          <w:p w14:paraId="2AF3BB6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36A2A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AFBAA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3D7CC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69378</w:t>
            </w:r>
          </w:p>
        </w:tc>
        <w:tc>
          <w:tcPr>
            <w:tcW w:w="1134" w:type="dxa"/>
          </w:tcPr>
          <w:p w14:paraId="28D3558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E84BF4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C88C4E" w14:textId="77777777" w:rsidTr="00743919">
        <w:trPr>
          <w:trHeight w:val="302"/>
        </w:trPr>
        <w:tc>
          <w:tcPr>
            <w:tcW w:w="1555" w:type="dxa"/>
          </w:tcPr>
          <w:p w14:paraId="7CDBEB0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D435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709AE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96FE8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69379</w:t>
            </w:r>
          </w:p>
        </w:tc>
        <w:tc>
          <w:tcPr>
            <w:tcW w:w="1134" w:type="dxa"/>
          </w:tcPr>
          <w:p w14:paraId="252FE4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961FA3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9586C7" w14:textId="77777777" w:rsidTr="00743919">
        <w:trPr>
          <w:trHeight w:val="302"/>
        </w:trPr>
        <w:tc>
          <w:tcPr>
            <w:tcW w:w="1555" w:type="dxa"/>
          </w:tcPr>
          <w:p w14:paraId="6EBB905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9DF5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DA9F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2478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69380</w:t>
            </w:r>
          </w:p>
        </w:tc>
        <w:tc>
          <w:tcPr>
            <w:tcW w:w="1134" w:type="dxa"/>
          </w:tcPr>
          <w:p w14:paraId="0A27837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EBBB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AFF8B8A" w14:textId="77777777" w:rsidTr="00743919">
        <w:trPr>
          <w:trHeight w:val="302"/>
        </w:trPr>
        <w:tc>
          <w:tcPr>
            <w:tcW w:w="1555" w:type="dxa"/>
          </w:tcPr>
          <w:p w14:paraId="6160810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4279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72AD8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C2FB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69381</w:t>
            </w:r>
          </w:p>
        </w:tc>
        <w:tc>
          <w:tcPr>
            <w:tcW w:w="1134" w:type="dxa"/>
          </w:tcPr>
          <w:p w14:paraId="602ED3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F6FB1A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5284C7" w14:textId="77777777" w:rsidTr="00743919">
        <w:trPr>
          <w:trHeight w:val="302"/>
        </w:trPr>
        <w:tc>
          <w:tcPr>
            <w:tcW w:w="1555" w:type="dxa"/>
          </w:tcPr>
          <w:p w14:paraId="389923B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FD1E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A89914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A969E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69384</w:t>
            </w:r>
          </w:p>
        </w:tc>
        <w:tc>
          <w:tcPr>
            <w:tcW w:w="1134" w:type="dxa"/>
          </w:tcPr>
          <w:p w14:paraId="0F408C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6978F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2D042C0" w14:textId="77777777" w:rsidTr="00743919">
        <w:trPr>
          <w:trHeight w:val="302"/>
        </w:trPr>
        <w:tc>
          <w:tcPr>
            <w:tcW w:w="1555" w:type="dxa"/>
          </w:tcPr>
          <w:p w14:paraId="27BCB97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E239E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78010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7053A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69387</w:t>
            </w:r>
          </w:p>
        </w:tc>
        <w:tc>
          <w:tcPr>
            <w:tcW w:w="1134" w:type="dxa"/>
          </w:tcPr>
          <w:p w14:paraId="7EA963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3565A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C17C385" w14:textId="77777777" w:rsidTr="00743919">
        <w:trPr>
          <w:trHeight w:val="302"/>
        </w:trPr>
        <w:tc>
          <w:tcPr>
            <w:tcW w:w="1555" w:type="dxa"/>
          </w:tcPr>
          <w:p w14:paraId="6A9DBE3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097A8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51FE3F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37966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69390</w:t>
            </w:r>
          </w:p>
        </w:tc>
        <w:tc>
          <w:tcPr>
            <w:tcW w:w="1134" w:type="dxa"/>
          </w:tcPr>
          <w:p w14:paraId="6365D7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505D70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7E7B435" w14:textId="77777777" w:rsidTr="00743919">
        <w:trPr>
          <w:trHeight w:val="302"/>
        </w:trPr>
        <w:tc>
          <w:tcPr>
            <w:tcW w:w="1555" w:type="dxa"/>
          </w:tcPr>
          <w:p w14:paraId="16B4AF3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B1B78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8DA8F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3CEA2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69393</w:t>
            </w:r>
          </w:p>
        </w:tc>
        <w:tc>
          <w:tcPr>
            <w:tcW w:w="1134" w:type="dxa"/>
          </w:tcPr>
          <w:p w14:paraId="19475F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2209B0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DEB04C1" w14:textId="77777777" w:rsidTr="00743919">
        <w:trPr>
          <w:trHeight w:val="302"/>
        </w:trPr>
        <w:tc>
          <w:tcPr>
            <w:tcW w:w="1555" w:type="dxa"/>
          </w:tcPr>
          <w:p w14:paraId="2EF9213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7CB5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44B8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C77F1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69396</w:t>
            </w:r>
          </w:p>
        </w:tc>
        <w:tc>
          <w:tcPr>
            <w:tcW w:w="1134" w:type="dxa"/>
          </w:tcPr>
          <w:p w14:paraId="207AC6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0BD4A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A7FED73" w14:textId="77777777" w:rsidTr="00743919">
        <w:trPr>
          <w:trHeight w:val="302"/>
        </w:trPr>
        <w:tc>
          <w:tcPr>
            <w:tcW w:w="1555" w:type="dxa"/>
          </w:tcPr>
          <w:p w14:paraId="1C224F6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B4C32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337E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37C97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69400</w:t>
            </w:r>
          </w:p>
        </w:tc>
        <w:tc>
          <w:tcPr>
            <w:tcW w:w="1134" w:type="dxa"/>
          </w:tcPr>
          <w:p w14:paraId="5DCA464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F7F50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1CB1D38" w14:textId="77777777" w:rsidTr="00743919">
        <w:trPr>
          <w:trHeight w:val="302"/>
        </w:trPr>
        <w:tc>
          <w:tcPr>
            <w:tcW w:w="1555" w:type="dxa"/>
          </w:tcPr>
          <w:p w14:paraId="28C541C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27A13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05CB0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EFCC8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69401</w:t>
            </w:r>
          </w:p>
        </w:tc>
        <w:tc>
          <w:tcPr>
            <w:tcW w:w="1134" w:type="dxa"/>
          </w:tcPr>
          <w:p w14:paraId="52A84E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DCB0D5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1F23967" w14:textId="77777777" w:rsidTr="00743919">
        <w:trPr>
          <w:trHeight w:val="302"/>
        </w:trPr>
        <w:tc>
          <w:tcPr>
            <w:tcW w:w="1555" w:type="dxa"/>
          </w:tcPr>
          <w:p w14:paraId="382CAEA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3632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B2A618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3EC65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69405</w:t>
            </w:r>
          </w:p>
        </w:tc>
        <w:tc>
          <w:tcPr>
            <w:tcW w:w="1134" w:type="dxa"/>
          </w:tcPr>
          <w:p w14:paraId="6EF3BB6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69691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349C70A" w14:textId="77777777" w:rsidTr="00743919">
        <w:trPr>
          <w:trHeight w:val="302"/>
        </w:trPr>
        <w:tc>
          <w:tcPr>
            <w:tcW w:w="1555" w:type="dxa"/>
          </w:tcPr>
          <w:p w14:paraId="0491034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3792F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10E9F5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04C0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69408</w:t>
            </w:r>
          </w:p>
        </w:tc>
        <w:tc>
          <w:tcPr>
            <w:tcW w:w="1134" w:type="dxa"/>
          </w:tcPr>
          <w:p w14:paraId="0658CE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EF52D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6C970B6" w14:textId="77777777" w:rsidTr="00743919">
        <w:trPr>
          <w:trHeight w:val="302"/>
        </w:trPr>
        <w:tc>
          <w:tcPr>
            <w:tcW w:w="1555" w:type="dxa"/>
          </w:tcPr>
          <w:p w14:paraId="5065A8A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0480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BE2E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14855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69411</w:t>
            </w:r>
          </w:p>
        </w:tc>
        <w:tc>
          <w:tcPr>
            <w:tcW w:w="1134" w:type="dxa"/>
          </w:tcPr>
          <w:p w14:paraId="3F4B61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9DAB7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AEB9D93" w14:textId="77777777" w:rsidTr="00743919">
        <w:trPr>
          <w:trHeight w:val="302"/>
        </w:trPr>
        <w:tc>
          <w:tcPr>
            <w:tcW w:w="1555" w:type="dxa"/>
          </w:tcPr>
          <w:p w14:paraId="58F5D60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2091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E6F36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B8613D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69413</w:t>
            </w:r>
          </w:p>
        </w:tc>
        <w:tc>
          <w:tcPr>
            <w:tcW w:w="1134" w:type="dxa"/>
          </w:tcPr>
          <w:p w14:paraId="31B2CD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89721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6D97A0" w14:textId="77777777" w:rsidTr="00743919">
        <w:trPr>
          <w:trHeight w:val="302"/>
        </w:trPr>
        <w:tc>
          <w:tcPr>
            <w:tcW w:w="1555" w:type="dxa"/>
          </w:tcPr>
          <w:p w14:paraId="7C08DE7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4BD2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D74C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CA9EE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69415</w:t>
            </w:r>
          </w:p>
        </w:tc>
        <w:tc>
          <w:tcPr>
            <w:tcW w:w="1134" w:type="dxa"/>
          </w:tcPr>
          <w:p w14:paraId="0E3FB2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A20A3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C38F653" w14:textId="77777777" w:rsidTr="00743919">
        <w:trPr>
          <w:trHeight w:val="302"/>
        </w:trPr>
        <w:tc>
          <w:tcPr>
            <w:tcW w:w="1555" w:type="dxa"/>
          </w:tcPr>
          <w:p w14:paraId="1A5E93D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5A7A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F0F8B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26335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69418</w:t>
            </w:r>
          </w:p>
        </w:tc>
        <w:tc>
          <w:tcPr>
            <w:tcW w:w="1134" w:type="dxa"/>
          </w:tcPr>
          <w:p w14:paraId="62F5FB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1C8B79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711C8A3" w14:textId="77777777" w:rsidTr="00743919">
        <w:trPr>
          <w:trHeight w:val="302"/>
        </w:trPr>
        <w:tc>
          <w:tcPr>
            <w:tcW w:w="1555" w:type="dxa"/>
          </w:tcPr>
          <w:p w14:paraId="104EA46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40593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4EB1E8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AFFE9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69445</w:t>
            </w:r>
          </w:p>
        </w:tc>
        <w:tc>
          <w:tcPr>
            <w:tcW w:w="1134" w:type="dxa"/>
          </w:tcPr>
          <w:p w14:paraId="26BA45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30377A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30781F" w14:textId="77777777" w:rsidTr="00743919">
        <w:trPr>
          <w:trHeight w:val="302"/>
        </w:trPr>
        <w:tc>
          <w:tcPr>
            <w:tcW w:w="1555" w:type="dxa"/>
          </w:tcPr>
          <w:p w14:paraId="104AEAF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23A4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78D4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D8B9B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69451</w:t>
            </w:r>
          </w:p>
        </w:tc>
        <w:tc>
          <w:tcPr>
            <w:tcW w:w="1134" w:type="dxa"/>
          </w:tcPr>
          <w:p w14:paraId="5FE1D5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5D52D1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92F8C56" w14:textId="77777777" w:rsidTr="00743919">
        <w:trPr>
          <w:trHeight w:val="302"/>
        </w:trPr>
        <w:tc>
          <w:tcPr>
            <w:tcW w:w="1555" w:type="dxa"/>
          </w:tcPr>
          <w:p w14:paraId="747CF4E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CD4D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1344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2FE2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69471</w:t>
            </w:r>
          </w:p>
        </w:tc>
        <w:tc>
          <w:tcPr>
            <w:tcW w:w="1134" w:type="dxa"/>
          </w:tcPr>
          <w:p w14:paraId="7D0FB46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E882CE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CE982FC" w14:textId="77777777" w:rsidTr="00743919">
        <w:trPr>
          <w:trHeight w:val="302"/>
        </w:trPr>
        <w:tc>
          <w:tcPr>
            <w:tcW w:w="1555" w:type="dxa"/>
          </w:tcPr>
          <w:p w14:paraId="202780B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682565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136D0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F8CF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69472</w:t>
            </w:r>
          </w:p>
        </w:tc>
        <w:tc>
          <w:tcPr>
            <w:tcW w:w="1134" w:type="dxa"/>
          </w:tcPr>
          <w:p w14:paraId="0A2E50F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DE608B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32633A5" w14:textId="77777777" w:rsidTr="00743919">
        <w:trPr>
          <w:trHeight w:val="302"/>
        </w:trPr>
        <w:tc>
          <w:tcPr>
            <w:tcW w:w="1555" w:type="dxa"/>
          </w:tcPr>
          <w:p w14:paraId="5552FF5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C19DD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75B385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18CC4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69474</w:t>
            </w:r>
          </w:p>
        </w:tc>
        <w:tc>
          <w:tcPr>
            <w:tcW w:w="1134" w:type="dxa"/>
          </w:tcPr>
          <w:p w14:paraId="506522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FA309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AF728DF" w14:textId="77777777" w:rsidTr="00743919">
        <w:trPr>
          <w:trHeight w:val="302"/>
        </w:trPr>
        <w:tc>
          <w:tcPr>
            <w:tcW w:w="1555" w:type="dxa"/>
          </w:tcPr>
          <w:p w14:paraId="4B981C4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581B9B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CBF81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9E045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69475</w:t>
            </w:r>
          </w:p>
        </w:tc>
        <w:tc>
          <w:tcPr>
            <w:tcW w:w="1134" w:type="dxa"/>
          </w:tcPr>
          <w:p w14:paraId="0BD977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0C4DA4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AB8EB2A" w14:textId="77777777" w:rsidTr="00743919">
        <w:trPr>
          <w:trHeight w:val="302"/>
        </w:trPr>
        <w:tc>
          <w:tcPr>
            <w:tcW w:w="1555" w:type="dxa"/>
          </w:tcPr>
          <w:p w14:paraId="46E79A4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16502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90E21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3512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69478</w:t>
            </w:r>
          </w:p>
        </w:tc>
        <w:tc>
          <w:tcPr>
            <w:tcW w:w="1134" w:type="dxa"/>
          </w:tcPr>
          <w:p w14:paraId="452664A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F128D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E2BFDB" w14:textId="77777777" w:rsidTr="00743919">
        <w:trPr>
          <w:trHeight w:val="302"/>
        </w:trPr>
        <w:tc>
          <w:tcPr>
            <w:tcW w:w="1555" w:type="dxa"/>
          </w:tcPr>
          <w:p w14:paraId="23229E7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22657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F032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0DD09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69481</w:t>
            </w:r>
          </w:p>
        </w:tc>
        <w:tc>
          <w:tcPr>
            <w:tcW w:w="1134" w:type="dxa"/>
          </w:tcPr>
          <w:p w14:paraId="3ABCBF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5FFEAE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D0ED63" w14:textId="77777777" w:rsidTr="00743919">
        <w:trPr>
          <w:trHeight w:val="302"/>
        </w:trPr>
        <w:tc>
          <w:tcPr>
            <w:tcW w:w="1555" w:type="dxa"/>
          </w:tcPr>
          <w:p w14:paraId="16E73A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FAEE5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39E98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65F93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69482</w:t>
            </w:r>
          </w:p>
        </w:tc>
        <w:tc>
          <w:tcPr>
            <w:tcW w:w="1134" w:type="dxa"/>
          </w:tcPr>
          <w:p w14:paraId="7BB9B9A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F14AA2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6737D08" w14:textId="77777777" w:rsidTr="00743919">
        <w:trPr>
          <w:trHeight w:val="302"/>
        </w:trPr>
        <w:tc>
          <w:tcPr>
            <w:tcW w:w="1555" w:type="dxa"/>
          </w:tcPr>
          <w:p w14:paraId="482FF0E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23933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77857D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CF880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69483</w:t>
            </w:r>
          </w:p>
        </w:tc>
        <w:tc>
          <w:tcPr>
            <w:tcW w:w="1134" w:type="dxa"/>
          </w:tcPr>
          <w:p w14:paraId="7AA297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A98795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880692" w14:textId="77777777" w:rsidTr="00743919">
        <w:trPr>
          <w:trHeight w:val="302"/>
        </w:trPr>
        <w:tc>
          <w:tcPr>
            <w:tcW w:w="1555" w:type="dxa"/>
          </w:tcPr>
          <w:p w14:paraId="27907CD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D1305C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DD14E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BB83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69484</w:t>
            </w:r>
          </w:p>
        </w:tc>
        <w:tc>
          <w:tcPr>
            <w:tcW w:w="1134" w:type="dxa"/>
          </w:tcPr>
          <w:p w14:paraId="01B434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9560E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A6F474" w14:textId="77777777" w:rsidTr="00743919">
        <w:trPr>
          <w:trHeight w:val="302"/>
        </w:trPr>
        <w:tc>
          <w:tcPr>
            <w:tcW w:w="1555" w:type="dxa"/>
          </w:tcPr>
          <w:p w14:paraId="7E7109D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19398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5162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B37B2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69488</w:t>
            </w:r>
          </w:p>
        </w:tc>
        <w:tc>
          <w:tcPr>
            <w:tcW w:w="1134" w:type="dxa"/>
          </w:tcPr>
          <w:p w14:paraId="42D9D9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86EFB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A5538F7" w14:textId="77777777" w:rsidTr="00743919">
        <w:trPr>
          <w:trHeight w:val="302"/>
        </w:trPr>
        <w:tc>
          <w:tcPr>
            <w:tcW w:w="1555" w:type="dxa"/>
          </w:tcPr>
          <w:p w14:paraId="50FCF01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9376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E24A67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120F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69491</w:t>
            </w:r>
          </w:p>
        </w:tc>
        <w:tc>
          <w:tcPr>
            <w:tcW w:w="1134" w:type="dxa"/>
          </w:tcPr>
          <w:p w14:paraId="12DA07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16FD54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E28BAD" w14:textId="77777777" w:rsidTr="00743919">
        <w:trPr>
          <w:trHeight w:val="302"/>
        </w:trPr>
        <w:tc>
          <w:tcPr>
            <w:tcW w:w="1555" w:type="dxa"/>
          </w:tcPr>
          <w:p w14:paraId="42773C7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35767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B3674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31E2A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69494</w:t>
            </w:r>
          </w:p>
        </w:tc>
        <w:tc>
          <w:tcPr>
            <w:tcW w:w="1134" w:type="dxa"/>
          </w:tcPr>
          <w:p w14:paraId="67450E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F551A6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D70F9A7" w14:textId="77777777" w:rsidTr="00743919">
        <w:trPr>
          <w:trHeight w:val="302"/>
        </w:trPr>
        <w:tc>
          <w:tcPr>
            <w:tcW w:w="1555" w:type="dxa"/>
          </w:tcPr>
          <w:p w14:paraId="341556C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AEA5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40183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91086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69495</w:t>
            </w:r>
          </w:p>
        </w:tc>
        <w:tc>
          <w:tcPr>
            <w:tcW w:w="1134" w:type="dxa"/>
          </w:tcPr>
          <w:p w14:paraId="29FBD3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CEE4F9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9EA83B2" w14:textId="77777777" w:rsidTr="00743919">
        <w:trPr>
          <w:trHeight w:val="302"/>
        </w:trPr>
        <w:tc>
          <w:tcPr>
            <w:tcW w:w="1555" w:type="dxa"/>
          </w:tcPr>
          <w:p w14:paraId="1226375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F24C20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033F8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4BE35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69496</w:t>
            </w:r>
          </w:p>
        </w:tc>
        <w:tc>
          <w:tcPr>
            <w:tcW w:w="1134" w:type="dxa"/>
          </w:tcPr>
          <w:p w14:paraId="1014622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905430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8D7ACDE" w14:textId="77777777" w:rsidTr="00743919">
        <w:trPr>
          <w:trHeight w:val="302"/>
        </w:trPr>
        <w:tc>
          <w:tcPr>
            <w:tcW w:w="1555" w:type="dxa"/>
          </w:tcPr>
          <w:p w14:paraId="14CB173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E463A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73B35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57A46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69498</w:t>
            </w:r>
          </w:p>
        </w:tc>
        <w:tc>
          <w:tcPr>
            <w:tcW w:w="1134" w:type="dxa"/>
          </w:tcPr>
          <w:p w14:paraId="2EDFA1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310D4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F138F5B" w14:textId="77777777" w:rsidTr="00743919">
        <w:trPr>
          <w:trHeight w:val="302"/>
        </w:trPr>
        <w:tc>
          <w:tcPr>
            <w:tcW w:w="1555" w:type="dxa"/>
          </w:tcPr>
          <w:p w14:paraId="050FAA7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50AC3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8FC3C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FB2A3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69499</w:t>
            </w:r>
          </w:p>
        </w:tc>
        <w:tc>
          <w:tcPr>
            <w:tcW w:w="1134" w:type="dxa"/>
          </w:tcPr>
          <w:p w14:paraId="532CEB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4D71C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ED76E99" w14:textId="77777777" w:rsidTr="00743919">
        <w:trPr>
          <w:trHeight w:val="302"/>
        </w:trPr>
        <w:tc>
          <w:tcPr>
            <w:tcW w:w="1555" w:type="dxa"/>
          </w:tcPr>
          <w:p w14:paraId="4C6F4D6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FA57B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P4 Immunology</w:t>
            </w:r>
          </w:p>
        </w:tc>
        <w:tc>
          <w:tcPr>
            <w:tcW w:w="1843" w:type="dxa"/>
          </w:tcPr>
          <w:p w14:paraId="7303F0C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7937FD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71057</w:t>
            </w:r>
          </w:p>
        </w:tc>
        <w:tc>
          <w:tcPr>
            <w:tcW w:w="1134" w:type="dxa"/>
          </w:tcPr>
          <w:p w14:paraId="741135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3473C0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CF0280" w14:textId="77777777" w:rsidTr="00743919">
        <w:trPr>
          <w:trHeight w:val="302"/>
        </w:trPr>
        <w:tc>
          <w:tcPr>
            <w:tcW w:w="1555" w:type="dxa"/>
          </w:tcPr>
          <w:p w14:paraId="59BAE6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226035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75A04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36F81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71058</w:t>
            </w:r>
          </w:p>
        </w:tc>
        <w:tc>
          <w:tcPr>
            <w:tcW w:w="1134" w:type="dxa"/>
          </w:tcPr>
          <w:p w14:paraId="37C9F6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101A5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A879BE2" w14:textId="77777777" w:rsidTr="00743919">
        <w:trPr>
          <w:trHeight w:val="302"/>
        </w:trPr>
        <w:tc>
          <w:tcPr>
            <w:tcW w:w="1555" w:type="dxa"/>
          </w:tcPr>
          <w:p w14:paraId="3E9FB74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045E8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4F226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8B6A1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71059</w:t>
            </w:r>
          </w:p>
        </w:tc>
        <w:tc>
          <w:tcPr>
            <w:tcW w:w="1134" w:type="dxa"/>
          </w:tcPr>
          <w:p w14:paraId="515676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CFE156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468F569" w14:textId="77777777" w:rsidTr="00743919">
        <w:trPr>
          <w:trHeight w:val="302"/>
        </w:trPr>
        <w:tc>
          <w:tcPr>
            <w:tcW w:w="1555" w:type="dxa"/>
          </w:tcPr>
          <w:p w14:paraId="7F73FEF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0A6A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AB514B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E770D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71060</w:t>
            </w:r>
          </w:p>
        </w:tc>
        <w:tc>
          <w:tcPr>
            <w:tcW w:w="1134" w:type="dxa"/>
          </w:tcPr>
          <w:p w14:paraId="0CDFC3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F55AA0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ECFB0C1" w14:textId="77777777" w:rsidTr="00743919">
        <w:trPr>
          <w:trHeight w:val="302"/>
        </w:trPr>
        <w:tc>
          <w:tcPr>
            <w:tcW w:w="1555" w:type="dxa"/>
          </w:tcPr>
          <w:p w14:paraId="199B846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E3333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D438FD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3F25C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71062</w:t>
            </w:r>
          </w:p>
        </w:tc>
        <w:tc>
          <w:tcPr>
            <w:tcW w:w="1134" w:type="dxa"/>
          </w:tcPr>
          <w:p w14:paraId="33CC32C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C5656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3F7D843" w14:textId="77777777" w:rsidTr="00743919">
        <w:trPr>
          <w:trHeight w:val="302"/>
        </w:trPr>
        <w:tc>
          <w:tcPr>
            <w:tcW w:w="1555" w:type="dxa"/>
          </w:tcPr>
          <w:p w14:paraId="20BCA68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04CFD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4B757F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8B6DF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71064</w:t>
            </w:r>
          </w:p>
        </w:tc>
        <w:tc>
          <w:tcPr>
            <w:tcW w:w="1134" w:type="dxa"/>
          </w:tcPr>
          <w:p w14:paraId="0AACC7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65A85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41BF72" w14:textId="77777777" w:rsidTr="00743919">
        <w:trPr>
          <w:trHeight w:val="302"/>
        </w:trPr>
        <w:tc>
          <w:tcPr>
            <w:tcW w:w="1555" w:type="dxa"/>
          </w:tcPr>
          <w:p w14:paraId="6630673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9F3AF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49BB0E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3DF06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71066</w:t>
            </w:r>
          </w:p>
        </w:tc>
        <w:tc>
          <w:tcPr>
            <w:tcW w:w="1134" w:type="dxa"/>
          </w:tcPr>
          <w:p w14:paraId="3E01BD7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3CF7E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CF4B066" w14:textId="77777777" w:rsidTr="00743919">
        <w:trPr>
          <w:trHeight w:val="302"/>
        </w:trPr>
        <w:tc>
          <w:tcPr>
            <w:tcW w:w="1555" w:type="dxa"/>
          </w:tcPr>
          <w:p w14:paraId="375A3AE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9181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82711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C4DF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71068</w:t>
            </w:r>
          </w:p>
        </w:tc>
        <w:tc>
          <w:tcPr>
            <w:tcW w:w="1134" w:type="dxa"/>
          </w:tcPr>
          <w:p w14:paraId="14C321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CEE4C6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47504DE" w14:textId="77777777" w:rsidTr="00743919">
        <w:trPr>
          <w:trHeight w:val="302"/>
        </w:trPr>
        <w:tc>
          <w:tcPr>
            <w:tcW w:w="1555" w:type="dxa"/>
          </w:tcPr>
          <w:p w14:paraId="52203BB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9A046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4B8E2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3C640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71069</w:t>
            </w:r>
          </w:p>
        </w:tc>
        <w:tc>
          <w:tcPr>
            <w:tcW w:w="1134" w:type="dxa"/>
          </w:tcPr>
          <w:p w14:paraId="77A85E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1480F0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413CF2F" w14:textId="77777777" w:rsidTr="00743919">
        <w:trPr>
          <w:trHeight w:val="302"/>
        </w:trPr>
        <w:tc>
          <w:tcPr>
            <w:tcW w:w="1555" w:type="dxa"/>
          </w:tcPr>
          <w:p w14:paraId="6848682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CD080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5D125C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3A3BD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71071</w:t>
            </w:r>
          </w:p>
        </w:tc>
        <w:tc>
          <w:tcPr>
            <w:tcW w:w="1134" w:type="dxa"/>
          </w:tcPr>
          <w:p w14:paraId="1BA8DE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863B49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A9D8CEC" w14:textId="77777777" w:rsidTr="00743919">
        <w:trPr>
          <w:trHeight w:val="302"/>
        </w:trPr>
        <w:tc>
          <w:tcPr>
            <w:tcW w:w="1555" w:type="dxa"/>
          </w:tcPr>
          <w:p w14:paraId="67001F1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AB6314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8CCB1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65896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71072</w:t>
            </w:r>
          </w:p>
        </w:tc>
        <w:tc>
          <w:tcPr>
            <w:tcW w:w="1134" w:type="dxa"/>
          </w:tcPr>
          <w:p w14:paraId="1F97BE2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B6707A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55660C6" w14:textId="77777777" w:rsidTr="00743919">
        <w:trPr>
          <w:trHeight w:val="302"/>
        </w:trPr>
        <w:tc>
          <w:tcPr>
            <w:tcW w:w="1555" w:type="dxa"/>
          </w:tcPr>
          <w:p w14:paraId="6934323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2776B2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579F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91986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71073</w:t>
            </w:r>
          </w:p>
        </w:tc>
        <w:tc>
          <w:tcPr>
            <w:tcW w:w="1134" w:type="dxa"/>
          </w:tcPr>
          <w:p w14:paraId="129084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D3CECD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D80B99" w14:textId="77777777" w:rsidTr="00743919">
        <w:trPr>
          <w:trHeight w:val="302"/>
        </w:trPr>
        <w:tc>
          <w:tcPr>
            <w:tcW w:w="1555" w:type="dxa"/>
          </w:tcPr>
          <w:p w14:paraId="4DCB6B0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D53F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2E5D9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E50E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71075</w:t>
            </w:r>
          </w:p>
        </w:tc>
        <w:tc>
          <w:tcPr>
            <w:tcW w:w="1134" w:type="dxa"/>
          </w:tcPr>
          <w:p w14:paraId="5C6F8B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E423AD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FDC4640" w14:textId="77777777" w:rsidTr="00743919">
        <w:trPr>
          <w:trHeight w:val="302"/>
        </w:trPr>
        <w:tc>
          <w:tcPr>
            <w:tcW w:w="1555" w:type="dxa"/>
          </w:tcPr>
          <w:p w14:paraId="3441969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3C01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00F2D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14E9A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71076</w:t>
            </w:r>
          </w:p>
        </w:tc>
        <w:tc>
          <w:tcPr>
            <w:tcW w:w="1134" w:type="dxa"/>
          </w:tcPr>
          <w:p w14:paraId="5F84037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68538A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CCBA93E" w14:textId="77777777" w:rsidTr="00743919">
        <w:trPr>
          <w:trHeight w:val="302"/>
        </w:trPr>
        <w:tc>
          <w:tcPr>
            <w:tcW w:w="1555" w:type="dxa"/>
          </w:tcPr>
          <w:p w14:paraId="607FD35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2DAFB5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5E8C0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D1E5F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71079</w:t>
            </w:r>
          </w:p>
        </w:tc>
        <w:tc>
          <w:tcPr>
            <w:tcW w:w="1134" w:type="dxa"/>
          </w:tcPr>
          <w:p w14:paraId="61379C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D7D58F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B8AAE2" w14:textId="77777777" w:rsidTr="00743919">
        <w:trPr>
          <w:trHeight w:val="302"/>
        </w:trPr>
        <w:tc>
          <w:tcPr>
            <w:tcW w:w="1555" w:type="dxa"/>
          </w:tcPr>
          <w:p w14:paraId="6C28865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9B78B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7484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08CA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71081</w:t>
            </w:r>
          </w:p>
        </w:tc>
        <w:tc>
          <w:tcPr>
            <w:tcW w:w="1134" w:type="dxa"/>
          </w:tcPr>
          <w:p w14:paraId="223C0B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497983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AB75E96" w14:textId="77777777" w:rsidTr="00743919">
        <w:trPr>
          <w:trHeight w:val="302"/>
        </w:trPr>
        <w:tc>
          <w:tcPr>
            <w:tcW w:w="1555" w:type="dxa"/>
          </w:tcPr>
          <w:p w14:paraId="2580A60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36D18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484FA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02586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71083</w:t>
            </w:r>
          </w:p>
        </w:tc>
        <w:tc>
          <w:tcPr>
            <w:tcW w:w="1134" w:type="dxa"/>
          </w:tcPr>
          <w:p w14:paraId="7AA2D09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32A597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22D0C11" w14:textId="77777777" w:rsidTr="00743919">
        <w:trPr>
          <w:trHeight w:val="302"/>
        </w:trPr>
        <w:tc>
          <w:tcPr>
            <w:tcW w:w="1555" w:type="dxa"/>
          </w:tcPr>
          <w:p w14:paraId="07B45BF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D39B4E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9DED4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49A25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71085</w:t>
            </w:r>
          </w:p>
        </w:tc>
        <w:tc>
          <w:tcPr>
            <w:tcW w:w="1134" w:type="dxa"/>
          </w:tcPr>
          <w:p w14:paraId="788FA8A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45C89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3DAF53A" w14:textId="77777777" w:rsidTr="00743919">
        <w:trPr>
          <w:trHeight w:val="302"/>
        </w:trPr>
        <w:tc>
          <w:tcPr>
            <w:tcW w:w="1555" w:type="dxa"/>
          </w:tcPr>
          <w:p w14:paraId="3534BF6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39F49A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0D95BD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DA52E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71087</w:t>
            </w:r>
          </w:p>
        </w:tc>
        <w:tc>
          <w:tcPr>
            <w:tcW w:w="1134" w:type="dxa"/>
          </w:tcPr>
          <w:p w14:paraId="04F8DE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6B5CF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45C7A6" w14:textId="77777777" w:rsidTr="00743919">
        <w:trPr>
          <w:trHeight w:val="302"/>
        </w:trPr>
        <w:tc>
          <w:tcPr>
            <w:tcW w:w="1555" w:type="dxa"/>
          </w:tcPr>
          <w:p w14:paraId="61FEAF6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29CBE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327B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5CB7F4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71097</w:t>
            </w:r>
          </w:p>
        </w:tc>
        <w:tc>
          <w:tcPr>
            <w:tcW w:w="1134" w:type="dxa"/>
          </w:tcPr>
          <w:p w14:paraId="1ADE22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6EAF1A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019C16F" w14:textId="77777777" w:rsidTr="00743919">
        <w:trPr>
          <w:trHeight w:val="302"/>
        </w:trPr>
        <w:tc>
          <w:tcPr>
            <w:tcW w:w="1555" w:type="dxa"/>
          </w:tcPr>
          <w:p w14:paraId="2608EA5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F121C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4D8D3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D2614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71099</w:t>
            </w:r>
          </w:p>
        </w:tc>
        <w:tc>
          <w:tcPr>
            <w:tcW w:w="1134" w:type="dxa"/>
          </w:tcPr>
          <w:p w14:paraId="38F636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8A153D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40202C7" w14:textId="77777777" w:rsidTr="00743919">
        <w:trPr>
          <w:trHeight w:val="302"/>
        </w:trPr>
        <w:tc>
          <w:tcPr>
            <w:tcW w:w="1555" w:type="dxa"/>
          </w:tcPr>
          <w:p w14:paraId="371E9BD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C4E2D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E2BB4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DC850B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71101</w:t>
            </w:r>
          </w:p>
        </w:tc>
        <w:tc>
          <w:tcPr>
            <w:tcW w:w="1134" w:type="dxa"/>
          </w:tcPr>
          <w:p w14:paraId="08CD89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1801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2DC33CA" w14:textId="77777777" w:rsidTr="00743919">
        <w:trPr>
          <w:trHeight w:val="302"/>
        </w:trPr>
        <w:tc>
          <w:tcPr>
            <w:tcW w:w="1555" w:type="dxa"/>
          </w:tcPr>
          <w:p w14:paraId="1C316EF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F7B28C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2D7A6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621C2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71103</w:t>
            </w:r>
          </w:p>
        </w:tc>
        <w:tc>
          <w:tcPr>
            <w:tcW w:w="1134" w:type="dxa"/>
          </w:tcPr>
          <w:p w14:paraId="1823A4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57517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BB79114" w14:textId="77777777" w:rsidTr="00743919">
        <w:trPr>
          <w:trHeight w:val="302"/>
        </w:trPr>
        <w:tc>
          <w:tcPr>
            <w:tcW w:w="1555" w:type="dxa"/>
          </w:tcPr>
          <w:p w14:paraId="04BBC12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EC9C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D2D63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1404F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71106</w:t>
            </w:r>
          </w:p>
        </w:tc>
        <w:tc>
          <w:tcPr>
            <w:tcW w:w="1134" w:type="dxa"/>
          </w:tcPr>
          <w:p w14:paraId="0B2E98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58E35E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3B85052" w14:textId="77777777" w:rsidTr="00743919">
        <w:trPr>
          <w:trHeight w:val="302"/>
        </w:trPr>
        <w:tc>
          <w:tcPr>
            <w:tcW w:w="1555" w:type="dxa"/>
          </w:tcPr>
          <w:p w14:paraId="1C4566C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D85018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298E0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DF3FD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71119</w:t>
            </w:r>
          </w:p>
        </w:tc>
        <w:tc>
          <w:tcPr>
            <w:tcW w:w="1134" w:type="dxa"/>
          </w:tcPr>
          <w:p w14:paraId="344BFF8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295B11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EDA3425" w14:textId="77777777" w:rsidTr="00743919">
        <w:trPr>
          <w:trHeight w:val="302"/>
        </w:trPr>
        <w:tc>
          <w:tcPr>
            <w:tcW w:w="1555" w:type="dxa"/>
          </w:tcPr>
          <w:p w14:paraId="70EE28C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B9EAB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135F93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EA678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71121</w:t>
            </w:r>
          </w:p>
        </w:tc>
        <w:tc>
          <w:tcPr>
            <w:tcW w:w="1134" w:type="dxa"/>
          </w:tcPr>
          <w:p w14:paraId="336189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E0D1B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10EB81" w14:textId="77777777" w:rsidTr="00743919">
        <w:trPr>
          <w:trHeight w:val="302"/>
        </w:trPr>
        <w:tc>
          <w:tcPr>
            <w:tcW w:w="1555" w:type="dxa"/>
          </w:tcPr>
          <w:p w14:paraId="040F410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3EEF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165BE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4773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71123</w:t>
            </w:r>
          </w:p>
        </w:tc>
        <w:tc>
          <w:tcPr>
            <w:tcW w:w="1134" w:type="dxa"/>
          </w:tcPr>
          <w:p w14:paraId="4B2E8FE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52F86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A47A8D1" w14:textId="77777777" w:rsidTr="00743919">
        <w:trPr>
          <w:trHeight w:val="302"/>
        </w:trPr>
        <w:tc>
          <w:tcPr>
            <w:tcW w:w="1555" w:type="dxa"/>
          </w:tcPr>
          <w:p w14:paraId="3A27640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35CBF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EDEB7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456F6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71125</w:t>
            </w:r>
          </w:p>
        </w:tc>
        <w:tc>
          <w:tcPr>
            <w:tcW w:w="1134" w:type="dxa"/>
          </w:tcPr>
          <w:p w14:paraId="0FCEA9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64904B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23D260" w14:textId="77777777" w:rsidTr="00743919">
        <w:trPr>
          <w:trHeight w:val="302"/>
        </w:trPr>
        <w:tc>
          <w:tcPr>
            <w:tcW w:w="1555" w:type="dxa"/>
          </w:tcPr>
          <w:p w14:paraId="6A2431D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997FB3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8E24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61F392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71127</w:t>
            </w:r>
          </w:p>
        </w:tc>
        <w:tc>
          <w:tcPr>
            <w:tcW w:w="1134" w:type="dxa"/>
          </w:tcPr>
          <w:p w14:paraId="66E08E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FB905E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59EC0E4" w14:textId="77777777" w:rsidTr="00743919">
        <w:trPr>
          <w:trHeight w:val="302"/>
        </w:trPr>
        <w:tc>
          <w:tcPr>
            <w:tcW w:w="1555" w:type="dxa"/>
          </w:tcPr>
          <w:p w14:paraId="614A587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C315B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CA137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FC8881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71134</w:t>
            </w:r>
          </w:p>
        </w:tc>
        <w:tc>
          <w:tcPr>
            <w:tcW w:w="1134" w:type="dxa"/>
          </w:tcPr>
          <w:p w14:paraId="6B18D86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33CF2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820FFB6" w14:textId="77777777" w:rsidTr="00743919">
        <w:trPr>
          <w:trHeight w:val="302"/>
        </w:trPr>
        <w:tc>
          <w:tcPr>
            <w:tcW w:w="1555" w:type="dxa"/>
          </w:tcPr>
          <w:p w14:paraId="165ACDB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49376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82842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B9B937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71139</w:t>
            </w:r>
          </w:p>
        </w:tc>
        <w:tc>
          <w:tcPr>
            <w:tcW w:w="1134" w:type="dxa"/>
          </w:tcPr>
          <w:p w14:paraId="7A7576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613AF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728A4FC" w14:textId="77777777" w:rsidTr="00743919">
        <w:trPr>
          <w:trHeight w:val="302"/>
        </w:trPr>
        <w:tc>
          <w:tcPr>
            <w:tcW w:w="1555" w:type="dxa"/>
          </w:tcPr>
          <w:p w14:paraId="64FEAFF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9B2C36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9FED9E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0FA2F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71141</w:t>
            </w:r>
          </w:p>
        </w:tc>
        <w:tc>
          <w:tcPr>
            <w:tcW w:w="1134" w:type="dxa"/>
          </w:tcPr>
          <w:p w14:paraId="58ED336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EDB1E5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C70A73" w14:textId="77777777" w:rsidTr="00743919">
        <w:trPr>
          <w:trHeight w:val="302"/>
        </w:trPr>
        <w:tc>
          <w:tcPr>
            <w:tcW w:w="1555" w:type="dxa"/>
          </w:tcPr>
          <w:p w14:paraId="4D4E312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BC0D50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FB92C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DFD99E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71143</w:t>
            </w:r>
          </w:p>
        </w:tc>
        <w:tc>
          <w:tcPr>
            <w:tcW w:w="1134" w:type="dxa"/>
          </w:tcPr>
          <w:p w14:paraId="4506EF6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61B98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1B9C965" w14:textId="77777777" w:rsidTr="00743919">
        <w:trPr>
          <w:trHeight w:val="302"/>
        </w:trPr>
        <w:tc>
          <w:tcPr>
            <w:tcW w:w="1555" w:type="dxa"/>
          </w:tcPr>
          <w:p w14:paraId="7DE8C0C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37AA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38CD49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CC47A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71145</w:t>
            </w:r>
          </w:p>
        </w:tc>
        <w:tc>
          <w:tcPr>
            <w:tcW w:w="1134" w:type="dxa"/>
          </w:tcPr>
          <w:p w14:paraId="48996B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0C5DC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5FE9293" w14:textId="77777777" w:rsidTr="00743919">
        <w:trPr>
          <w:trHeight w:val="302"/>
        </w:trPr>
        <w:tc>
          <w:tcPr>
            <w:tcW w:w="1555" w:type="dxa"/>
          </w:tcPr>
          <w:p w14:paraId="4F6FD1E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D3625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702D3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982BA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71146</w:t>
            </w:r>
          </w:p>
        </w:tc>
        <w:tc>
          <w:tcPr>
            <w:tcW w:w="1134" w:type="dxa"/>
          </w:tcPr>
          <w:p w14:paraId="073D34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1335A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DD2A83D" w14:textId="77777777" w:rsidTr="00743919">
        <w:trPr>
          <w:trHeight w:val="302"/>
        </w:trPr>
        <w:tc>
          <w:tcPr>
            <w:tcW w:w="1555" w:type="dxa"/>
          </w:tcPr>
          <w:p w14:paraId="5249E6B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82602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4C351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79E77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71147</w:t>
            </w:r>
          </w:p>
        </w:tc>
        <w:tc>
          <w:tcPr>
            <w:tcW w:w="1134" w:type="dxa"/>
          </w:tcPr>
          <w:p w14:paraId="5563B4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CFF00E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CF067E1" w14:textId="77777777" w:rsidTr="00743919">
        <w:trPr>
          <w:trHeight w:val="302"/>
        </w:trPr>
        <w:tc>
          <w:tcPr>
            <w:tcW w:w="1555" w:type="dxa"/>
          </w:tcPr>
          <w:p w14:paraId="658CEB9F"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382D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82AA95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B012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71153</w:t>
            </w:r>
          </w:p>
        </w:tc>
        <w:tc>
          <w:tcPr>
            <w:tcW w:w="1134" w:type="dxa"/>
          </w:tcPr>
          <w:p w14:paraId="68B812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8B683E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138454A" w14:textId="77777777" w:rsidTr="00743919">
        <w:trPr>
          <w:trHeight w:val="302"/>
        </w:trPr>
        <w:tc>
          <w:tcPr>
            <w:tcW w:w="1555" w:type="dxa"/>
          </w:tcPr>
          <w:p w14:paraId="7DCDE68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F12717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19785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DEAE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71155</w:t>
            </w:r>
          </w:p>
        </w:tc>
        <w:tc>
          <w:tcPr>
            <w:tcW w:w="1134" w:type="dxa"/>
          </w:tcPr>
          <w:p w14:paraId="55E7B90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B2A38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6DC1D9A" w14:textId="77777777" w:rsidTr="00743919">
        <w:trPr>
          <w:trHeight w:val="302"/>
        </w:trPr>
        <w:tc>
          <w:tcPr>
            <w:tcW w:w="1555" w:type="dxa"/>
          </w:tcPr>
          <w:p w14:paraId="06C6FA2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A7794F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899B5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BC827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71157</w:t>
            </w:r>
          </w:p>
        </w:tc>
        <w:tc>
          <w:tcPr>
            <w:tcW w:w="1134" w:type="dxa"/>
          </w:tcPr>
          <w:p w14:paraId="08A92D8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44E39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672C3F2" w14:textId="77777777" w:rsidTr="00743919">
        <w:trPr>
          <w:trHeight w:val="302"/>
        </w:trPr>
        <w:tc>
          <w:tcPr>
            <w:tcW w:w="1555" w:type="dxa"/>
          </w:tcPr>
          <w:p w14:paraId="35687F8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4F21F9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7B19AE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3903D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71159</w:t>
            </w:r>
          </w:p>
        </w:tc>
        <w:tc>
          <w:tcPr>
            <w:tcW w:w="1134" w:type="dxa"/>
          </w:tcPr>
          <w:p w14:paraId="5F8A95F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2A81D2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999BF6" w14:textId="77777777" w:rsidTr="00743919">
        <w:trPr>
          <w:trHeight w:val="302"/>
        </w:trPr>
        <w:tc>
          <w:tcPr>
            <w:tcW w:w="1555" w:type="dxa"/>
          </w:tcPr>
          <w:p w14:paraId="5BD3FAE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E4D172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E7F20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E0C7C1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71163</w:t>
            </w:r>
          </w:p>
        </w:tc>
        <w:tc>
          <w:tcPr>
            <w:tcW w:w="1134" w:type="dxa"/>
          </w:tcPr>
          <w:p w14:paraId="1000A3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3891FE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03BDEC" w14:textId="77777777" w:rsidTr="00743919">
        <w:trPr>
          <w:trHeight w:val="302"/>
        </w:trPr>
        <w:tc>
          <w:tcPr>
            <w:tcW w:w="1555" w:type="dxa"/>
          </w:tcPr>
          <w:p w14:paraId="26010B4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11B682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376AE0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B0010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71164</w:t>
            </w:r>
          </w:p>
        </w:tc>
        <w:tc>
          <w:tcPr>
            <w:tcW w:w="1134" w:type="dxa"/>
          </w:tcPr>
          <w:p w14:paraId="2C82E8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50D65B6"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BAE5A08" w14:textId="77777777" w:rsidTr="00743919">
        <w:trPr>
          <w:trHeight w:val="302"/>
        </w:trPr>
        <w:tc>
          <w:tcPr>
            <w:tcW w:w="1555" w:type="dxa"/>
          </w:tcPr>
          <w:p w14:paraId="5099F98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E066E0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7B724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80EC9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71165</w:t>
            </w:r>
          </w:p>
        </w:tc>
        <w:tc>
          <w:tcPr>
            <w:tcW w:w="1134" w:type="dxa"/>
          </w:tcPr>
          <w:p w14:paraId="1A67F1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0ABD8F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191EC82" w14:textId="77777777" w:rsidTr="00743919">
        <w:trPr>
          <w:trHeight w:val="302"/>
        </w:trPr>
        <w:tc>
          <w:tcPr>
            <w:tcW w:w="1555" w:type="dxa"/>
          </w:tcPr>
          <w:p w14:paraId="6AC0E5D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53EF3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B151E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4521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71166</w:t>
            </w:r>
          </w:p>
        </w:tc>
        <w:tc>
          <w:tcPr>
            <w:tcW w:w="1134" w:type="dxa"/>
          </w:tcPr>
          <w:p w14:paraId="7B12587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9D8145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40F1B85" w14:textId="77777777" w:rsidTr="00743919">
        <w:trPr>
          <w:trHeight w:val="302"/>
        </w:trPr>
        <w:tc>
          <w:tcPr>
            <w:tcW w:w="1555" w:type="dxa"/>
          </w:tcPr>
          <w:p w14:paraId="162AFDF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A5D8B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CA06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E58F5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71167</w:t>
            </w:r>
          </w:p>
        </w:tc>
        <w:tc>
          <w:tcPr>
            <w:tcW w:w="1134" w:type="dxa"/>
          </w:tcPr>
          <w:p w14:paraId="35C48D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7498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94013A1" w14:textId="77777777" w:rsidTr="00743919">
        <w:trPr>
          <w:trHeight w:val="302"/>
        </w:trPr>
        <w:tc>
          <w:tcPr>
            <w:tcW w:w="1555" w:type="dxa"/>
          </w:tcPr>
          <w:p w14:paraId="729F936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EE6F1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CD214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72C55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71168</w:t>
            </w:r>
          </w:p>
        </w:tc>
        <w:tc>
          <w:tcPr>
            <w:tcW w:w="1134" w:type="dxa"/>
          </w:tcPr>
          <w:p w14:paraId="58089D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D999D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16A8271" w14:textId="77777777" w:rsidTr="00743919">
        <w:trPr>
          <w:trHeight w:val="302"/>
        </w:trPr>
        <w:tc>
          <w:tcPr>
            <w:tcW w:w="1555" w:type="dxa"/>
          </w:tcPr>
          <w:p w14:paraId="5A3DFC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1BF59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6A9B39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75B8C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71170</w:t>
            </w:r>
          </w:p>
        </w:tc>
        <w:tc>
          <w:tcPr>
            <w:tcW w:w="1134" w:type="dxa"/>
          </w:tcPr>
          <w:p w14:paraId="6E37A81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8376D5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24004A6" w14:textId="77777777" w:rsidTr="00743919">
        <w:trPr>
          <w:trHeight w:val="302"/>
        </w:trPr>
        <w:tc>
          <w:tcPr>
            <w:tcW w:w="1555" w:type="dxa"/>
          </w:tcPr>
          <w:p w14:paraId="5E1AE8B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95F83A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049CA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9D9134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71180</w:t>
            </w:r>
          </w:p>
        </w:tc>
        <w:tc>
          <w:tcPr>
            <w:tcW w:w="1134" w:type="dxa"/>
          </w:tcPr>
          <w:p w14:paraId="77C5CB2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A0EBB9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B776C23" w14:textId="77777777" w:rsidTr="00743919">
        <w:trPr>
          <w:trHeight w:val="302"/>
        </w:trPr>
        <w:tc>
          <w:tcPr>
            <w:tcW w:w="1555" w:type="dxa"/>
          </w:tcPr>
          <w:p w14:paraId="0CFF17F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4739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471A9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784E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71183</w:t>
            </w:r>
          </w:p>
        </w:tc>
        <w:tc>
          <w:tcPr>
            <w:tcW w:w="1134" w:type="dxa"/>
          </w:tcPr>
          <w:p w14:paraId="0D60D8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7657CF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259A31D" w14:textId="77777777" w:rsidTr="00743919">
        <w:trPr>
          <w:trHeight w:val="302"/>
        </w:trPr>
        <w:tc>
          <w:tcPr>
            <w:tcW w:w="1555" w:type="dxa"/>
          </w:tcPr>
          <w:p w14:paraId="5F7C703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3E94D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5068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FB36D3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71186</w:t>
            </w:r>
          </w:p>
        </w:tc>
        <w:tc>
          <w:tcPr>
            <w:tcW w:w="1134" w:type="dxa"/>
          </w:tcPr>
          <w:p w14:paraId="5170E7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378F4F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982248" w14:textId="77777777" w:rsidTr="00743919">
        <w:trPr>
          <w:trHeight w:val="302"/>
        </w:trPr>
        <w:tc>
          <w:tcPr>
            <w:tcW w:w="1555" w:type="dxa"/>
          </w:tcPr>
          <w:p w14:paraId="43D32FD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7DEBC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700943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C43270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71189</w:t>
            </w:r>
          </w:p>
        </w:tc>
        <w:tc>
          <w:tcPr>
            <w:tcW w:w="1134" w:type="dxa"/>
          </w:tcPr>
          <w:p w14:paraId="473DD7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A7278F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AC8DC22" w14:textId="77777777" w:rsidTr="00743919">
        <w:trPr>
          <w:trHeight w:val="302"/>
        </w:trPr>
        <w:tc>
          <w:tcPr>
            <w:tcW w:w="1555" w:type="dxa"/>
          </w:tcPr>
          <w:p w14:paraId="5B67E99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C7A14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70BAD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9BC32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71192</w:t>
            </w:r>
          </w:p>
        </w:tc>
        <w:tc>
          <w:tcPr>
            <w:tcW w:w="1134" w:type="dxa"/>
          </w:tcPr>
          <w:p w14:paraId="33E770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0D4478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A0A3A32" w14:textId="77777777" w:rsidTr="00743919">
        <w:trPr>
          <w:trHeight w:val="302"/>
        </w:trPr>
        <w:tc>
          <w:tcPr>
            <w:tcW w:w="1555" w:type="dxa"/>
          </w:tcPr>
          <w:p w14:paraId="06B1F93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4B380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56080E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23CF3E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71195</w:t>
            </w:r>
          </w:p>
        </w:tc>
        <w:tc>
          <w:tcPr>
            <w:tcW w:w="1134" w:type="dxa"/>
          </w:tcPr>
          <w:p w14:paraId="7765DFA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A41D161"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9DAD80" w14:textId="77777777" w:rsidTr="00743919">
        <w:trPr>
          <w:trHeight w:val="302"/>
        </w:trPr>
        <w:tc>
          <w:tcPr>
            <w:tcW w:w="1555" w:type="dxa"/>
          </w:tcPr>
          <w:p w14:paraId="256786B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FA7688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460F0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60213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71200</w:t>
            </w:r>
          </w:p>
        </w:tc>
        <w:tc>
          <w:tcPr>
            <w:tcW w:w="1134" w:type="dxa"/>
          </w:tcPr>
          <w:p w14:paraId="08AA76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E9DED1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D2ABF4C" w14:textId="77777777" w:rsidTr="00743919">
        <w:trPr>
          <w:trHeight w:val="302"/>
        </w:trPr>
        <w:tc>
          <w:tcPr>
            <w:tcW w:w="1555" w:type="dxa"/>
          </w:tcPr>
          <w:p w14:paraId="4B15E40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1DA13A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P5 Tissue Pathology</w:t>
            </w:r>
          </w:p>
        </w:tc>
        <w:tc>
          <w:tcPr>
            <w:tcW w:w="1843" w:type="dxa"/>
          </w:tcPr>
          <w:p w14:paraId="462F993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2B16E1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72813</w:t>
            </w:r>
          </w:p>
        </w:tc>
        <w:tc>
          <w:tcPr>
            <w:tcW w:w="1134" w:type="dxa"/>
          </w:tcPr>
          <w:p w14:paraId="27D9910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9CDF2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306D860" w14:textId="77777777" w:rsidTr="00743919">
        <w:trPr>
          <w:trHeight w:val="302"/>
        </w:trPr>
        <w:tc>
          <w:tcPr>
            <w:tcW w:w="1555" w:type="dxa"/>
          </w:tcPr>
          <w:p w14:paraId="6BF9D3C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A3E34D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F7EC5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D65B0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72816</w:t>
            </w:r>
          </w:p>
        </w:tc>
        <w:tc>
          <w:tcPr>
            <w:tcW w:w="1134" w:type="dxa"/>
          </w:tcPr>
          <w:p w14:paraId="7135436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3670A6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4D7691" w14:textId="77777777" w:rsidTr="00743919">
        <w:trPr>
          <w:trHeight w:val="302"/>
        </w:trPr>
        <w:tc>
          <w:tcPr>
            <w:tcW w:w="1555" w:type="dxa"/>
          </w:tcPr>
          <w:p w14:paraId="78A7B53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4E0C1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D6270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90CC7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72817</w:t>
            </w:r>
          </w:p>
        </w:tc>
        <w:tc>
          <w:tcPr>
            <w:tcW w:w="1134" w:type="dxa"/>
          </w:tcPr>
          <w:p w14:paraId="5200C69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CECAF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66647CC" w14:textId="77777777" w:rsidTr="00743919">
        <w:trPr>
          <w:trHeight w:val="302"/>
        </w:trPr>
        <w:tc>
          <w:tcPr>
            <w:tcW w:w="1555" w:type="dxa"/>
          </w:tcPr>
          <w:p w14:paraId="00CA76C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23BF3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0EFF69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0D37B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72818</w:t>
            </w:r>
          </w:p>
        </w:tc>
        <w:tc>
          <w:tcPr>
            <w:tcW w:w="1134" w:type="dxa"/>
          </w:tcPr>
          <w:p w14:paraId="1C4096B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4E23DB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A6F2C46" w14:textId="77777777" w:rsidTr="00743919">
        <w:trPr>
          <w:trHeight w:val="302"/>
        </w:trPr>
        <w:tc>
          <w:tcPr>
            <w:tcW w:w="1555" w:type="dxa"/>
          </w:tcPr>
          <w:p w14:paraId="3CDD22B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A89BCD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11F6A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D398F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72823</w:t>
            </w:r>
          </w:p>
        </w:tc>
        <w:tc>
          <w:tcPr>
            <w:tcW w:w="1134" w:type="dxa"/>
          </w:tcPr>
          <w:p w14:paraId="7446CA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AD1B73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CB86939" w14:textId="77777777" w:rsidTr="00743919">
        <w:trPr>
          <w:trHeight w:val="302"/>
        </w:trPr>
        <w:tc>
          <w:tcPr>
            <w:tcW w:w="1555" w:type="dxa"/>
          </w:tcPr>
          <w:p w14:paraId="56024B1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07FD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AA1C8F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BA79DD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72824</w:t>
            </w:r>
          </w:p>
        </w:tc>
        <w:tc>
          <w:tcPr>
            <w:tcW w:w="1134" w:type="dxa"/>
          </w:tcPr>
          <w:p w14:paraId="785F59C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D053B1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7F69CA8" w14:textId="77777777" w:rsidTr="00743919">
        <w:trPr>
          <w:trHeight w:val="302"/>
        </w:trPr>
        <w:tc>
          <w:tcPr>
            <w:tcW w:w="1555" w:type="dxa"/>
          </w:tcPr>
          <w:p w14:paraId="59A98C6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7BCC9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20659FA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5AA33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72825</w:t>
            </w:r>
          </w:p>
        </w:tc>
        <w:tc>
          <w:tcPr>
            <w:tcW w:w="1134" w:type="dxa"/>
          </w:tcPr>
          <w:p w14:paraId="1D74E60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8A90A2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4B70BA5" w14:textId="77777777" w:rsidTr="00743919">
        <w:trPr>
          <w:trHeight w:val="302"/>
        </w:trPr>
        <w:tc>
          <w:tcPr>
            <w:tcW w:w="1555" w:type="dxa"/>
          </w:tcPr>
          <w:p w14:paraId="4AE4BED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47AD2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6D9AF5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8287C4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72826</w:t>
            </w:r>
          </w:p>
        </w:tc>
        <w:tc>
          <w:tcPr>
            <w:tcW w:w="1134" w:type="dxa"/>
          </w:tcPr>
          <w:p w14:paraId="2434FB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F8DF9D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1021405" w14:textId="77777777" w:rsidTr="00743919">
        <w:trPr>
          <w:trHeight w:val="302"/>
        </w:trPr>
        <w:tc>
          <w:tcPr>
            <w:tcW w:w="1555" w:type="dxa"/>
          </w:tcPr>
          <w:p w14:paraId="1D467E8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471B73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98FC5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B95C2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72827</w:t>
            </w:r>
          </w:p>
        </w:tc>
        <w:tc>
          <w:tcPr>
            <w:tcW w:w="1134" w:type="dxa"/>
          </w:tcPr>
          <w:p w14:paraId="6B5D76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B92277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6F82567D" w14:textId="77777777" w:rsidTr="00743919">
        <w:trPr>
          <w:trHeight w:val="302"/>
        </w:trPr>
        <w:tc>
          <w:tcPr>
            <w:tcW w:w="1555" w:type="dxa"/>
          </w:tcPr>
          <w:p w14:paraId="37C6D8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6910C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B4A9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4D4E1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72828</w:t>
            </w:r>
          </w:p>
        </w:tc>
        <w:tc>
          <w:tcPr>
            <w:tcW w:w="1134" w:type="dxa"/>
          </w:tcPr>
          <w:p w14:paraId="25E2F92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F7DFDE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218B21" w14:textId="77777777" w:rsidTr="00743919">
        <w:trPr>
          <w:trHeight w:val="302"/>
        </w:trPr>
        <w:tc>
          <w:tcPr>
            <w:tcW w:w="1555" w:type="dxa"/>
          </w:tcPr>
          <w:p w14:paraId="763CF5D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BB1144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362A3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A29634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72830</w:t>
            </w:r>
          </w:p>
        </w:tc>
        <w:tc>
          <w:tcPr>
            <w:tcW w:w="1134" w:type="dxa"/>
          </w:tcPr>
          <w:p w14:paraId="10D2EC8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6C86D9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CF647CF" w14:textId="77777777" w:rsidTr="00743919">
        <w:trPr>
          <w:trHeight w:val="302"/>
        </w:trPr>
        <w:tc>
          <w:tcPr>
            <w:tcW w:w="1555" w:type="dxa"/>
          </w:tcPr>
          <w:p w14:paraId="6BE3573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94C35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517115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101E3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72836</w:t>
            </w:r>
          </w:p>
        </w:tc>
        <w:tc>
          <w:tcPr>
            <w:tcW w:w="1134" w:type="dxa"/>
          </w:tcPr>
          <w:p w14:paraId="0070EB8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7095B0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211977A" w14:textId="77777777" w:rsidTr="00743919">
        <w:trPr>
          <w:trHeight w:val="302"/>
        </w:trPr>
        <w:tc>
          <w:tcPr>
            <w:tcW w:w="1555" w:type="dxa"/>
          </w:tcPr>
          <w:p w14:paraId="5F2D7F8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F81CCB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196B3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D7D02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72838</w:t>
            </w:r>
          </w:p>
        </w:tc>
        <w:tc>
          <w:tcPr>
            <w:tcW w:w="1134" w:type="dxa"/>
          </w:tcPr>
          <w:p w14:paraId="6FE1AD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CF62E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6A961C" w14:textId="77777777" w:rsidTr="00743919">
        <w:trPr>
          <w:trHeight w:val="302"/>
        </w:trPr>
        <w:tc>
          <w:tcPr>
            <w:tcW w:w="1555" w:type="dxa"/>
          </w:tcPr>
          <w:p w14:paraId="47ECE43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FBAAA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2CDD97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2E1CE1E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72846</w:t>
            </w:r>
          </w:p>
        </w:tc>
        <w:tc>
          <w:tcPr>
            <w:tcW w:w="1134" w:type="dxa"/>
          </w:tcPr>
          <w:p w14:paraId="251256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B857F1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EE96BD8" w14:textId="77777777" w:rsidTr="00743919">
        <w:trPr>
          <w:trHeight w:val="302"/>
        </w:trPr>
        <w:tc>
          <w:tcPr>
            <w:tcW w:w="1555" w:type="dxa"/>
          </w:tcPr>
          <w:p w14:paraId="230DA5D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D9ED6C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1A295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55480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72847</w:t>
            </w:r>
          </w:p>
        </w:tc>
        <w:tc>
          <w:tcPr>
            <w:tcW w:w="1134" w:type="dxa"/>
          </w:tcPr>
          <w:p w14:paraId="55E14E0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7BE41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B43D8B" w14:textId="77777777" w:rsidTr="00743919">
        <w:trPr>
          <w:trHeight w:val="302"/>
        </w:trPr>
        <w:tc>
          <w:tcPr>
            <w:tcW w:w="1555" w:type="dxa"/>
          </w:tcPr>
          <w:p w14:paraId="2BDB072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CAD1F4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896D4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D63BC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72848</w:t>
            </w:r>
          </w:p>
        </w:tc>
        <w:tc>
          <w:tcPr>
            <w:tcW w:w="1134" w:type="dxa"/>
          </w:tcPr>
          <w:p w14:paraId="763D677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CB8196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3235D50" w14:textId="77777777" w:rsidTr="00743919">
        <w:trPr>
          <w:trHeight w:val="302"/>
        </w:trPr>
        <w:tc>
          <w:tcPr>
            <w:tcW w:w="1555" w:type="dxa"/>
          </w:tcPr>
          <w:p w14:paraId="76A9DA4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D26EAD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90D3F3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C3EB82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72849</w:t>
            </w:r>
          </w:p>
        </w:tc>
        <w:tc>
          <w:tcPr>
            <w:tcW w:w="1134" w:type="dxa"/>
          </w:tcPr>
          <w:p w14:paraId="6D2ACF0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E56631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896443E" w14:textId="77777777" w:rsidTr="00743919">
        <w:trPr>
          <w:trHeight w:val="302"/>
        </w:trPr>
        <w:tc>
          <w:tcPr>
            <w:tcW w:w="1555" w:type="dxa"/>
          </w:tcPr>
          <w:p w14:paraId="2EBFB39C"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5A30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E0C2D3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4300C3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72850</w:t>
            </w:r>
          </w:p>
        </w:tc>
        <w:tc>
          <w:tcPr>
            <w:tcW w:w="1134" w:type="dxa"/>
          </w:tcPr>
          <w:p w14:paraId="5251ADB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2830CF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CDEFDB6" w14:textId="77777777" w:rsidTr="00743919">
        <w:trPr>
          <w:trHeight w:val="302"/>
        </w:trPr>
        <w:tc>
          <w:tcPr>
            <w:tcW w:w="1555" w:type="dxa"/>
          </w:tcPr>
          <w:p w14:paraId="57C4BB7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157AB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B566D1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DA42F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72851</w:t>
            </w:r>
          </w:p>
        </w:tc>
        <w:tc>
          <w:tcPr>
            <w:tcW w:w="1134" w:type="dxa"/>
          </w:tcPr>
          <w:p w14:paraId="6EB1A1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F81AD38"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E12EB7A" w14:textId="77777777" w:rsidTr="00743919">
        <w:trPr>
          <w:trHeight w:val="302"/>
        </w:trPr>
        <w:tc>
          <w:tcPr>
            <w:tcW w:w="1555" w:type="dxa"/>
          </w:tcPr>
          <w:p w14:paraId="31B7E3B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76A7D0F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F07E29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8C1B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72852</w:t>
            </w:r>
          </w:p>
        </w:tc>
        <w:tc>
          <w:tcPr>
            <w:tcW w:w="1134" w:type="dxa"/>
          </w:tcPr>
          <w:p w14:paraId="760C13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84E475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20F10D7" w14:textId="77777777" w:rsidTr="00743919">
        <w:trPr>
          <w:trHeight w:val="302"/>
        </w:trPr>
        <w:tc>
          <w:tcPr>
            <w:tcW w:w="1555" w:type="dxa"/>
          </w:tcPr>
          <w:p w14:paraId="36E0AD9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47066E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72784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0891A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72855</w:t>
            </w:r>
          </w:p>
        </w:tc>
        <w:tc>
          <w:tcPr>
            <w:tcW w:w="1134" w:type="dxa"/>
          </w:tcPr>
          <w:p w14:paraId="2DC821F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1CC9F7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A3CEF3F" w14:textId="77777777" w:rsidTr="00743919">
        <w:trPr>
          <w:trHeight w:val="302"/>
        </w:trPr>
        <w:tc>
          <w:tcPr>
            <w:tcW w:w="1555" w:type="dxa"/>
          </w:tcPr>
          <w:p w14:paraId="2705FC5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BADA5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FA2376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D33FCB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72856</w:t>
            </w:r>
          </w:p>
        </w:tc>
        <w:tc>
          <w:tcPr>
            <w:tcW w:w="1134" w:type="dxa"/>
          </w:tcPr>
          <w:p w14:paraId="5E72452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D3D91C"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C80E71E" w14:textId="77777777" w:rsidTr="00743919">
        <w:trPr>
          <w:trHeight w:val="302"/>
        </w:trPr>
        <w:tc>
          <w:tcPr>
            <w:tcW w:w="1555" w:type="dxa"/>
          </w:tcPr>
          <w:p w14:paraId="4EB3293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A4006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5447F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FD00F4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72857</w:t>
            </w:r>
          </w:p>
        </w:tc>
        <w:tc>
          <w:tcPr>
            <w:tcW w:w="1134" w:type="dxa"/>
          </w:tcPr>
          <w:p w14:paraId="6BE6210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68D0EE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136277F" w14:textId="77777777" w:rsidTr="00743919">
        <w:trPr>
          <w:trHeight w:val="302"/>
        </w:trPr>
        <w:tc>
          <w:tcPr>
            <w:tcW w:w="1555" w:type="dxa"/>
          </w:tcPr>
          <w:p w14:paraId="182F3CD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3E073A"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P6 Cytopathology</w:t>
            </w:r>
          </w:p>
        </w:tc>
        <w:tc>
          <w:tcPr>
            <w:tcW w:w="1843" w:type="dxa"/>
          </w:tcPr>
          <w:p w14:paraId="51A8375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3D5F63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73043</w:t>
            </w:r>
          </w:p>
        </w:tc>
        <w:tc>
          <w:tcPr>
            <w:tcW w:w="1134" w:type="dxa"/>
          </w:tcPr>
          <w:p w14:paraId="0F7E410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9926B9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E6F92E0" w14:textId="77777777" w:rsidTr="00743919">
        <w:trPr>
          <w:trHeight w:val="302"/>
        </w:trPr>
        <w:tc>
          <w:tcPr>
            <w:tcW w:w="1555" w:type="dxa"/>
          </w:tcPr>
          <w:p w14:paraId="1595EA1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4120C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492999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671C0A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73045</w:t>
            </w:r>
          </w:p>
        </w:tc>
        <w:tc>
          <w:tcPr>
            <w:tcW w:w="1134" w:type="dxa"/>
          </w:tcPr>
          <w:p w14:paraId="39BDF1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46D46D3D"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594185F" w14:textId="77777777" w:rsidTr="00743919">
        <w:trPr>
          <w:trHeight w:val="302"/>
        </w:trPr>
        <w:tc>
          <w:tcPr>
            <w:tcW w:w="1555" w:type="dxa"/>
          </w:tcPr>
          <w:p w14:paraId="796293C8"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5CC5BE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BEDF39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2A7102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73047</w:t>
            </w:r>
          </w:p>
        </w:tc>
        <w:tc>
          <w:tcPr>
            <w:tcW w:w="1134" w:type="dxa"/>
          </w:tcPr>
          <w:p w14:paraId="2E2333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78C1F2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623E29" w14:textId="77777777" w:rsidTr="00743919">
        <w:trPr>
          <w:trHeight w:val="302"/>
        </w:trPr>
        <w:tc>
          <w:tcPr>
            <w:tcW w:w="1555" w:type="dxa"/>
          </w:tcPr>
          <w:p w14:paraId="4D77E25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B33A1F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6DA34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C0D0D4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73049</w:t>
            </w:r>
          </w:p>
        </w:tc>
        <w:tc>
          <w:tcPr>
            <w:tcW w:w="1134" w:type="dxa"/>
          </w:tcPr>
          <w:p w14:paraId="6BC33C1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BE58D1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EDFB338" w14:textId="77777777" w:rsidTr="00743919">
        <w:trPr>
          <w:trHeight w:val="302"/>
        </w:trPr>
        <w:tc>
          <w:tcPr>
            <w:tcW w:w="1555" w:type="dxa"/>
          </w:tcPr>
          <w:p w14:paraId="03F79B71"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12EAE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69CBA5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89747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73051</w:t>
            </w:r>
          </w:p>
        </w:tc>
        <w:tc>
          <w:tcPr>
            <w:tcW w:w="1134" w:type="dxa"/>
          </w:tcPr>
          <w:p w14:paraId="6846D9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10EC67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9BB2355" w14:textId="77777777" w:rsidTr="00743919">
        <w:trPr>
          <w:trHeight w:val="302"/>
        </w:trPr>
        <w:tc>
          <w:tcPr>
            <w:tcW w:w="1555" w:type="dxa"/>
          </w:tcPr>
          <w:p w14:paraId="56EB40D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A2340C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577D03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07C30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73053</w:t>
            </w:r>
          </w:p>
        </w:tc>
        <w:tc>
          <w:tcPr>
            <w:tcW w:w="1134" w:type="dxa"/>
          </w:tcPr>
          <w:p w14:paraId="674BC9D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18B57F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4FD8B24" w14:textId="77777777" w:rsidTr="00743919">
        <w:trPr>
          <w:trHeight w:val="302"/>
        </w:trPr>
        <w:tc>
          <w:tcPr>
            <w:tcW w:w="1555" w:type="dxa"/>
          </w:tcPr>
          <w:p w14:paraId="5B4743FA"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807AE5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9B7A4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530C5D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73055</w:t>
            </w:r>
          </w:p>
        </w:tc>
        <w:tc>
          <w:tcPr>
            <w:tcW w:w="1134" w:type="dxa"/>
          </w:tcPr>
          <w:p w14:paraId="4B226BF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2940E8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0D25095" w14:textId="77777777" w:rsidTr="00743919">
        <w:trPr>
          <w:trHeight w:val="302"/>
        </w:trPr>
        <w:tc>
          <w:tcPr>
            <w:tcW w:w="1555" w:type="dxa"/>
          </w:tcPr>
          <w:p w14:paraId="0DCF858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D414A6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7CD0CE0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7D2B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73057</w:t>
            </w:r>
          </w:p>
        </w:tc>
        <w:tc>
          <w:tcPr>
            <w:tcW w:w="1134" w:type="dxa"/>
          </w:tcPr>
          <w:p w14:paraId="6A034D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BB4594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87B3156" w14:textId="77777777" w:rsidTr="00743919">
        <w:trPr>
          <w:trHeight w:val="302"/>
        </w:trPr>
        <w:tc>
          <w:tcPr>
            <w:tcW w:w="1555" w:type="dxa"/>
          </w:tcPr>
          <w:p w14:paraId="4F6A692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04FDA5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2786D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10D102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73059</w:t>
            </w:r>
          </w:p>
        </w:tc>
        <w:tc>
          <w:tcPr>
            <w:tcW w:w="1134" w:type="dxa"/>
          </w:tcPr>
          <w:p w14:paraId="1D3092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B80D51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B79BEED" w14:textId="77777777" w:rsidTr="00743919">
        <w:trPr>
          <w:trHeight w:val="302"/>
        </w:trPr>
        <w:tc>
          <w:tcPr>
            <w:tcW w:w="1555" w:type="dxa"/>
          </w:tcPr>
          <w:p w14:paraId="39209EC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37775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8E7A23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945CDF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73060</w:t>
            </w:r>
          </w:p>
        </w:tc>
        <w:tc>
          <w:tcPr>
            <w:tcW w:w="1134" w:type="dxa"/>
          </w:tcPr>
          <w:p w14:paraId="45FBAEA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369589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6B7990B" w14:textId="77777777" w:rsidTr="00743919">
        <w:trPr>
          <w:trHeight w:val="302"/>
        </w:trPr>
        <w:tc>
          <w:tcPr>
            <w:tcW w:w="1555" w:type="dxa"/>
          </w:tcPr>
          <w:p w14:paraId="689E6AE7"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7813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99DAC2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0E1D22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73061</w:t>
            </w:r>
          </w:p>
        </w:tc>
        <w:tc>
          <w:tcPr>
            <w:tcW w:w="1134" w:type="dxa"/>
          </w:tcPr>
          <w:p w14:paraId="2247B2F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3A9087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D62E867" w14:textId="77777777" w:rsidTr="00743919">
        <w:trPr>
          <w:trHeight w:val="302"/>
        </w:trPr>
        <w:tc>
          <w:tcPr>
            <w:tcW w:w="1555" w:type="dxa"/>
          </w:tcPr>
          <w:p w14:paraId="7C7741F0"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2999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4F7C90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0E7B79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73062</w:t>
            </w:r>
          </w:p>
        </w:tc>
        <w:tc>
          <w:tcPr>
            <w:tcW w:w="1134" w:type="dxa"/>
          </w:tcPr>
          <w:p w14:paraId="447B99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4C1E45F"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0C79CCB" w14:textId="77777777" w:rsidTr="00743919">
        <w:trPr>
          <w:trHeight w:val="302"/>
        </w:trPr>
        <w:tc>
          <w:tcPr>
            <w:tcW w:w="1555" w:type="dxa"/>
          </w:tcPr>
          <w:p w14:paraId="467A93B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7823E6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9FFA1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649F89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73063</w:t>
            </w:r>
          </w:p>
        </w:tc>
        <w:tc>
          <w:tcPr>
            <w:tcW w:w="1134" w:type="dxa"/>
          </w:tcPr>
          <w:p w14:paraId="4ED236C2"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18B870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3EDC1AB8" w14:textId="77777777" w:rsidTr="00743919">
        <w:trPr>
          <w:trHeight w:val="302"/>
        </w:trPr>
        <w:tc>
          <w:tcPr>
            <w:tcW w:w="1555" w:type="dxa"/>
          </w:tcPr>
          <w:p w14:paraId="54D6C06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DA12E0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B6EA15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1E319E8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73064</w:t>
            </w:r>
          </w:p>
        </w:tc>
        <w:tc>
          <w:tcPr>
            <w:tcW w:w="1134" w:type="dxa"/>
          </w:tcPr>
          <w:p w14:paraId="709B021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5AC524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84F1042" w14:textId="77777777" w:rsidTr="00743919">
        <w:trPr>
          <w:trHeight w:val="302"/>
        </w:trPr>
        <w:tc>
          <w:tcPr>
            <w:tcW w:w="1555" w:type="dxa"/>
          </w:tcPr>
          <w:p w14:paraId="1CF9EAE6"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AB53C2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5D2037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4DB5E1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73065</w:t>
            </w:r>
          </w:p>
        </w:tc>
        <w:tc>
          <w:tcPr>
            <w:tcW w:w="1134" w:type="dxa"/>
          </w:tcPr>
          <w:p w14:paraId="1EB4A5B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13463A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CDD54B" w14:textId="77777777" w:rsidTr="00743919">
        <w:trPr>
          <w:trHeight w:val="302"/>
        </w:trPr>
        <w:tc>
          <w:tcPr>
            <w:tcW w:w="1555" w:type="dxa"/>
          </w:tcPr>
          <w:p w14:paraId="5C2F610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0A969F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E51D8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4E5EF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73066</w:t>
            </w:r>
          </w:p>
        </w:tc>
        <w:tc>
          <w:tcPr>
            <w:tcW w:w="1134" w:type="dxa"/>
          </w:tcPr>
          <w:p w14:paraId="441F16A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77B5717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66B6DE2" w14:textId="77777777" w:rsidTr="00743919">
        <w:trPr>
          <w:trHeight w:val="302"/>
        </w:trPr>
        <w:tc>
          <w:tcPr>
            <w:tcW w:w="1555" w:type="dxa"/>
          </w:tcPr>
          <w:p w14:paraId="217C5E9D"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3B4661A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61C715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C343F1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73067</w:t>
            </w:r>
          </w:p>
        </w:tc>
        <w:tc>
          <w:tcPr>
            <w:tcW w:w="1134" w:type="dxa"/>
          </w:tcPr>
          <w:p w14:paraId="5B652933"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2EA6D2E"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C893F3" w14:textId="77777777" w:rsidTr="00743919">
        <w:trPr>
          <w:trHeight w:val="302"/>
        </w:trPr>
        <w:tc>
          <w:tcPr>
            <w:tcW w:w="1555" w:type="dxa"/>
          </w:tcPr>
          <w:p w14:paraId="6263275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0E9A700"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P7 Cytogenetics</w:t>
            </w:r>
          </w:p>
        </w:tc>
        <w:tc>
          <w:tcPr>
            <w:tcW w:w="1843" w:type="dxa"/>
          </w:tcPr>
          <w:p w14:paraId="6EB875C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 xml:space="preserve"> </w:t>
            </w:r>
          </w:p>
        </w:tc>
        <w:tc>
          <w:tcPr>
            <w:tcW w:w="992" w:type="dxa"/>
          </w:tcPr>
          <w:p w14:paraId="358B37C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73287</w:t>
            </w:r>
          </w:p>
        </w:tc>
        <w:tc>
          <w:tcPr>
            <w:tcW w:w="1134" w:type="dxa"/>
          </w:tcPr>
          <w:p w14:paraId="38E770B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1DCB2E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1B8167F" w14:textId="77777777" w:rsidTr="00743919">
        <w:trPr>
          <w:trHeight w:val="302"/>
        </w:trPr>
        <w:tc>
          <w:tcPr>
            <w:tcW w:w="1555" w:type="dxa"/>
          </w:tcPr>
          <w:p w14:paraId="6BE09C0E"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22CFA99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13A8E97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211EA4D"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73289</w:t>
            </w:r>
          </w:p>
        </w:tc>
        <w:tc>
          <w:tcPr>
            <w:tcW w:w="1134" w:type="dxa"/>
          </w:tcPr>
          <w:p w14:paraId="145664EA"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16A2FC9"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4663F589" w14:textId="77777777" w:rsidTr="00743919">
        <w:trPr>
          <w:trHeight w:val="302"/>
        </w:trPr>
        <w:tc>
          <w:tcPr>
            <w:tcW w:w="1555" w:type="dxa"/>
          </w:tcPr>
          <w:p w14:paraId="3E43F63B"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504A051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2B1D3B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3B12F7B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73290</w:t>
            </w:r>
          </w:p>
        </w:tc>
        <w:tc>
          <w:tcPr>
            <w:tcW w:w="1134" w:type="dxa"/>
          </w:tcPr>
          <w:p w14:paraId="61B59C6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0F3D86AB"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546D0CE" w14:textId="77777777" w:rsidTr="00743919">
        <w:trPr>
          <w:trHeight w:val="302"/>
        </w:trPr>
        <w:tc>
          <w:tcPr>
            <w:tcW w:w="1555" w:type="dxa"/>
          </w:tcPr>
          <w:p w14:paraId="03CF511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43662A9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17D5AF1"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116B934"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73291</w:t>
            </w:r>
          </w:p>
        </w:tc>
        <w:tc>
          <w:tcPr>
            <w:tcW w:w="1134" w:type="dxa"/>
          </w:tcPr>
          <w:p w14:paraId="5FCBB7B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553A753"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0CCC4642" w14:textId="77777777" w:rsidTr="00743919">
        <w:trPr>
          <w:trHeight w:val="302"/>
        </w:trPr>
        <w:tc>
          <w:tcPr>
            <w:tcW w:w="1555" w:type="dxa"/>
          </w:tcPr>
          <w:p w14:paraId="58C52469"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E12A51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4C5522A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91E2C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73293</w:t>
            </w:r>
          </w:p>
        </w:tc>
        <w:tc>
          <w:tcPr>
            <w:tcW w:w="1134" w:type="dxa"/>
          </w:tcPr>
          <w:p w14:paraId="15AB1058"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5E9ECA85"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57A848DA" w14:textId="77777777" w:rsidTr="00743919">
        <w:trPr>
          <w:trHeight w:val="302"/>
        </w:trPr>
        <w:tc>
          <w:tcPr>
            <w:tcW w:w="1555" w:type="dxa"/>
          </w:tcPr>
          <w:p w14:paraId="13B001B5"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23E4B47"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ADACA6C"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06944CB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73308</w:t>
            </w:r>
          </w:p>
        </w:tc>
        <w:tc>
          <w:tcPr>
            <w:tcW w:w="1134" w:type="dxa"/>
          </w:tcPr>
          <w:p w14:paraId="02505DF5"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60312012"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F17BE6F" w14:textId="77777777" w:rsidTr="00743919">
        <w:trPr>
          <w:trHeight w:val="302"/>
        </w:trPr>
        <w:tc>
          <w:tcPr>
            <w:tcW w:w="1555" w:type="dxa"/>
          </w:tcPr>
          <w:p w14:paraId="6DFFBCC4"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06F9A8C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32CCEAF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7A5F6F5B"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73309</w:t>
            </w:r>
          </w:p>
        </w:tc>
        <w:tc>
          <w:tcPr>
            <w:tcW w:w="1134" w:type="dxa"/>
          </w:tcPr>
          <w:p w14:paraId="3A3FDD8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F22A4C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2AB9AC74" w14:textId="77777777" w:rsidTr="00743919">
        <w:trPr>
          <w:trHeight w:val="302"/>
        </w:trPr>
        <w:tc>
          <w:tcPr>
            <w:tcW w:w="1555" w:type="dxa"/>
          </w:tcPr>
          <w:p w14:paraId="3CF169E3"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147800D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5AC4BD46"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489E14B9"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73311</w:t>
            </w:r>
          </w:p>
        </w:tc>
        <w:tc>
          <w:tcPr>
            <w:tcW w:w="1134" w:type="dxa"/>
          </w:tcPr>
          <w:p w14:paraId="738DE56E"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25A7A034"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7F8C2AA8" w14:textId="77777777" w:rsidTr="00743919">
        <w:trPr>
          <w:trHeight w:val="302"/>
        </w:trPr>
        <w:tc>
          <w:tcPr>
            <w:tcW w:w="1555" w:type="dxa"/>
          </w:tcPr>
          <w:p w14:paraId="3019B582" w14:textId="77777777" w:rsidR="00743919" w:rsidRPr="00F333A1" w:rsidRDefault="00743919">
            <w:pPr>
              <w:widowControl w:val="0"/>
              <w:autoSpaceDE w:val="0"/>
              <w:autoSpaceDN w:val="0"/>
              <w:adjustRightInd w:val="0"/>
              <w:spacing w:before="0" w:after="0" w:line="240" w:lineRule="auto"/>
              <w:jc w:val="right"/>
              <w:rPr>
                <w:rFonts w:ascii="Arial Narrow" w:hAnsi="Arial Narrow" w:cs="Calibri"/>
                <w:sz w:val="20"/>
                <w:lang w:val="en-US" w:eastAsia="en-AU"/>
              </w:rPr>
            </w:pPr>
          </w:p>
        </w:tc>
        <w:tc>
          <w:tcPr>
            <w:tcW w:w="1984" w:type="dxa"/>
          </w:tcPr>
          <w:p w14:paraId="65550E1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1843" w:type="dxa"/>
          </w:tcPr>
          <w:p w14:paraId="0B0BA98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p>
        </w:tc>
        <w:tc>
          <w:tcPr>
            <w:tcW w:w="992" w:type="dxa"/>
          </w:tcPr>
          <w:p w14:paraId="597494CF"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73312</w:t>
            </w:r>
          </w:p>
        </w:tc>
        <w:tc>
          <w:tcPr>
            <w:tcW w:w="1134" w:type="dxa"/>
          </w:tcPr>
          <w:p w14:paraId="687DBC70" w14:textId="77777777" w:rsidR="00743919" w:rsidRPr="00743919" w:rsidRDefault="00743919">
            <w:pPr>
              <w:widowControl w:val="0"/>
              <w:autoSpaceDE w:val="0"/>
              <w:autoSpaceDN w:val="0"/>
              <w:adjustRightInd w:val="0"/>
              <w:spacing w:before="0" w:after="0" w:line="240" w:lineRule="auto"/>
              <w:jc w:val="right"/>
              <w:rPr>
                <w:rFonts w:ascii="Arial Narrow" w:hAnsi="Arial Narrow" w:cs="Calibri"/>
                <w:color w:val="000000"/>
                <w:sz w:val="20"/>
                <w:lang w:val="en-US" w:eastAsia="en-AU"/>
              </w:rPr>
            </w:pPr>
            <w:r w:rsidRPr="00743919">
              <w:rPr>
                <w:rFonts w:ascii="Arial Narrow" w:hAnsi="Arial Narrow" w:cs="Calibri"/>
                <w:color w:val="000000"/>
                <w:sz w:val="20"/>
                <w:lang w:val="en-US" w:eastAsia="en-AU"/>
              </w:rPr>
              <w:t>0</w:t>
            </w:r>
          </w:p>
        </w:tc>
        <w:tc>
          <w:tcPr>
            <w:tcW w:w="1559" w:type="dxa"/>
          </w:tcPr>
          <w:p w14:paraId="3AB2FC77" w14:textId="77777777" w:rsidR="00743919" w:rsidRPr="00743919" w:rsidRDefault="00743919">
            <w:pPr>
              <w:widowControl w:val="0"/>
              <w:autoSpaceDE w:val="0"/>
              <w:autoSpaceDN w:val="0"/>
              <w:adjustRightInd w:val="0"/>
              <w:spacing w:before="0" w:after="0" w:line="240" w:lineRule="auto"/>
              <w:rPr>
                <w:rFonts w:ascii="Arial Narrow" w:hAnsi="Arial Narrow" w:cs="Calibri"/>
                <w:color w:val="000000"/>
                <w:sz w:val="20"/>
                <w:lang w:val="en-US" w:eastAsia="en-AU"/>
              </w:rPr>
            </w:pPr>
            <w:r w:rsidRPr="00743919">
              <w:rPr>
                <w:rFonts w:ascii="Arial Narrow" w:hAnsi="Arial Narrow" w:cs="Calibri"/>
                <w:color w:val="000000"/>
                <w:sz w:val="20"/>
                <w:lang w:val="en-US" w:eastAsia="en-AU"/>
              </w:rPr>
              <w:t>Treatment</w:t>
            </w:r>
          </w:p>
        </w:tc>
      </w:tr>
      <w:tr w:rsidR="00743919" w14:paraId="13A8E8A2" w14:textId="77777777" w:rsidTr="00743919">
        <w:trPr>
          <w:trHeight w:val="302"/>
        </w:trPr>
        <w:tc>
          <w:tcPr>
            <w:tcW w:w="1555" w:type="dxa"/>
          </w:tcPr>
          <w:p w14:paraId="3F4D6F89" w14:textId="77777777" w:rsidR="00743919" w:rsidRPr="00F333A1" w:rsidRDefault="00743919" w:rsidP="00743919">
            <w:pPr>
              <w:spacing w:before="0" w:after="0" w:line="240" w:lineRule="auto"/>
              <w:rPr>
                <w:rFonts w:ascii="Arial Narrow" w:hAnsi="Arial Narrow"/>
                <w:sz w:val="20"/>
              </w:rPr>
            </w:pPr>
          </w:p>
        </w:tc>
        <w:tc>
          <w:tcPr>
            <w:tcW w:w="1984" w:type="dxa"/>
          </w:tcPr>
          <w:p w14:paraId="18BCA207"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17A0B66B"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B82F27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73314</w:t>
            </w:r>
          </w:p>
        </w:tc>
        <w:tc>
          <w:tcPr>
            <w:tcW w:w="1134" w:type="dxa"/>
          </w:tcPr>
          <w:p w14:paraId="399CF05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54BDE28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CFF4851" w14:textId="77777777" w:rsidTr="00743919">
        <w:trPr>
          <w:trHeight w:val="302"/>
        </w:trPr>
        <w:tc>
          <w:tcPr>
            <w:tcW w:w="1555" w:type="dxa"/>
          </w:tcPr>
          <w:p w14:paraId="51F1452C" w14:textId="77777777" w:rsidR="00743919" w:rsidRPr="00F333A1" w:rsidRDefault="00743919" w:rsidP="00743919">
            <w:pPr>
              <w:spacing w:before="0" w:after="0" w:line="240" w:lineRule="auto"/>
              <w:rPr>
                <w:rFonts w:ascii="Arial Narrow" w:hAnsi="Arial Narrow"/>
                <w:sz w:val="20"/>
              </w:rPr>
            </w:pPr>
          </w:p>
        </w:tc>
        <w:tc>
          <w:tcPr>
            <w:tcW w:w="1984" w:type="dxa"/>
          </w:tcPr>
          <w:p w14:paraId="2FF79D46"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9595CAC"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4450EF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73315</w:t>
            </w:r>
          </w:p>
        </w:tc>
        <w:tc>
          <w:tcPr>
            <w:tcW w:w="1134" w:type="dxa"/>
          </w:tcPr>
          <w:p w14:paraId="685B394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0EB1FB3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29F54D19" w14:textId="77777777" w:rsidTr="00743919">
        <w:trPr>
          <w:trHeight w:val="302"/>
        </w:trPr>
        <w:tc>
          <w:tcPr>
            <w:tcW w:w="1555" w:type="dxa"/>
          </w:tcPr>
          <w:p w14:paraId="48863560" w14:textId="77777777" w:rsidR="00743919" w:rsidRPr="00F333A1" w:rsidRDefault="00743919" w:rsidP="00743919">
            <w:pPr>
              <w:spacing w:before="0" w:after="0" w:line="240" w:lineRule="auto"/>
              <w:rPr>
                <w:rFonts w:ascii="Arial Narrow" w:hAnsi="Arial Narrow"/>
                <w:sz w:val="20"/>
              </w:rPr>
            </w:pPr>
          </w:p>
        </w:tc>
        <w:tc>
          <w:tcPr>
            <w:tcW w:w="1984" w:type="dxa"/>
          </w:tcPr>
          <w:p w14:paraId="5FBA7791"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0F89F1C3"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3A0C718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73317</w:t>
            </w:r>
          </w:p>
        </w:tc>
        <w:tc>
          <w:tcPr>
            <w:tcW w:w="1134" w:type="dxa"/>
          </w:tcPr>
          <w:p w14:paraId="0A6BF78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6B0495D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524C76D" w14:textId="77777777" w:rsidTr="00743919">
        <w:trPr>
          <w:trHeight w:val="302"/>
        </w:trPr>
        <w:tc>
          <w:tcPr>
            <w:tcW w:w="1555" w:type="dxa"/>
          </w:tcPr>
          <w:p w14:paraId="429B7274" w14:textId="77777777" w:rsidR="00743919" w:rsidRPr="00F333A1" w:rsidRDefault="00743919" w:rsidP="00743919">
            <w:pPr>
              <w:spacing w:before="0" w:after="0" w:line="240" w:lineRule="auto"/>
              <w:rPr>
                <w:rFonts w:ascii="Arial Narrow" w:hAnsi="Arial Narrow"/>
                <w:sz w:val="20"/>
              </w:rPr>
            </w:pPr>
          </w:p>
        </w:tc>
        <w:tc>
          <w:tcPr>
            <w:tcW w:w="1984" w:type="dxa"/>
          </w:tcPr>
          <w:p w14:paraId="608292B9"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0C43A118"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987E00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73318</w:t>
            </w:r>
          </w:p>
        </w:tc>
        <w:tc>
          <w:tcPr>
            <w:tcW w:w="1134" w:type="dxa"/>
          </w:tcPr>
          <w:p w14:paraId="0CAB0D6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192D97C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2D415FF6" w14:textId="77777777" w:rsidTr="00743919">
        <w:trPr>
          <w:trHeight w:val="302"/>
        </w:trPr>
        <w:tc>
          <w:tcPr>
            <w:tcW w:w="1555" w:type="dxa"/>
          </w:tcPr>
          <w:p w14:paraId="6F03460F" w14:textId="77777777" w:rsidR="00743919" w:rsidRPr="00F333A1" w:rsidRDefault="00743919" w:rsidP="00743919">
            <w:pPr>
              <w:spacing w:before="0" w:after="0" w:line="240" w:lineRule="auto"/>
              <w:rPr>
                <w:rFonts w:ascii="Arial Narrow" w:hAnsi="Arial Narrow"/>
                <w:sz w:val="20"/>
              </w:rPr>
            </w:pPr>
          </w:p>
        </w:tc>
        <w:tc>
          <w:tcPr>
            <w:tcW w:w="1984" w:type="dxa"/>
          </w:tcPr>
          <w:p w14:paraId="6BA3A6C1"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00413D51"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61DA01FF"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73323</w:t>
            </w:r>
          </w:p>
        </w:tc>
        <w:tc>
          <w:tcPr>
            <w:tcW w:w="1134" w:type="dxa"/>
          </w:tcPr>
          <w:p w14:paraId="038B8EF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1BF8A79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E679AF1" w14:textId="77777777" w:rsidTr="00743919">
        <w:trPr>
          <w:trHeight w:val="302"/>
        </w:trPr>
        <w:tc>
          <w:tcPr>
            <w:tcW w:w="1555" w:type="dxa"/>
          </w:tcPr>
          <w:p w14:paraId="400B24A1" w14:textId="77777777" w:rsidR="00743919" w:rsidRPr="00F333A1" w:rsidRDefault="00743919" w:rsidP="00743919">
            <w:pPr>
              <w:spacing w:before="0" w:after="0" w:line="240" w:lineRule="auto"/>
              <w:rPr>
                <w:rFonts w:ascii="Arial Narrow" w:hAnsi="Arial Narrow"/>
                <w:sz w:val="20"/>
              </w:rPr>
            </w:pPr>
          </w:p>
        </w:tc>
        <w:tc>
          <w:tcPr>
            <w:tcW w:w="1984" w:type="dxa"/>
          </w:tcPr>
          <w:p w14:paraId="0688FA2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FF240FA"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BB38C3E"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73325</w:t>
            </w:r>
          </w:p>
        </w:tc>
        <w:tc>
          <w:tcPr>
            <w:tcW w:w="1134" w:type="dxa"/>
          </w:tcPr>
          <w:p w14:paraId="5217DCB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787A7F0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47D9826" w14:textId="77777777" w:rsidTr="00743919">
        <w:trPr>
          <w:trHeight w:val="302"/>
        </w:trPr>
        <w:tc>
          <w:tcPr>
            <w:tcW w:w="1555" w:type="dxa"/>
          </w:tcPr>
          <w:p w14:paraId="37AFC4FA" w14:textId="77777777" w:rsidR="00743919" w:rsidRPr="00F333A1" w:rsidRDefault="00743919" w:rsidP="00743919">
            <w:pPr>
              <w:spacing w:before="0" w:after="0" w:line="240" w:lineRule="auto"/>
              <w:rPr>
                <w:rFonts w:ascii="Arial Narrow" w:hAnsi="Arial Narrow"/>
                <w:sz w:val="20"/>
              </w:rPr>
            </w:pPr>
          </w:p>
        </w:tc>
        <w:tc>
          <w:tcPr>
            <w:tcW w:w="1984" w:type="dxa"/>
          </w:tcPr>
          <w:p w14:paraId="6D2471DA"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A309987"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57EA81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73332</w:t>
            </w:r>
          </w:p>
        </w:tc>
        <w:tc>
          <w:tcPr>
            <w:tcW w:w="1134" w:type="dxa"/>
          </w:tcPr>
          <w:p w14:paraId="070317E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1CB7DBF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4579D51F" w14:textId="77777777" w:rsidTr="00743919">
        <w:trPr>
          <w:trHeight w:val="302"/>
        </w:trPr>
        <w:tc>
          <w:tcPr>
            <w:tcW w:w="1555" w:type="dxa"/>
          </w:tcPr>
          <w:p w14:paraId="7142BD59" w14:textId="77777777" w:rsidR="00743919" w:rsidRPr="00F333A1" w:rsidRDefault="00743919" w:rsidP="00743919">
            <w:pPr>
              <w:spacing w:before="0" w:after="0" w:line="240" w:lineRule="auto"/>
              <w:rPr>
                <w:rFonts w:ascii="Arial Narrow" w:hAnsi="Arial Narrow"/>
                <w:sz w:val="20"/>
              </w:rPr>
            </w:pPr>
          </w:p>
        </w:tc>
        <w:tc>
          <w:tcPr>
            <w:tcW w:w="1984" w:type="dxa"/>
          </w:tcPr>
          <w:p w14:paraId="2866ED7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P8 Infertility and Pregnancy Tests</w:t>
            </w:r>
          </w:p>
        </w:tc>
        <w:tc>
          <w:tcPr>
            <w:tcW w:w="1843" w:type="dxa"/>
          </w:tcPr>
          <w:p w14:paraId="0FB13BC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 xml:space="preserve"> </w:t>
            </w:r>
          </w:p>
        </w:tc>
        <w:tc>
          <w:tcPr>
            <w:tcW w:w="992" w:type="dxa"/>
          </w:tcPr>
          <w:p w14:paraId="1D4E648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73521</w:t>
            </w:r>
          </w:p>
        </w:tc>
        <w:tc>
          <w:tcPr>
            <w:tcW w:w="1134" w:type="dxa"/>
          </w:tcPr>
          <w:p w14:paraId="63739430"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6408ED0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41258D63" w14:textId="77777777" w:rsidTr="00743919">
        <w:trPr>
          <w:trHeight w:val="302"/>
        </w:trPr>
        <w:tc>
          <w:tcPr>
            <w:tcW w:w="1555" w:type="dxa"/>
          </w:tcPr>
          <w:p w14:paraId="6DF1ED36" w14:textId="77777777" w:rsidR="00743919" w:rsidRPr="00F333A1" w:rsidRDefault="00743919" w:rsidP="00743919">
            <w:pPr>
              <w:spacing w:before="0" w:after="0" w:line="240" w:lineRule="auto"/>
              <w:rPr>
                <w:rFonts w:ascii="Arial Narrow" w:hAnsi="Arial Narrow"/>
                <w:sz w:val="20"/>
              </w:rPr>
            </w:pPr>
          </w:p>
        </w:tc>
        <w:tc>
          <w:tcPr>
            <w:tcW w:w="1984" w:type="dxa"/>
          </w:tcPr>
          <w:p w14:paraId="7526207B"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52B9163A"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1969F8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73523</w:t>
            </w:r>
          </w:p>
        </w:tc>
        <w:tc>
          <w:tcPr>
            <w:tcW w:w="1134" w:type="dxa"/>
          </w:tcPr>
          <w:p w14:paraId="2A733D4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2201FBC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1F419D43" w14:textId="77777777" w:rsidTr="00743919">
        <w:trPr>
          <w:trHeight w:val="302"/>
        </w:trPr>
        <w:tc>
          <w:tcPr>
            <w:tcW w:w="1555" w:type="dxa"/>
          </w:tcPr>
          <w:p w14:paraId="58ADE55B" w14:textId="77777777" w:rsidR="00743919" w:rsidRPr="00F333A1" w:rsidRDefault="00743919" w:rsidP="00743919">
            <w:pPr>
              <w:spacing w:before="0" w:after="0" w:line="240" w:lineRule="auto"/>
              <w:rPr>
                <w:rFonts w:ascii="Arial Narrow" w:hAnsi="Arial Narrow"/>
                <w:sz w:val="20"/>
              </w:rPr>
            </w:pPr>
          </w:p>
        </w:tc>
        <w:tc>
          <w:tcPr>
            <w:tcW w:w="1984" w:type="dxa"/>
          </w:tcPr>
          <w:p w14:paraId="2244BE75"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24B65A5"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61874E4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73525</w:t>
            </w:r>
          </w:p>
        </w:tc>
        <w:tc>
          <w:tcPr>
            <w:tcW w:w="1134" w:type="dxa"/>
          </w:tcPr>
          <w:p w14:paraId="1ED38DE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34F7BE0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4A180A7" w14:textId="77777777" w:rsidTr="00743919">
        <w:trPr>
          <w:trHeight w:val="302"/>
        </w:trPr>
        <w:tc>
          <w:tcPr>
            <w:tcW w:w="1555" w:type="dxa"/>
          </w:tcPr>
          <w:p w14:paraId="333AC5D8" w14:textId="77777777" w:rsidR="00743919" w:rsidRPr="00F333A1" w:rsidRDefault="00743919" w:rsidP="00743919">
            <w:pPr>
              <w:spacing w:before="0" w:after="0" w:line="240" w:lineRule="auto"/>
              <w:rPr>
                <w:rFonts w:ascii="Arial Narrow" w:hAnsi="Arial Narrow"/>
                <w:sz w:val="20"/>
              </w:rPr>
            </w:pPr>
          </w:p>
        </w:tc>
        <w:tc>
          <w:tcPr>
            <w:tcW w:w="1984" w:type="dxa"/>
          </w:tcPr>
          <w:p w14:paraId="70C4B347"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51E9365"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109530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73527</w:t>
            </w:r>
          </w:p>
        </w:tc>
        <w:tc>
          <w:tcPr>
            <w:tcW w:w="1134" w:type="dxa"/>
          </w:tcPr>
          <w:p w14:paraId="1DC3C68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7AA41AB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529725D" w14:textId="77777777" w:rsidTr="00743919">
        <w:trPr>
          <w:trHeight w:val="302"/>
        </w:trPr>
        <w:tc>
          <w:tcPr>
            <w:tcW w:w="1555" w:type="dxa"/>
          </w:tcPr>
          <w:p w14:paraId="42D1338D" w14:textId="77777777" w:rsidR="00743919" w:rsidRPr="00F333A1" w:rsidRDefault="00743919" w:rsidP="00743919">
            <w:pPr>
              <w:spacing w:before="0" w:after="0" w:line="240" w:lineRule="auto"/>
              <w:rPr>
                <w:rFonts w:ascii="Arial Narrow" w:hAnsi="Arial Narrow"/>
                <w:sz w:val="20"/>
              </w:rPr>
            </w:pPr>
          </w:p>
        </w:tc>
        <w:tc>
          <w:tcPr>
            <w:tcW w:w="1984" w:type="dxa"/>
          </w:tcPr>
          <w:p w14:paraId="6EB37A7E"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66F1E8B"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FF3B48E"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73529</w:t>
            </w:r>
          </w:p>
        </w:tc>
        <w:tc>
          <w:tcPr>
            <w:tcW w:w="1134" w:type="dxa"/>
          </w:tcPr>
          <w:p w14:paraId="6362816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550A3F4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3684113A" w14:textId="77777777" w:rsidTr="00743919">
        <w:trPr>
          <w:trHeight w:val="302"/>
        </w:trPr>
        <w:tc>
          <w:tcPr>
            <w:tcW w:w="1555" w:type="dxa"/>
          </w:tcPr>
          <w:p w14:paraId="221513C8" w14:textId="77777777" w:rsidR="00743919" w:rsidRPr="00F333A1" w:rsidRDefault="00743919" w:rsidP="00743919">
            <w:pPr>
              <w:spacing w:before="0" w:after="0" w:line="240" w:lineRule="auto"/>
              <w:rPr>
                <w:rFonts w:ascii="Arial Narrow" w:hAnsi="Arial Narrow"/>
                <w:sz w:val="20"/>
              </w:rPr>
            </w:pPr>
          </w:p>
        </w:tc>
        <w:tc>
          <w:tcPr>
            <w:tcW w:w="1984" w:type="dxa"/>
          </w:tcPr>
          <w:p w14:paraId="1DA4A9C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P9 Simple Basic Tests</w:t>
            </w:r>
          </w:p>
        </w:tc>
        <w:tc>
          <w:tcPr>
            <w:tcW w:w="1843" w:type="dxa"/>
          </w:tcPr>
          <w:p w14:paraId="511169F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 xml:space="preserve"> </w:t>
            </w:r>
          </w:p>
        </w:tc>
        <w:tc>
          <w:tcPr>
            <w:tcW w:w="992" w:type="dxa"/>
          </w:tcPr>
          <w:p w14:paraId="241B178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73801</w:t>
            </w:r>
          </w:p>
        </w:tc>
        <w:tc>
          <w:tcPr>
            <w:tcW w:w="1134" w:type="dxa"/>
          </w:tcPr>
          <w:p w14:paraId="3E634880"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01E12CE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4E9EE9B" w14:textId="77777777" w:rsidTr="00743919">
        <w:trPr>
          <w:trHeight w:val="302"/>
        </w:trPr>
        <w:tc>
          <w:tcPr>
            <w:tcW w:w="1555" w:type="dxa"/>
          </w:tcPr>
          <w:p w14:paraId="0395B538" w14:textId="77777777" w:rsidR="00743919" w:rsidRPr="00F333A1" w:rsidRDefault="00743919" w:rsidP="00743919">
            <w:pPr>
              <w:spacing w:before="0" w:after="0" w:line="240" w:lineRule="auto"/>
              <w:rPr>
                <w:rFonts w:ascii="Arial Narrow" w:hAnsi="Arial Narrow"/>
                <w:sz w:val="20"/>
              </w:rPr>
            </w:pPr>
          </w:p>
        </w:tc>
        <w:tc>
          <w:tcPr>
            <w:tcW w:w="1984" w:type="dxa"/>
          </w:tcPr>
          <w:p w14:paraId="2155D2FA"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48B8C0C"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888904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73802</w:t>
            </w:r>
          </w:p>
        </w:tc>
        <w:tc>
          <w:tcPr>
            <w:tcW w:w="1134" w:type="dxa"/>
          </w:tcPr>
          <w:p w14:paraId="1A1417F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0FE8113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2F56AE47" w14:textId="77777777" w:rsidTr="00743919">
        <w:trPr>
          <w:trHeight w:val="302"/>
        </w:trPr>
        <w:tc>
          <w:tcPr>
            <w:tcW w:w="1555" w:type="dxa"/>
          </w:tcPr>
          <w:p w14:paraId="2D7398E9" w14:textId="77777777" w:rsidR="00743919" w:rsidRPr="00F333A1" w:rsidRDefault="00743919" w:rsidP="00743919">
            <w:pPr>
              <w:spacing w:before="0" w:after="0" w:line="240" w:lineRule="auto"/>
              <w:rPr>
                <w:rFonts w:ascii="Arial Narrow" w:hAnsi="Arial Narrow"/>
                <w:sz w:val="20"/>
              </w:rPr>
            </w:pPr>
          </w:p>
        </w:tc>
        <w:tc>
          <w:tcPr>
            <w:tcW w:w="1984" w:type="dxa"/>
          </w:tcPr>
          <w:p w14:paraId="46BDEC00"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F138F2B"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C68564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73805</w:t>
            </w:r>
          </w:p>
        </w:tc>
        <w:tc>
          <w:tcPr>
            <w:tcW w:w="1134" w:type="dxa"/>
          </w:tcPr>
          <w:p w14:paraId="39C31D7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0D4F1EA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4C635EAA" w14:textId="77777777" w:rsidTr="00743919">
        <w:trPr>
          <w:trHeight w:val="302"/>
        </w:trPr>
        <w:tc>
          <w:tcPr>
            <w:tcW w:w="1555" w:type="dxa"/>
          </w:tcPr>
          <w:p w14:paraId="2B689E94" w14:textId="77777777" w:rsidR="00743919" w:rsidRPr="00F333A1" w:rsidRDefault="00743919" w:rsidP="00743919">
            <w:pPr>
              <w:spacing w:before="0" w:after="0" w:line="240" w:lineRule="auto"/>
              <w:rPr>
                <w:rFonts w:ascii="Arial Narrow" w:hAnsi="Arial Narrow"/>
                <w:sz w:val="20"/>
              </w:rPr>
            </w:pPr>
          </w:p>
        </w:tc>
        <w:tc>
          <w:tcPr>
            <w:tcW w:w="1984" w:type="dxa"/>
          </w:tcPr>
          <w:p w14:paraId="679863D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5C3BF5CB"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35144C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73806</w:t>
            </w:r>
          </w:p>
        </w:tc>
        <w:tc>
          <w:tcPr>
            <w:tcW w:w="1134" w:type="dxa"/>
          </w:tcPr>
          <w:p w14:paraId="5FC8BD4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3311C94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90B6758" w14:textId="77777777" w:rsidTr="00743919">
        <w:trPr>
          <w:trHeight w:val="302"/>
        </w:trPr>
        <w:tc>
          <w:tcPr>
            <w:tcW w:w="1555" w:type="dxa"/>
          </w:tcPr>
          <w:p w14:paraId="1B33909A" w14:textId="77777777" w:rsidR="00743919" w:rsidRPr="00F333A1" w:rsidRDefault="00743919" w:rsidP="00743919">
            <w:pPr>
              <w:spacing w:before="0" w:after="0" w:line="240" w:lineRule="auto"/>
              <w:rPr>
                <w:rFonts w:ascii="Arial Narrow" w:hAnsi="Arial Narrow"/>
                <w:sz w:val="20"/>
              </w:rPr>
            </w:pPr>
          </w:p>
        </w:tc>
        <w:tc>
          <w:tcPr>
            <w:tcW w:w="1984" w:type="dxa"/>
          </w:tcPr>
          <w:p w14:paraId="243F2C8E"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69CF77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6ECD51D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73808</w:t>
            </w:r>
          </w:p>
        </w:tc>
        <w:tc>
          <w:tcPr>
            <w:tcW w:w="1134" w:type="dxa"/>
          </w:tcPr>
          <w:p w14:paraId="55C969E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2AF0201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3AE5747" w14:textId="77777777" w:rsidTr="00743919">
        <w:trPr>
          <w:trHeight w:val="302"/>
        </w:trPr>
        <w:tc>
          <w:tcPr>
            <w:tcW w:w="1555" w:type="dxa"/>
          </w:tcPr>
          <w:p w14:paraId="25889122" w14:textId="77777777" w:rsidR="00743919" w:rsidRPr="00F333A1" w:rsidRDefault="00743919" w:rsidP="00743919">
            <w:pPr>
              <w:spacing w:before="0" w:after="0" w:line="240" w:lineRule="auto"/>
              <w:rPr>
                <w:rFonts w:ascii="Arial Narrow" w:hAnsi="Arial Narrow"/>
                <w:sz w:val="20"/>
              </w:rPr>
            </w:pPr>
          </w:p>
        </w:tc>
        <w:tc>
          <w:tcPr>
            <w:tcW w:w="1984" w:type="dxa"/>
          </w:tcPr>
          <w:p w14:paraId="033489F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119E7113"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664A84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73811</w:t>
            </w:r>
          </w:p>
        </w:tc>
        <w:tc>
          <w:tcPr>
            <w:tcW w:w="1134" w:type="dxa"/>
          </w:tcPr>
          <w:p w14:paraId="5E990D2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309B5F9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B95ACCB" w14:textId="77777777" w:rsidTr="00743919">
        <w:trPr>
          <w:trHeight w:val="302"/>
        </w:trPr>
        <w:tc>
          <w:tcPr>
            <w:tcW w:w="1555" w:type="dxa"/>
          </w:tcPr>
          <w:p w14:paraId="62572691" w14:textId="77777777" w:rsidR="00743919" w:rsidRPr="00F333A1" w:rsidRDefault="00743919" w:rsidP="00743919">
            <w:pPr>
              <w:numPr>
                <w:ilvl w:val="0"/>
                <w:numId w:val="5"/>
              </w:numPr>
              <w:tabs>
                <w:tab w:val="clear" w:pos="340"/>
              </w:tabs>
              <w:spacing w:before="0" w:after="0" w:line="240" w:lineRule="auto"/>
              <w:rPr>
                <w:rFonts w:ascii="Arial Narrow" w:hAnsi="Arial Narrow"/>
                <w:sz w:val="20"/>
              </w:rPr>
            </w:pPr>
            <w:r w:rsidRPr="00F333A1">
              <w:rPr>
                <w:rFonts w:ascii="Arial Narrow" w:hAnsi="Arial Narrow"/>
                <w:sz w:val="20"/>
              </w:rPr>
              <w:t>8 Miscellaneous Services</w:t>
            </w:r>
          </w:p>
        </w:tc>
        <w:tc>
          <w:tcPr>
            <w:tcW w:w="1984" w:type="dxa"/>
          </w:tcPr>
          <w:p w14:paraId="446F787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M12 Services provided by a Practice Nurse/Registered Aboriginal Health Worker</w:t>
            </w:r>
          </w:p>
        </w:tc>
        <w:tc>
          <w:tcPr>
            <w:tcW w:w="1843" w:type="dxa"/>
          </w:tcPr>
          <w:p w14:paraId="036D6DB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3 Practice Nurse/Aboriginal Health Worker service</w:t>
            </w:r>
          </w:p>
        </w:tc>
        <w:tc>
          <w:tcPr>
            <w:tcW w:w="992" w:type="dxa"/>
          </w:tcPr>
          <w:p w14:paraId="18178C7B" w14:textId="77777777" w:rsidR="00743919" w:rsidRPr="00743919" w:rsidRDefault="00743919" w:rsidP="00743919">
            <w:pPr>
              <w:spacing w:before="0" w:after="0" w:line="240" w:lineRule="auto"/>
              <w:jc w:val="right"/>
              <w:rPr>
                <w:rFonts w:ascii="Arial Narrow" w:hAnsi="Arial Narrow"/>
                <w:color w:val="000000"/>
                <w:sz w:val="20"/>
              </w:rPr>
            </w:pPr>
            <w:r w:rsidRPr="00743919">
              <w:rPr>
                <w:rFonts w:ascii="Arial Narrow" w:hAnsi="Arial Narrow"/>
                <w:color w:val="000000"/>
                <w:sz w:val="20"/>
              </w:rPr>
              <w:t>10986</w:t>
            </w:r>
          </w:p>
        </w:tc>
        <w:tc>
          <w:tcPr>
            <w:tcW w:w="1134" w:type="dxa"/>
          </w:tcPr>
          <w:p w14:paraId="5A751396" w14:textId="77777777" w:rsidR="00743919" w:rsidRPr="00743919" w:rsidRDefault="00743919" w:rsidP="00743919">
            <w:pPr>
              <w:spacing w:before="0" w:after="0" w:line="240" w:lineRule="auto"/>
              <w:jc w:val="right"/>
              <w:rPr>
                <w:rFonts w:ascii="Arial Narrow" w:hAnsi="Arial Narrow"/>
                <w:color w:val="000000"/>
                <w:sz w:val="20"/>
              </w:rPr>
            </w:pPr>
            <w:r w:rsidRPr="00743919">
              <w:rPr>
                <w:rFonts w:ascii="Arial Narrow" w:hAnsi="Arial Narrow"/>
                <w:color w:val="000000"/>
                <w:sz w:val="20"/>
              </w:rPr>
              <w:t>0</w:t>
            </w:r>
          </w:p>
        </w:tc>
        <w:tc>
          <w:tcPr>
            <w:tcW w:w="1559" w:type="dxa"/>
          </w:tcPr>
          <w:p w14:paraId="587D579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B3836AB" w14:textId="77777777" w:rsidTr="00743919">
        <w:trPr>
          <w:trHeight w:val="302"/>
        </w:trPr>
        <w:tc>
          <w:tcPr>
            <w:tcW w:w="1555" w:type="dxa"/>
          </w:tcPr>
          <w:p w14:paraId="1812D465" w14:textId="77777777" w:rsidR="00743919" w:rsidRPr="00F333A1" w:rsidRDefault="00743919" w:rsidP="00743919">
            <w:pPr>
              <w:spacing w:before="0" w:after="0" w:line="240" w:lineRule="auto"/>
              <w:rPr>
                <w:rFonts w:ascii="Arial Narrow" w:hAnsi="Arial Narrow"/>
                <w:sz w:val="20"/>
              </w:rPr>
            </w:pPr>
          </w:p>
        </w:tc>
        <w:tc>
          <w:tcPr>
            <w:tcW w:w="1984" w:type="dxa"/>
          </w:tcPr>
          <w:p w14:paraId="256AE8B5"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116E1C35"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83CD66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10987</w:t>
            </w:r>
          </w:p>
        </w:tc>
        <w:tc>
          <w:tcPr>
            <w:tcW w:w="1134" w:type="dxa"/>
          </w:tcPr>
          <w:p w14:paraId="60FADDC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131AEE6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6FCD500" w14:textId="77777777" w:rsidTr="00743919">
        <w:trPr>
          <w:trHeight w:val="302"/>
        </w:trPr>
        <w:tc>
          <w:tcPr>
            <w:tcW w:w="1555" w:type="dxa"/>
          </w:tcPr>
          <w:p w14:paraId="0695E46A" w14:textId="77777777" w:rsidR="00743919" w:rsidRPr="00F333A1" w:rsidRDefault="00743919" w:rsidP="00743919">
            <w:pPr>
              <w:spacing w:before="0" w:after="0" w:line="240" w:lineRule="auto"/>
              <w:rPr>
                <w:rFonts w:ascii="Arial Narrow" w:hAnsi="Arial Narrow"/>
                <w:sz w:val="20"/>
              </w:rPr>
            </w:pPr>
          </w:p>
        </w:tc>
        <w:tc>
          <w:tcPr>
            <w:tcW w:w="1984" w:type="dxa"/>
          </w:tcPr>
          <w:p w14:paraId="3F686304"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2AB664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47E57E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10988</w:t>
            </w:r>
          </w:p>
        </w:tc>
        <w:tc>
          <w:tcPr>
            <w:tcW w:w="1134" w:type="dxa"/>
          </w:tcPr>
          <w:p w14:paraId="1DFF0AA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5C48FC1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262FD3F3" w14:textId="77777777" w:rsidTr="00743919">
        <w:trPr>
          <w:trHeight w:val="302"/>
        </w:trPr>
        <w:tc>
          <w:tcPr>
            <w:tcW w:w="1555" w:type="dxa"/>
          </w:tcPr>
          <w:p w14:paraId="5C84537D" w14:textId="77777777" w:rsidR="00743919" w:rsidRPr="00F333A1" w:rsidRDefault="00743919" w:rsidP="00743919">
            <w:pPr>
              <w:spacing w:before="0" w:after="0" w:line="240" w:lineRule="auto"/>
              <w:rPr>
                <w:rFonts w:ascii="Arial Narrow" w:hAnsi="Arial Narrow"/>
                <w:sz w:val="20"/>
              </w:rPr>
            </w:pPr>
          </w:p>
        </w:tc>
        <w:tc>
          <w:tcPr>
            <w:tcW w:w="1984" w:type="dxa"/>
          </w:tcPr>
          <w:p w14:paraId="5B83D13A"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6AFE90B5"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3026C8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10989</w:t>
            </w:r>
          </w:p>
        </w:tc>
        <w:tc>
          <w:tcPr>
            <w:tcW w:w="1134" w:type="dxa"/>
          </w:tcPr>
          <w:p w14:paraId="4F09A1B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0</w:t>
            </w:r>
          </w:p>
        </w:tc>
        <w:tc>
          <w:tcPr>
            <w:tcW w:w="1559" w:type="dxa"/>
          </w:tcPr>
          <w:p w14:paraId="3F8D2E2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1C738FF4" w14:textId="77777777" w:rsidTr="00743919">
        <w:trPr>
          <w:trHeight w:val="302"/>
        </w:trPr>
        <w:tc>
          <w:tcPr>
            <w:tcW w:w="1555" w:type="dxa"/>
          </w:tcPr>
          <w:p w14:paraId="13E2E5F3" w14:textId="77777777" w:rsidR="00743919" w:rsidRPr="00F333A1" w:rsidRDefault="00743919" w:rsidP="00743919">
            <w:pPr>
              <w:spacing w:before="0" w:after="0" w:line="240" w:lineRule="auto"/>
              <w:rPr>
                <w:rFonts w:ascii="Arial Narrow" w:hAnsi="Arial Narrow"/>
                <w:sz w:val="20"/>
              </w:rPr>
            </w:pPr>
          </w:p>
        </w:tc>
        <w:tc>
          <w:tcPr>
            <w:tcW w:w="1984" w:type="dxa"/>
          </w:tcPr>
          <w:p w14:paraId="029C587F"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2FBC2F9"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F73A53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10997</w:t>
            </w:r>
          </w:p>
        </w:tc>
        <w:tc>
          <w:tcPr>
            <w:tcW w:w="1134" w:type="dxa"/>
          </w:tcPr>
          <w:p w14:paraId="22955EB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Unspecified</w:t>
            </w:r>
          </w:p>
        </w:tc>
        <w:tc>
          <w:tcPr>
            <w:tcW w:w="1559" w:type="dxa"/>
          </w:tcPr>
          <w:p w14:paraId="5760178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029F3D9" w14:textId="77777777" w:rsidTr="00743919">
        <w:trPr>
          <w:trHeight w:val="302"/>
        </w:trPr>
        <w:tc>
          <w:tcPr>
            <w:tcW w:w="1555" w:type="dxa"/>
          </w:tcPr>
          <w:p w14:paraId="18664B6D" w14:textId="77777777" w:rsidR="00743919" w:rsidRPr="00F333A1" w:rsidRDefault="00743919" w:rsidP="00743919">
            <w:pPr>
              <w:numPr>
                <w:ilvl w:val="0"/>
                <w:numId w:val="5"/>
              </w:numPr>
              <w:tabs>
                <w:tab w:val="clear" w:pos="340"/>
              </w:tabs>
              <w:spacing w:before="0" w:after="0" w:line="240" w:lineRule="auto"/>
              <w:rPr>
                <w:rFonts w:ascii="Arial Narrow" w:hAnsi="Arial Narrow"/>
                <w:sz w:val="20"/>
              </w:rPr>
            </w:pPr>
            <w:r w:rsidRPr="00F333A1">
              <w:rPr>
                <w:rFonts w:ascii="Arial Narrow" w:hAnsi="Arial Narrow"/>
                <w:sz w:val="20"/>
              </w:rPr>
              <w:t>#N/A</w:t>
            </w:r>
          </w:p>
        </w:tc>
        <w:tc>
          <w:tcPr>
            <w:tcW w:w="1984" w:type="dxa"/>
          </w:tcPr>
          <w:p w14:paraId="2768488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843" w:type="dxa"/>
          </w:tcPr>
          <w:p w14:paraId="66B311C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992" w:type="dxa"/>
          </w:tcPr>
          <w:p w14:paraId="7EBEA622" w14:textId="77777777" w:rsidR="00743919" w:rsidRPr="00743919" w:rsidRDefault="00743919" w:rsidP="00743919">
            <w:pPr>
              <w:spacing w:before="0" w:after="0" w:line="240" w:lineRule="auto"/>
              <w:jc w:val="right"/>
              <w:rPr>
                <w:rFonts w:ascii="Arial Narrow" w:hAnsi="Arial Narrow"/>
                <w:color w:val="000000"/>
                <w:sz w:val="20"/>
              </w:rPr>
            </w:pPr>
            <w:r w:rsidRPr="00743919">
              <w:rPr>
                <w:rFonts w:ascii="Arial Narrow" w:hAnsi="Arial Narrow"/>
                <w:color w:val="000000"/>
                <w:sz w:val="20"/>
              </w:rPr>
              <w:t>1</w:t>
            </w:r>
          </w:p>
        </w:tc>
        <w:tc>
          <w:tcPr>
            <w:tcW w:w="1134" w:type="dxa"/>
          </w:tcPr>
          <w:p w14:paraId="72F85D2F"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3D1BD79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4929DEEB" w14:textId="77777777" w:rsidTr="00743919">
        <w:trPr>
          <w:trHeight w:val="302"/>
        </w:trPr>
        <w:tc>
          <w:tcPr>
            <w:tcW w:w="1555" w:type="dxa"/>
          </w:tcPr>
          <w:p w14:paraId="147CB6AF" w14:textId="77777777" w:rsidR="00743919" w:rsidRPr="00F333A1" w:rsidRDefault="00743919" w:rsidP="00743919">
            <w:pPr>
              <w:spacing w:before="0" w:after="0" w:line="240" w:lineRule="auto"/>
              <w:rPr>
                <w:rFonts w:ascii="Arial Narrow" w:hAnsi="Arial Narrow"/>
                <w:sz w:val="20"/>
              </w:rPr>
            </w:pPr>
          </w:p>
        </w:tc>
        <w:tc>
          <w:tcPr>
            <w:tcW w:w="1984" w:type="dxa"/>
          </w:tcPr>
          <w:p w14:paraId="0F790BF4"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31CC41D8"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406C9C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87</w:t>
            </w:r>
          </w:p>
        </w:tc>
        <w:tc>
          <w:tcPr>
            <w:tcW w:w="1134" w:type="dxa"/>
          </w:tcPr>
          <w:p w14:paraId="13775D4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542A7B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AF21A2B" w14:textId="77777777" w:rsidTr="00743919">
        <w:trPr>
          <w:trHeight w:val="302"/>
        </w:trPr>
        <w:tc>
          <w:tcPr>
            <w:tcW w:w="1555" w:type="dxa"/>
          </w:tcPr>
          <w:p w14:paraId="6659AE5E" w14:textId="77777777" w:rsidR="00743919" w:rsidRPr="00F333A1" w:rsidRDefault="00743919" w:rsidP="00743919">
            <w:pPr>
              <w:spacing w:before="0" w:after="0" w:line="240" w:lineRule="auto"/>
              <w:rPr>
                <w:rFonts w:ascii="Arial Narrow" w:hAnsi="Arial Narrow"/>
                <w:sz w:val="20"/>
              </w:rPr>
            </w:pPr>
          </w:p>
        </w:tc>
        <w:tc>
          <w:tcPr>
            <w:tcW w:w="1984" w:type="dxa"/>
          </w:tcPr>
          <w:p w14:paraId="1983338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595D752C"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716507B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89</w:t>
            </w:r>
          </w:p>
        </w:tc>
        <w:tc>
          <w:tcPr>
            <w:tcW w:w="1134" w:type="dxa"/>
          </w:tcPr>
          <w:p w14:paraId="4BE6563E"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5E87631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43950F66" w14:textId="77777777" w:rsidTr="00743919">
        <w:trPr>
          <w:trHeight w:val="302"/>
        </w:trPr>
        <w:tc>
          <w:tcPr>
            <w:tcW w:w="1555" w:type="dxa"/>
          </w:tcPr>
          <w:p w14:paraId="04E293CE" w14:textId="77777777" w:rsidR="00743919" w:rsidRPr="00F333A1" w:rsidRDefault="00743919" w:rsidP="00743919">
            <w:pPr>
              <w:spacing w:before="0" w:after="0" w:line="240" w:lineRule="auto"/>
              <w:rPr>
                <w:rFonts w:ascii="Arial Narrow" w:hAnsi="Arial Narrow"/>
                <w:sz w:val="20"/>
              </w:rPr>
            </w:pPr>
          </w:p>
        </w:tc>
        <w:tc>
          <w:tcPr>
            <w:tcW w:w="1984" w:type="dxa"/>
          </w:tcPr>
          <w:p w14:paraId="034CF173"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39D7715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922EE2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90</w:t>
            </w:r>
          </w:p>
        </w:tc>
        <w:tc>
          <w:tcPr>
            <w:tcW w:w="1134" w:type="dxa"/>
          </w:tcPr>
          <w:p w14:paraId="6C17CBDF"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7F52B90"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92DEE73" w14:textId="77777777" w:rsidTr="00743919">
        <w:trPr>
          <w:trHeight w:val="302"/>
        </w:trPr>
        <w:tc>
          <w:tcPr>
            <w:tcW w:w="1555" w:type="dxa"/>
          </w:tcPr>
          <w:p w14:paraId="487C9EF6" w14:textId="77777777" w:rsidR="00743919" w:rsidRPr="00F333A1" w:rsidRDefault="00743919" w:rsidP="00743919">
            <w:pPr>
              <w:spacing w:before="0" w:after="0" w:line="240" w:lineRule="auto"/>
              <w:rPr>
                <w:rFonts w:ascii="Arial Narrow" w:hAnsi="Arial Narrow"/>
                <w:sz w:val="20"/>
              </w:rPr>
            </w:pPr>
          </w:p>
        </w:tc>
        <w:tc>
          <w:tcPr>
            <w:tcW w:w="1984" w:type="dxa"/>
          </w:tcPr>
          <w:p w14:paraId="6FEB1436"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8735B72"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6C87F9C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91</w:t>
            </w:r>
          </w:p>
        </w:tc>
        <w:tc>
          <w:tcPr>
            <w:tcW w:w="1134" w:type="dxa"/>
          </w:tcPr>
          <w:p w14:paraId="37855D0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124F599F"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650B35B9" w14:textId="77777777" w:rsidTr="00743919">
        <w:trPr>
          <w:trHeight w:val="302"/>
        </w:trPr>
        <w:tc>
          <w:tcPr>
            <w:tcW w:w="1555" w:type="dxa"/>
          </w:tcPr>
          <w:p w14:paraId="42216268" w14:textId="77777777" w:rsidR="00743919" w:rsidRPr="00F333A1" w:rsidRDefault="00743919" w:rsidP="00743919">
            <w:pPr>
              <w:spacing w:before="0" w:after="0" w:line="240" w:lineRule="auto"/>
              <w:rPr>
                <w:rFonts w:ascii="Arial Narrow" w:hAnsi="Arial Narrow"/>
                <w:sz w:val="20"/>
              </w:rPr>
            </w:pPr>
          </w:p>
        </w:tc>
        <w:tc>
          <w:tcPr>
            <w:tcW w:w="1984" w:type="dxa"/>
          </w:tcPr>
          <w:p w14:paraId="15C90534"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5BD9521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3B2E162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97</w:t>
            </w:r>
          </w:p>
        </w:tc>
        <w:tc>
          <w:tcPr>
            <w:tcW w:w="1134" w:type="dxa"/>
          </w:tcPr>
          <w:p w14:paraId="721527B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30A27FB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AF98C9A" w14:textId="77777777" w:rsidTr="00743919">
        <w:trPr>
          <w:trHeight w:val="302"/>
        </w:trPr>
        <w:tc>
          <w:tcPr>
            <w:tcW w:w="1555" w:type="dxa"/>
          </w:tcPr>
          <w:p w14:paraId="7A18DFA8" w14:textId="77777777" w:rsidR="00743919" w:rsidRPr="00F333A1" w:rsidRDefault="00743919" w:rsidP="00743919">
            <w:pPr>
              <w:spacing w:before="0" w:after="0" w:line="240" w:lineRule="auto"/>
              <w:rPr>
                <w:rFonts w:ascii="Arial Narrow" w:hAnsi="Arial Narrow"/>
                <w:sz w:val="20"/>
              </w:rPr>
            </w:pPr>
          </w:p>
        </w:tc>
        <w:tc>
          <w:tcPr>
            <w:tcW w:w="1984" w:type="dxa"/>
          </w:tcPr>
          <w:p w14:paraId="27492DF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3D76036D"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736E2F2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697</w:t>
            </w:r>
          </w:p>
        </w:tc>
        <w:tc>
          <w:tcPr>
            <w:tcW w:w="1134" w:type="dxa"/>
          </w:tcPr>
          <w:p w14:paraId="6513109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276FE6E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3D3643AA" w14:textId="77777777" w:rsidTr="00743919">
        <w:trPr>
          <w:trHeight w:val="302"/>
        </w:trPr>
        <w:tc>
          <w:tcPr>
            <w:tcW w:w="1555" w:type="dxa"/>
          </w:tcPr>
          <w:p w14:paraId="2293A645" w14:textId="77777777" w:rsidR="00743919" w:rsidRPr="00F333A1" w:rsidRDefault="00743919" w:rsidP="00743919">
            <w:pPr>
              <w:spacing w:before="0" w:after="0" w:line="240" w:lineRule="auto"/>
              <w:rPr>
                <w:rFonts w:ascii="Arial Narrow" w:hAnsi="Arial Narrow"/>
                <w:sz w:val="20"/>
              </w:rPr>
            </w:pPr>
          </w:p>
        </w:tc>
        <w:tc>
          <w:tcPr>
            <w:tcW w:w="1984" w:type="dxa"/>
          </w:tcPr>
          <w:p w14:paraId="155E72FF"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636E5084"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A13B46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700</w:t>
            </w:r>
          </w:p>
        </w:tc>
        <w:tc>
          <w:tcPr>
            <w:tcW w:w="1134" w:type="dxa"/>
          </w:tcPr>
          <w:p w14:paraId="00FD25E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0AA37E70"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2C62991" w14:textId="77777777" w:rsidTr="00743919">
        <w:trPr>
          <w:trHeight w:val="302"/>
        </w:trPr>
        <w:tc>
          <w:tcPr>
            <w:tcW w:w="1555" w:type="dxa"/>
          </w:tcPr>
          <w:p w14:paraId="65CE9FD8" w14:textId="77777777" w:rsidR="00743919" w:rsidRPr="00F333A1" w:rsidRDefault="00743919" w:rsidP="00743919">
            <w:pPr>
              <w:spacing w:before="0" w:after="0" w:line="240" w:lineRule="auto"/>
              <w:rPr>
                <w:rFonts w:ascii="Arial Narrow" w:hAnsi="Arial Narrow"/>
                <w:sz w:val="20"/>
              </w:rPr>
            </w:pPr>
          </w:p>
        </w:tc>
        <w:tc>
          <w:tcPr>
            <w:tcW w:w="1984" w:type="dxa"/>
          </w:tcPr>
          <w:p w14:paraId="42D703C6"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DB8A8C2"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02EEE8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702</w:t>
            </w:r>
          </w:p>
        </w:tc>
        <w:tc>
          <w:tcPr>
            <w:tcW w:w="1134" w:type="dxa"/>
          </w:tcPr>
          <w:p w14:paraId="6382430E"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175353E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F412365" w14:textId="77777777" w:rsidTr="00743919">
        <w:trPr>
          <w:trHeight w:val="302"/>
        </w:trPr>
        <w:tc>
          <w:tcPr>
            <w:tcW w:w="1555" w:type="dxa"/>
          </w:tcPr>
          <w:p w14:paraId="3735946A" w14:textId="77777777" w:rsidR="00743919" w:rsidRPr="00F333A1" w:rsidRDefault="00743919" w:rsidP="00743919">
            <w:pPr>
              <w:spacing w:before="0" w:after="0" w:line="240" w:lineRule="auto"/>
              <w:rPr>
                <w:rFonts w:ascii="Arial Narrow" w:hAnsi="Arial Narrow"/>
                <w:sz w:val="20"/>
              </w:rPr>
            </w:pPr>
          </w:p>
        </w:tc>
        <w:tc>
          <w:tcPr>
            <w:tcW w:w="1984" w:type="dxa"/>
          </w:tcPr>
          <w:p w14:paraId="1D8B8059"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0BC7A802"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58507C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710</w:t>
            </w:r>
          </w:p>
        </w:tc>
        <w:tc>
          <w:tcPr>
            <w:tcW w:w="1134" w:type="dxa"/>
          </w:tcPr>
          <w:p w14:paraId="5B87455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F7BE65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1A645405" w14:textId="77777777" w:rsidTr="00743919">
        <w:trPr>
          <w:trHeight w:val="302"/>
        </w:trPr>
        <w:tc>
          <w:tcPr>
            <w:tcW w:w="1555" w:type="dxa"/>
          </w:tcPr>
          <w:p w14:paraId="00F7E117" w14:textId="77777777" w:rsidR="00743919" w:rsidRPr="00F333A1" w:rsidRDefault="00743919" w:rsidP="00743919">
            <w:pPr>
              <w:spacing w:before="0" w:after="0" w:line="240" w:lineRule="auto"/>
              <w:rPr>
                <w:rFonts w:ascii="Arial Narrow" w:hAnsi="Arial Narrow"/>
                <w:sz w:val="20"/>
              </w:rPr>
            </w:pPr>
          </w:p>
        </w:tc>
        <w:tc>
          <w:tcPr>
            <w:tcW w:w="1984" w:type="dxa"/>
          </w:tcPr>
          <w:p w14:paraId="4082EB86"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992480C"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7BE2EDE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711</w:t>
            </w:r>
          </w:p>
        </w:tc>
        <w:tc>
          <w:tcPr>
            <w:tcW w:w="1134" w:type="dxa"/>
          </w:tcPr>
          <w:p w14:paraId="4BCD35A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1A8FD17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F98D719" w14:textId="77777777" w:rsidTr="00743919">
        <w:trPr>
          <w:trHeight w:val="302"/>
        </w:trPr>
        <w:tc>
          <w:tcPr>
            <w:tcW w:w="1555" w:type="dxa"/>
          </w:tcPr>
          <w:p w14:paraId="15F812B8" w14:textId="77777777" w:rsidR="00743919" w:rsidRPr="00F333A1" w:rsidRDefault="00743919" w:rsidP="00743919">
            <w:pPr>
              <w:spacing w:before="0" w:after="0" w:line="240" w:lineRule="auto"/>
              <w:rPr>
                <w:rFonts w:ascii="Arial Narrow" w:hAnsi="Arial Narrow"/>
                <w:sz w:val="20"/>
              </w:rPr>
            </w:pPr>
          </w:p>
        </w:tc>
        <w:tc>
          <w:tcPr>
            <w:tcW w:w="1984" w:type="dxa"/>
          </w:tcPr>
          <w:p w14:paraId="68F2DA95"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7B879BE"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B23524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713</w:t>
            </w:r>
          </w:p>
        </w:tc>
        <w:tc>
          <w:tcPr>
            <w:tcW w:w="1134" w:type="dxa"/>
          </w:tcPr>
          <w:p w14:paraId="651848F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FB4A13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1DE6E266" w14:textId="77777777" w:rsidTr="00743919">
        <w:trPr>
          <w:trHeight w:val="302"/>
        </w:trPr>
        <w:tc>
          <w:tcPr>
            <w:tcW w:w="1555" w:type="dxa"/>
          </w:tcPr>
          <w:p w14:paraId="2580D57E" w14:textId="77777777" w:rsidR="00743919" w:rsidRPr="00F333A1" w:rsidRDefault="00743919" w:rsidP="00743919">
            <w:pPr>
              <w:spacing w:before="0" w:after="0" w:line="240" w:lineRule="auto"/>
              <w:rPr>
                <w:rFonts w:ascii="Arial Narrow" w:hAnsi="Arial Narrow"/>
                <w:sz w:val="20"/>
              </w:rPr>
            </w:pPr>
          </w:p>
        </w:tc>
        <w:tc>
          <w:tcPr>
            <w:tcW w:w="1984" w:type="dxa"/>
          </w:tcPr>
          <w:p w14:paraId="5A8AFC8B"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1073C1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D97E3F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717</w:t>
            </w:r>
          </w:p>
        </w:tc>
        <w:tc>
          <w:tcPr>
            <w:tcW w:w="1134" w:type="dxa"/>
          </w:tcPr>
          <w:p w14:paraId="37105BE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09A1C3F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637625DB" w14:textId="77777777" w:rsidTr="00743919">
        <w:trPr>
          <w:trHeight w:val="302"/>
        </w:trPr>
        <w:tc>
          <w:tcPr>
            <w:tcW w:w="1555" w:type="dxa"/>
          </w:tcPr>
          <w:p w14:paraId="3D882178" w14:textId="77777777" w:rsidR="00743919" w:rsidRPr="00F333A1" w:rsidRDefault="00743919" w:rsidP="00743919">
            <w:pPr>
              <w:spacing w:before="0" w:after="0" w:line="240" w:lineRule="auto"/>
              <w:rPr>
                <w:rFonts w:ascii="Arial Narrow" w:hAnsi="Arial Narrow"/>
                <w:sz w:val="20"/>
              </w:rPr>
            </w:pPr>
          </w:p>
        </w:tc>
        <w:tc>
          <w:tcPr>
            <w:tcW w:w="1984" w:type="dxa"/>
          </w:tcPr>
          <w:p w14:paraId="2A78DE33"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9F109B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F0DA9D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718</w:t>
            </w:r>
          </w:p>
        </w:tc>
        <w:tc>
          <w:tcPr>
            <w:tcW w:w="1134" w:type="dxa"/>
          </w:tcPr>
          <w:p w14:paraId="3A3A3FC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7AC98FE"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3B7B2F0" w14:textId="77777777" w:rsidTr="00743919">
        <w:trPr>
          <w:trHeight w:val="302"/>
        </w:trPr>
        <w:tc>
          <w:tcPr>
            <w:tcW w:w="1555" w:type="dxa"/>
          </w:tcPr>
          <w:p w14:paraId="46973DBE" w14:textId="77777777" w:rsidR="00743919" w:rsidRPr="00F333A1" w:rsidRDefault="00743919" w:rsidP="00743919">
            <w:pPr>
              <w:spacing w:before="0" w:after="0" w:line="240" w:lineRule="auto"/>
              <w:rPr>
                <w:rFonts w:ascii="Arial Narrow" w:hAnsi="Arial Narrow"/>
                <w:sz w:val="20"/>
              </w:rPr>
            </w:pPr>
          </w:p>
        </w:tc>
        <w:tc>
          <w:tcPr>
            <w:tcW w:w="1984" w:type="dxa"/>
          </w:tcPr>
          <w:p w14:paraId="33286D2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30F1384E"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3109E3D3"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725</w:t>
            </w:r>
          </w:p>
        </w:tc>
        <w:tc>
          <w:tcPr>
            <w:tcW w:w="1134" w:type="dxa"/>
          </w:tcPr>
          <w:p w14:paraId="6375E72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3D3274C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C104037" w14:textId="77777777" w:rsidTr="00743919">
        <w:trPr>
          <w:trHeight w:val="302"/>
        </w:trPr>
        <w:tc>
          <w:tcPr>
            <w:tcW w:w="1555" w:type="dxa"/>
          </w:tcPr>
          <w:p w14:paraId="4958928E" w14:textId="77777777" w:rsidR="00743919" w:rsidRPr="00F333A1" w:rsidRDefault="00743919" w:rsidP="00743919">
            <w:pPr>
              <w:spacing w:before="0" w:after="0" w:line="240" w:lineRule="auto"/>
              <w:rPr>
                <w:rFonts w:ascii="Arial Narrow" w:hAnsi="Arial Narrow"/>
                <w:sz w:val="20"/>
              </w:rPr>
            </w:pPr>
          </w:p>
        </w:tc>
        <w:tc>
          <w:tcPr>
            <w:tcW w:w="1984" w:type="dxa"/>
          </w:tcPr>
          <w:p w14:paraId="65FB249B"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6EB83209"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2B647A68"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727</w:t>
            </w:r>
          </w:p>
        </w:tc>
        <w:tc>
          <w:tcPr>
            <w:tcW w:w="1134" w:type="dxa"/>
          </w:tcPr>
          <w:p w14:paraId="48B8BA6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71D4CED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C0859D4" w14:textId="77777777" w:rsidTr="00743919">
        <w:trPr>
          <w:trHeight w:val="302"/>
        </w:trPr>
        <w:tc>
          <w:tcPr>
            <w:tcW w:w="1555" w:type="dxa"/>
          </w:tcPr>
          <w:p w14:paraId="667C2850" w14:textId="77777777" w:rsidR="00743919" w:rsidRPr="00F333A1" w:rsidRDefault="00743919" w:rsidP="00743919">
            <w:pPr>
              <w:spacing w:before="0" w:after="0" w:line="240" w:lineRule="auto"/>
              <w:rPr>
                <w:rFonts w:ascii="Arial Narrow" w:hAnsi="Arial Narrow"/>
                <w:sz w:val="20"/>
              </w:rPr>
            </w:pPr>
          </w:p>
        </w:tc>
        <w:tc>
          <w:tcPr>
            <w:tcW w:w="1984" w:type="dxa"/>
          </w:tcPr>
          <w:p w14:paraId="442376F4"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1F974C14"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A4E622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740</w:t>
            </w:r>
          </w:p>
        </w:tc>
        <w:tc>
          <w:tcPr>
            <w:tcW w:w="1134" w:type="dxa"/>
          </w:tcPr>
          <w:p w14:paraId="7C181F3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4471C7B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2742FD5C" w14:textId="77777777" w:rsidTr="00743919">
        <w:trPr>
          <w:trHeight w:val="302"/>
        </w:trPr>
        <w:tc>
          <w:tcPr>
            <w:tcW w:w="1555" w:type="dxa"/>
          </w:tcPr>
          <w:p w14:paraId="476AEE62" w14:textId="77777777" w:rsidR="00743919" w:rsidRPr="00F333A1" w:rsidRDefault="00743919" w:rsidP="00743919">
            <w:pPr>
              <w:spacing w:before="0" w:after="0" w:line="240" w:lineRule="auto"/>
              <w:rPr>
                <w:rFonts w:ascii="Arial Narrow" w:hAnsi="Arial Narrow"/>
                <w:sz w:val="20"/>
              </w:rPr>
            </w:pPr>
          </w:p>
        </w:tc>
        <w:tc>
          <w:tcPr>
            <w:tcW w:w="1984" w:type="dxa"/>
          </w:tcPr>
          <w:p w14:paraId="6C4813AB"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42780CF"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A85381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742</w:t>
            </w:r>
          </w:p>
        </w:tc>
        <w:tc>
          <w:tcPr>
            <w:tcW w:w="1134" w:type="dxa"/>
          </w:tcPr>
          <w:p w14:paraId="03C5178F"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3B25769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3BC3B2D7" w14:textId="77777777" w:rsidTr="00743919">
        <w:trPr>
          <w:trHeight w:val="302"/>
        </w:trPr>
        <w:tc>
          <w:tcPr>
            <w:tcW w:w="1555" w:type="dxa"/>
          </w:tcPr>
          <w:p w14:paraId="4FFE73FC" w14:textId="77777777" w:rsidR="00743919" w:rsidRPr="00F333A1" w:rsidRDefault="00743919" w:rsidP="00743919">
            <w:pPr>
              <w:spacing w:before="0" w:after="0" w:line="240" w:lineRule="auto"/>
              <w:rPr>
                <w:rFonts w:ascii="Arial Narrow" w:hAnsi="Arial Narrow"/>
                <w:sz w:val="20"/>
              </w:rPr>
            </w:pPr>
          </w:p>
        </w:tc>
        <w:tc>
          <w:tcPr>
            <w:tcW w:w="1984" w:type="dxa"/>
          </w:tcPr>
          <w:p w14:paraId="6FB461E9"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61D1FE7"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565DCF4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744</w:t>
            </w:r>
          </w:p>
        </w:tc>
        <w:tc>
          <w:tcPr>
            <w:tcW w:w="1134" w:type="dxa"/>
          </w:tcPr>
          <w:p w14:paraId="67E612C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006B9F1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307A1740" w14:textId="77777777" w:rsidTr="00743919">
        <w:trPr>
          <w:trHeight w:val="302"/>
        </w:trPr>
        <w:tc>
          <w:tcPr>
            <w:tcW w:w="1555" w:type="dxa"/>
          </w:tcPr>
          <w:p w14:paraId="5DB0A863" w14:textId="77777777" w:rsidR="00743919" w:rsidRPr="00F333A1" w:rsidRDefault="00743919" w:rsidP="00743919">
            <w:pPr>
              <w:spacing w:before="0" w:after="0" w:line="240" w:lineRule="auto"/>
              <w:rPr>
                <w:rFonts w:ascii="Arial Narrow" w:hAnsi="Arial Narrow"/>
                <w:sz w:val="20"/>
              </w:rPr>
            </w:pPr>
          </w:p>
        </w:tc>
        <w:tc>
          <w:tcPr>
            <w:tcW w:w="1984" w:type="dxa"/>
          </w:tcPr>
          <w:p w14:paraId="5D38D1CD"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67D59EA1"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9337BAE"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2702</w:t>
            </w:r>
          </w:p>
        </w:tc>
        <w:tc>
          <w:tcPr>
            <w:tcW w:w="1134" w:type="dxa"/>
          </w:tcPr>
          <w:p w14:paraId="171C78F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3A5A2CE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093B709C" w14:textId="77777777" w:rsidTr="00743919">
        <w:trPr>
          <w:trHeight w:val="302"/>
        </w:trPr>
        <w:tc>
          <w:tcPr>
            <w:tcW w:w="1555" w:type="dxa"/>
          </w:tcPr>
          <w:p w14:paraId="56DAD0F5" w14:textId="77777777" w:rsidR="00743919" w:rsidRPr="00F333A1" w:rsidRDefault="00743919" w:rsidP="00743919">
            <w:pPr>
              <w:spacing w:before="0" w:after="0" w:line="240" w:lineRule="auto"/>
              <w:rPr>
                <w:rFonts w:ascii="Arial Narrow" w:hAnsi="Arial Narrow"/>
                <w:sz w:val="20"/>
              </w:rPr>
            </w:pPr>
          </w:p>
        </w:tc>
        <w:tc>
          <w:tcPr>
            <w:tcW w:w="1984" w:type="dxa"/>
          </w:tcPr>
          <w:p w14:paraId="238F37A0"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855A8D3"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93A8D3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2710</w:t>
            </w:r>
          </w:p>
        </w:tc>
        <w:tc>
          <w:tcPr>
            <w:tcW w:w="1134" w:type="dxa"/>
          </w:tcPr>
          <w:p w14:paraId="7648DD7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464C73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6D92607B" w14:textId="77777777" w:rsidTr="00743919">
        <w:trPr>
          <w:trHeight w:val="302"/>
        </w:trPr>
        <w:tc>
          <w:tcPr>
            <w:tcW w:w="1555" w:type="dxa"/>
          </w:tcPr>
          <w:p w14:paraId="485BCC2A" w14:textId="77777777" w:rsidR="00743919" w:rsidRPr="00F333A1" w:rsidRDefault="00743919" w:rsidP="00743919">
            <w:pPr>
              <w:spacing w:before="0" w:after="0" w:line="240" w:lineRule="auto"/>
              <w:rPr>
                <w:rFonts w:ascii="Arial Narrow" w:hAnsi="Arial Narrow"/>
                <w:sz w:val="20"/>
              </w:rPr>
            </w:pPr>
          </w:p>
        </w:tc>
        <w:tc>
          <w:tcPr>
            <w:tcW w:w="1984" w:type="dxa"/>
          </w:tcPr>
          <w:p w14:paraId="04B449A5"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1379DF04"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56D460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10993</w:t>
            </w:r>
          </w:p>
        </w:tc>
        <w:tc>
          <w:tcPr>
            <w:tcW w:w="1134" w:type="dxa"/>
          </w:tcPr>
          <w:p w14:paraId="0C24C03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78EE6B2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30DAC571" w14:textId="77777777" w:rsidTr="00743919">
        <w:trPr>
          <w:trHeight w:val="302"/>
        </w:trPr>
        <w:tc>
          <w:tcPr>
            <w:tcW w:w="1555" w:type="dxa"/>
          </w:tcPr>
          <w:p w14:paraId="238C454C" w14:textId="77777777" w:rsidR="00743919" w:rsidRPr="00F333A1" w:rsidRDefault="00743919" w:rsidP="00743919">
            <w:pPr>
              <w:spacing w:before="0" w:after="0" w:line="240" w:lineRule="auto"/>
              <w:rPr>
                <w:rFonts w:ascii="Arial Narrow" w:hAnsi="Arial Narrow"/>
                <w:sz w:val="20"/>
              </w:rPr>
            </w:pPr>
          </w:p>
        </w:tc>
        <w:tc>
          <w:tcPr>
            <w:tcW w:w="1984" w:type="dxa"/>
          </w:tcPr>
          <w:p w14:paraId="574B3CC4"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7C6701F7"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16C36DF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10994</w:t>
            </w:r>
          </w:p>
        </w:tc>
        <w:tc>
          <w:tcPr>
            <w:tcW w:w="1134" w:type="dxa"/>
          </w:tcPr>
          <w:p w14:paraId="625EAC1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4FBF45F"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7733568" w14:textId="77777777" w:rsidTr="00743919">
        <w:trPr>
          <w:trHeight w:val="302"/>
        </w:trPr>
        <w:tc>
          <w:tcPr>
            <w:tcW w:w="1555" w:type="dxa"/>
          </w:tcPr>
          <w:p w14:paraId="53D54D3A" w14:textId="77777777" w:rsidR="00743919" w:rsidRPr="00F333A1" w:rsidRDefault="00743919" w:rsidP="00743919">
            <w:pPr>
              <w:spacing w:before="0" w:after="0" w:line="240" w:lineRule="auto"/>
              <w:rPr>
                <w:rFonts w:ascii="Arial Narrow" w:hAnsi="Arial Narrow"/>
                <w:sz w:val="20"/>
              </w:rPr>
            </w:pPr>
          </w:p>
        </w:tc>
        <w:tc>
          <w:tcPr>
            <w:tcW w:w="1984" w:type="dxa"/>
          </w:tcPr>
          <w:p w14:paraId="3900875B"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64558D5E"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11D2AC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10995</w:t>
            </w:r>
          </w:p>
        </w:tc>
        <w:tc>
          <w:tcPr>
            <w:tcW w:w="1134" w:type="dxa"/>
          </w:tcPr>
          <w:p w14:paraId="16FF407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595971E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2E1798B2" w14:textId="77777777" w:rsidTr="00743919">
        <w:trPr>
          <w:trHeight w:val="302"/>
        </w:trPr>
        <w:tc>
          <w:tcPr>
            <w:tcW w:w="1555" w:type="dxa"/>
          </w:tcPr>
          <w:p w14:paraId="79D4C11A" w14:textId="77777777" w:rsidR="00743919" w:rsidRPr="00F333A1" w:rsidRDefault="00743919" w:rsidP="00743919">
            <w:pPr>
              <w:spacing w:before="0" w:after="0" w:line="240" w:lineRule="auto"/>
              <w:rPr>
                <w:rFonts w:ascii="Arial Narrow" w:hAnsi="Arial Narrow"/>
                <w:sz w:val="20"/>
              </w:rPr>
            </w:pPr>
          </w:p>
        </w:tc>
        <w:tc>
          <w:tcPr>
            <w:tcW w:w="1984" w:type="dxa"/>
          </w:tcPr>
          <w:p w14:paraId="7200F8FB"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A5C9CD0"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3DF8932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10996</w:t>
            </w:r>
          </w:p>
        </w:tc>
        <w:tc>
          <w:tcPr>
            <w:tcW w:w="1134" w:type="dxa"/>
          </w:tcPr>
          <w:p w14:paraId="04314257"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70CAC5E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12B3C8B" w14:textId="77777777" w:rsidTr="00743919">
        <w:trPr>
          <w:trHeight w:val="302"/>
        </w:trPr>
        <w:tc>
          <w:tcPr>
            <w:tcW w:w="1555" w:type="dxa"/>
          </w:tcPr>
          <w:p w14:paraId="5A49B3B6" w14:textId="77777777" w:rsidR="00743919" w:rsidRPr="00F333A1" w:rsidRDefault="00743919" w:rsidP="00743919">
            <w:pPr>
              <w:spacing w:before="0" w:after="0" w:line="240" w:lineRule="auto"/>
              <w:rPr>
                <w:rFonts w:ascii="Arial Narrow" w:hAnsi="Arial Narrow"/>
                <w:sz w:val="20"/>
              </w:rPr>
            </w:pPr>
          </w:p>
        </w:tc>
        <w:tc>
          <w:tcPr>
            <w:tcW w:w="1984" w:type="dxa"/>
          </w:tcPr>
          <w:p w14:paraId="58803F28"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B03CCE7"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6BD89EE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10998</w:t>
            </w:r>
          </w:p>
        </w:tc>
        <w:tc>
          <w:tcPr>
            <w:tcW w:w="1134" w:type="dxa"/>
          </w:tcPr>
          <w:p w14:paraId="705597E0"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1EB06BF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5B04F1DB" w14:textId="77777777" w:rsidTr="00743919">
        <w:trPr>
          <w:trHeight w:val="302"/>
        </w:trPr>
        <w:tc>
          <w:tcPr>
            <w:tcW w:w="1555" w:type="dxa"/>
          </w:tcPr>
          <w:p w14:paraId="22BEA1D3" w14:textId="77777777" w:rsidR="00743919" w:rsidRPr="00F333A1" w:rsidRDefault="00743919" w:rsidP="00743919">
            <w:pPr>
              <w:spacing w:before="0" w:after="0" w:line="240" w:lineRule="auto"/>
              <w:rPr>
                <w:rFonts w:ascii="Arial Narrow" w:hAnsi="Arial Narrow"/>
                <w:sz w:val="20"/>
              </w:rPr>
            </w:pPr>
          </w:p>
        </w:tc>
        <w:tc>
          <w:tcPr>
            <w:tcW w:w="1984" w:type="dxa"/>
          </w:tcPr>
          <w:p w14:paraId="0652E2EA"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34D7D485"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5700BDE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10999</w:t>
            </w:r>
          </w:p>
        </w:tc>
        <w:tc>
          <w:tcPr>
            <w:tcW w:w="1134" w:type="dxa"/>
          </w:tcPr>
          <w:p w14:paraId="5282C4C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7DC3C90D"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7B8E7062" w14:textId="77777777" w:rsidTr="00743919">
        <w:trPr>
          <w:trHeight w:val="302"/>
        </w:trPr>
        <w:tc>
          <w:tcPr>
            <w:tcW w:w="1555" w:type="dxa"/>
          </w:tcPr>
          <w:p w14:paraId="67BF3B65" w14:textId="77777777" w:rsidR="00743919" w:rsidRPr="00F333A1" w:rsidRDefault="00743919" w:rsidP="00743919">
            <w:pPr>
              <w:spacing w:before="0" w:after="0" w:line="240" w:lineRule="auto"/>
              <w:rPr>
                <w:rFonts w:ascii="Arial Narrow" w:hAnsi="Arial Narrow"/>
                <w:sz w:val="20"/>
              </w:rPr>
            </w:pPr>
          </w:p>
        </w:tc>
        <w:tc>
          <w:tcPr>
            <w:tcW w:w="1984" w:type="dxa"/>
          </w:tcPr>
          <w:p w14:paraId="2E566D8E"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44B5AE96"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08F78DB5"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11203</w:t>
            </w:r>
          </w:p>
        </w:tc>
        <w:tc>
          <w:tcPr>
            <w:tcW w:w="1134" w:type="dxa"/>
          </w:tcPr>
          <w:p w14:paraId="1C040ABC"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621C87B1"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4BF85BFA" w14:textId="77777777" w:rsidTr="00743919">
        <w:trPr>
          <w:trHeight w:val="302"/>
        </w:trPr>
        <w:tc>
          <w:tcPr>
            <w:tcW w:w="1555" w:type="dxa"/>
          </w:tcPr>
          <w:p w14:paraId="227A4CB3" w14:textId="77777777" w:rsidR="00743919" w:rsidRPr="00F333A1" w:rsidRDefault="00743919" w:rsidP="00743919">
            <w:pPr>
              <w:spacing w:before="0" w:after="0" w:line="240" w:lineRule="auto"/>
              <w:rPr>
                <w:rFonts w:ascii="Arial Narrow" w:hAnsi="Arial Narrow"/>
                <w:sz w:val="20"/>
              </w:rPr>
            </w:pPr>
          </w:p>
        </w:tc>
        <w:tc>
          <w:tcPr>
            <w:tcW w:w="1984" w:type="dxa"/>
          </w:tcPr>
          <w:p w14:paraId="48DD347C"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6933617F"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733026EA"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50124</w:t>
            </w:r>
          </w:p>
        </w:tc>
        <w:tc>
          <w:tcPr>
            <w:tcW w:w="1134" w:type="dxa"/>
          </w:tcPr>
          <w:p w14:paraId="1951E0C9"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75294992"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r w:rsidR="00743919" w14:paraId="14A3A857" w14:textId="77777777" w:rsidTr="00743919">
        <w:trPr>
          <w:trHeight w:val="302"/>
        </w:trPr>
        <w:tc>
          <w:tcPr>
            <w:tcW w:w="1555" w:type="dxa"/>
          </w:tcPr>
          <w:p w14:paraId="11ED5C11" w14:textId="77777777" w:rsidR="00743919" w:rsidRPr="00743919" w:rsidRDefault="00743919" w:rsidP="00743919">
            <w:pPr>
              <w:spacing w:before="0" w:after="0" w:line="240" w:lineRule="auto"/>
              <w:rPr>
                <w:rFonts w:ascii="Arial Narrow" w:hAnsi="Arial Narrow"/>
                <w:color w:val="000000"/>
                <w:sz w:val="20"/>
              </w:rPr>
            </w:pPr>
          </w:p>
        </w:tc>
        <w:tc>
          <w:tcPr>
            <w:tcW w:w="1984" w:type="dxa"/>
          </w:tcPr>
          <w:p w14:paraId="59F1AE46" w14:textId="77777777" w:rsidR="00743919" w:rsidRPr="00743919" w:rsidRDefault="00743919" w:rsidP="00743919">
            <w:pPr>
              <w:spacing w:before="0" w:after="0" w:line="240" w:lineRule="auto"/>
              <w:rPr>
                <w:rFonts w:ascii="Arial Narrow" w:hAnsi="Arial Narrow"/>
                <w:color w:val="000000"/>
                <w:sz w:val="20"/>
              </w:rPr>
            </w:pPr>
          </w:p>
        </w:tc>
        <w:tc>
          <w:tcPr>
            <w:tcW w:w="1843" w:type="dxa"/>
          </w:tcPr>
          <w:p w14:paraId="27B792D1" w14:textId="77777777" w:rsidR="00743919" w:rsidRPr="00743919" w:rsidRDefault="00743919" w:rsidP="00743919">
            <w:pPr>
              <w:spacing w:before="0" w:after="0" w:line="240" w:lineRule="auto"/>
              <w:rPr>
                <w:rFonts w:ascii="Arial Narrow" w:hAnsi="Arial Narrow"/>
                <w:color w:val="000000"/>
                <w:sz w:val="20"/>
              </w:rPr>
            </w:pPr>
          </w:p>
        </w:tc>
        <w:tc>
          <w:tcPr>
            <w:tcW w:w="992" w:type="dxa"/>
          </w:tcPr>
          <w:p w14:paraId="4888182B"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55208</w:t>
            </w:r>
          </w:p>
        </w:tc>
        <w:tc>
          <w:tcPr>
            <w:tcW w:w="1134" w:type="dxa"/>
          </w:tcPr>
          <w:p w14:paraId="281404F6"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#N/A</w:t>
            </w:r>
          </w:p>
        </w:tc>
        <w:tc>
          <w:tcPr>
            <w:tcW w:w="1559" w:type="dxa"/>
          </w:tcPr>
          <w:p w14:paraId="230F14F4" w14:textId="77777777" w:rsidR="00743919" w:rsidRPr="00743919" w:rsidRDefault="00743919" w:rsidP="00743919">
            <w:pPr>
              <w:spacing w:before="0" w:after="0" w:line="240" w:lineRule="auto"/>
              <w:rPr>
                <w:rFonts w:ascii="Arial Narrow" w:hAnsi="Arial Narrow"/>
                <w:color w:val="000000"/>
                <w:sz w:val="20"/>
              </w:rPr>
            </w:pPr>
            <w:r w:rsidRPr="00743919">
              <w:rPr>
                <w:rFonts w:ascii="Arial Narrow" w:hAnsi="Arial Narrow"/>
                <w:color w:val="000000"/>
                <w:sz w:val="20"/>
              </w:rPr>
              <w:t>Treatment</w:t>
            </w:r>
          </w:p>
        </w:tc>
      </w:tr>
    </w:tbl>
    <w:p w14:paraId="4EDF628C" w14:textId="77777777" w:rsidR="00743919" w:rsidRPr="00743919" w:rsidRDefault="00743919" w:rsidP="00743919">
      <w:pPr>
        <w:pStyle w:val="AspexBodyStandard"/>
      </w:pPr>
    </w:p>
    <w:p w14:paraId="6AD47597" w14:textId="77777777" w:rsidR="0040000F" w:rsidRDefault="0040000F" w:rsidP="00DF1415">
      <w:pPr>
        <w:pStyle w:val="AspexBodyStandard"/>
        <w:sectPr w:rsidR="0040000F" w:rsidSect="00914A76">
          <w:type w:val="continuous"/>
          <w:pgSz w:w="11906" w:h="16838" w:code="9"/>
          <w:pgMar w:top="2835" w:right="1276" w:bottom="1134" w:left="1616" w:header="709" w:footer="709" w:gutter="0"/>
          <w:cols w:space="708"/>
          <w:docGrid w:linePitch="360"/>
        </w:sectPr>
      </w:pPr>
    </w:p>
    <w:p w14:paraId="73B00ECC" w14:textId="77777777" w:rsidR="007B3E66" w:rsidRDefault="0040000F" w:rsidP="00DB4B2C">
      <w:pPr>
        <w:pStyle w:val="AspexAppendixlevel1"/>
        <w:ind w:right="142" w:hanging="1106"/>
      </w:pPr>
      <w:r>
        <w:lastRenderedPageBreak/>
        <w:t xml:space="preserve">Detailed MBS data classification and analysis </w:t>
      </w:r>
      <w:r w:rsidR="00BE4C49">
        <w:t>framework</w:t>
      </w:r>
    </w:p>
    <w:tbl>
      <w:tblPr>
        <w:tblStyle w:val="AspexTable1"/>
        <w:tblW w:w="15168" w:type="dxa"/>
        <w:tblInd w:w="-227" w:type="dxa"/>
        <w:tblLayout w:type="fixed"/>
        <w:tblCellMar>
          <w:left w:w="57" w:type="dxa"/>
          <w:right w:w="57" w:type="dxa"/>
        </w:tblCellMar>
        <w:tblLook w:val="04A0" w:firstRow="1" w:lastRow="0" w:firstColumn="1" w:lastColumn="0" w:noHBand="0" w:noVBand="1"/>
        <w:tblCaption w:val="Detailed MBS data classification and analysis framework"/>
      </w:tblPr>
      <w:tblGrid>
        <w:gridCol w:w="1839"/>
        <w:gridCol w:w="706"/>
        <w:gridCol w:w="990"/>
        <w:gridCol w:w="1132"/>
        <w:gridCol w:w="993"/>
        <w:gridCol w:w="992"/>
        <w:gridCol w:w="992"/>
        <w:gridCol w:w="714"/>
        <w:gridCol w:w="712"/>
        <w:gridCol w:w="995"/>
        <w:gridCol w:w="994"/>
        <w:gridCol w:w="993"/>
        <w:gridCol w:w="850"/>
        <w:gridCol w:w="1133"/>
        <w:gridCol w:w="1133"/>
      </w:tblGrid>
      <w:tr w:rsidR="00F614B7" w:rsidRPr="00720E20" w14:paraId="7F33D094" w14:textId="77777777" w:rsidTr="00F614B7">
        <w:trPr>
          <w:cnfStyle w:val="100000000000" w:firstRow="1" w:lastRow="0" w:firstColumn="0" w:lastColumn="0" w:oddVBand="0" w:evenVBand="0" w:oddHBand="0" w:evenHBand="0" w:firstRowFirstColumn="0" w:firstRowLastColumn="0" w:lastRowFirstColumn="0" w:lastRowLastColumn="0"/>
          <w:trHeight w:val="280"/>
          <w:tblHeader/>
        </w:trPr>
        <w:tc>
          <w:tcPr>
            <w:tcW w:w="1841" w:type="dxa"/>
            <w:noWrap/>
          </w:tcPr>
          <w:p w14:paraId="731A5642" w14:textId="4644F225" w:rsidR="002F4DA3" w:rsidRPr="00720E20" w:rsidRDefault="002F4DA3" w:rsidP="002F4DA3">
            <w:pPr>
              <w:spacing w:before="144" w:after="144" w:line="240" w:lineRule="auto"/>
              <w:jc w:val="center"/>
              <w:rPr>
                <w:rFonts w:ascii="Arial Narrow" w:hAnsi="Arial Narrow"/>
                <w:color w:val="FFFFFF" w:themeColor="background1"/>
                <w:sz w:val="18"/>
                <w:szCs w:val="18"/>
              </w:rPr>
            </w:pPr>
            <w:r w:rsidRPr="00720E20">
              <w:rPr>
                <w:rFonts w:ascii="Arial Narrow" w:hAnsi="Arial Narrow"/>
                <w:color w:val="FFFFFF" w:themeColor="background1"/>
                <w:sz w:val="18"/>
                <w:szCs w:val="18"/>
              </w:rPr>
              <w:t>Group Description</w:t>
            </w:r>
          </w:p>
        </w:tc>
        <w:tc>
          <w:tcPr>
            <w:tcW w:w="707" w:type="dxa"/>
            <w:noWrap/>
          </w:tcPr>
          <w:p w14:paraId="546C0B53" w14:textId="5E0A4F6E" w:rsidR="002F4DA3" w:rsidRPr="00720E20" w:rsidRDefault="002F4DA3" w:rsidP="002F4DA3">
            <w:pPr>
              <w:spacing w:before="144" w:after="144" w:line="240" w:lineRule="auto"/>
              <w:jc w:val="center"/>
              <w:rPr>
                <w:rFonts w:ascii="Arial Narrow" w:hAnsi="Arial Narrow"/>
                <w:color w:val="FFFFFF" w:themeColor="background1"/>
                <w:sz w:val="18"/>
                <w:szCs w:val="18"/>
              </w:rPr>
            </w:pPr>
            <w:r w:rsidRPr="00720E20">
              <w:rPr>
                <w:rFonts w:ascii="Arial Narrow" w:hAnsi="Arial Narrow"/>
                <w:color w:val="FFFFFF" w:themeColor="background1"/>
                <w:sz w:val="18"/>
                <w:szCs w:val="18"/>
              </w:rPr>
              <w:t>Item</w:t>
            </w:r>
          </w:p>
        </w:tc>
        <w:tc>
          <w:tcPr>
            <w:tcW w:w="991" w:type="dxa"/>
            <w:noWrap/>
          </w:tcPr>
          <w:p w14:paraId="4FFB57D4" w14:textId="4C960E92" w:rsidR="002F4DA3" w:rsidRPr="00720E20" w:rsidRDefault="002F4DA3" w:rsidP="002F4DA3">
            <w:pPr>
              <w:spacing w:before="144" w:after="144" w:line="240" w:lineRule="auto"/>
              <w:jc w:val="center"/>
              <w:rPr>
                <w:rFonts w:ascii="Arial Narrow" w:hAnsi="Arial Narrow"/>
                <w:color w:val="FFFFFF" w:themeColor="background1"/>
                <w:sz w:val="18"/>
                <w:szCs w:val="18"/>
              </w:rPr>
            </w:pPr>
            <w:r w:rsidRPr="00720E20">
              <w:rPr>
                <w:rFonts w:ascii="Arial Narrow" w:hAnsi="Arial Narrow"/>
                <w:color w:val="FFFFFF" w:themeColor="background1"/>
                <w:sz w:val="18"/>
                <w:szCs w:val="18"/>
              </w:rPr>
              <w:t>Benefit as at Feb 2013</w:t>
            </w:r>
          </w:p>
        </w:tc>
        <w:tc>
          <w:tcPr>
            <w:tcW w:w="1133" w:type="dxa"/>
            <w:tcBorders>
              <w:right w:val="single" w:sz="2" w:space="0" w:color="3B98D3"/>
            </w:tcBorders>
            <w:noWrap/>
          </w:tcPr>
          <w:p w14:paraId="78653056"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p>
        </w:tc>
        <w:tc>
          <w:tcPr>
            <w:tcW w:w="993" w:type="dxa"/>
            <w:tcBorders>
              <w:left w:val="single" w:sz="2" w:space="0" w:color="3B98D3"/>
              <w:right w:val="single" w:sz="2" w:space="0" w:color="3B98D3"/>
            </w:tcBorders>
            <w:noWrap/>
          </w:tcPr>
          <w:p w14:paraId="5CFC48A7" w14:textId="0D31B3DE" w:rsidR="002F4DA3" w:rsidRPr="00720E20" w:rsidRDefault="002F4DA3" w:rsidP="002F4DA3">
            <w:pPr>
              <w:spacing w:before="144" w:after="144" w:line="240" w:lineRule="auto"/>
              <w:jc w:val="right"/>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Number</w:t>
            </w:r>
          </w:p>
        </w:tc>
        <w:tc>
          <w:tcPr>
            <w:tcW w:w="992" w:type="dxa"/>
            <w:tcBorders>
              <w:left w:val="single" w:sz="2" w:space="0" w:color="3B98D3"/>
              <w:right w:val="single" w:sz="2" w:space="0" w:color="3B98D3"/>
            </w:tcBorders>
            <w:noWrap/>
          </w:tcPr>
          <w:p w14:paraId="557C20C8" w14:textId="0DD7FB8F"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of</w:t>
            </w:r>
          </w:p>
        </w:tc>
        <w:tc>
          <w:tcPr>
            <w:tcW w:w="992" w:type="dxa"/>
            <w:tcBorders>
              <w:left w:val="single" w:sz="2" w:space="0" w:color="3B98D3"/>
              <w:right w:val="single" w:sz="2" w:space="0" w:color="3B98D3"/>
            </w:tcBorders>
            <w:noWrap/>
          </w:tcPr>
          <w:p w14:paraId="16028B00" w14:textId="1207CEB4" w:rsidR="002F4DA3" w:rsidRPr="00720E20" w:rsidRDefault="002F4DA3" w:rsidP="002F4DA3">
            <w:pPr>
              <w:spacing w:before="144" w:after="144" w:line="240" w:lineRule="auto"/>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Services</w:t>
            </w:r>
          </w:p>
        </w:tc>
        <w:tc>
          <w:tcPr>
            <w:tcW w:w="714" w:type="dxa"/>
            <w:tcBorders>
              <w:left w:val="single" w:sz="2" w:space="0" w:color="3B98D3"/>
              <w:right w:val="single" w:sz="2" w:space="0" w:color="3B98D3"/>
            </w:tcBorders>
            <w:noWrap/>
          </w:tcPr>
          <w:p w14:paraId="7A9B3984"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p>
        </w:tc>
        <w:tc>
          <w:tcPr>
            <w:tcW w:w="712" w:type="dxa"/>
            <w:tcBorders>
              <w:left w:val="single" w:sz="2" w:space="0" w:color="3B98D3"/>
            </w:tcBorders>
            <w:noWrap/>
          </w:tcPr>
          <w:p w14:paraId="2FFA77D6"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p>
        </w:tc>
        <w:tc>
          <w:tcPr>
            <w:tcW w:w="990" w:type="dxa"/>
            <w:tcBorders>
              <w:right w:val="single" w:sz="2" w:space="0" w:color="3B98D3"/>
            </w:tcBorders>
            <w:noWrap/>
          </w:tcPr>
          <w:p w14:paraId="36D42263" w14:textId="21C1028F"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Estimate</w:t>
            </w:r>
          </w:p>
        </w:tc>
        <w:tc>
          <w:tcPr>
            <w:tcW w:w="994" w:type="dxa"/>
            <w:tcBorders>
              <w:left w:val="single" w:sz="2" w:space="0" w:color="3B98D3"/>
              <w:right w:val="single" w:sz="2" w:space="0" w:color="3B98D3"/>
            </w:tcBorders>
            <w:noWrap/>
          </w:tcPr>
          <w:p w14:paraId="0337FB0C" w14:textId="7305D24E"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Cost of</w:t>
            </w:r>
          </w:p>
        </w:tc>
        <w:tc>
          <w:tcPr>
            <w:tcW w:w="993" w:type="dxa"/>
            <w:tcBorders>
              <w:left w:val="single" w:sz="2" w:space="0" w:color="3B98D3"/>
              <w:right w:val="single" w:sz="2" w:space="0" w:color="3B98D3"/>
            </w:tcBorders>
            <w:noWrap/>
          </w:tcPr>
          <w:p w14:paraId="15A6AEFD" w14:textId="0D00129D"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Services</w:t>
            </w:r>
          </w:p>
        </w:tc>
        <w:tc>
          <w:tcPr>
            <w:tcW w:w="850" w:type="dxa"/>
            <w:tcBorders>
              <w:left w:val="single" w:sz="2" w:space="0" w:color="3B98D3"/>
              <w:right w:val="single" w:sz="2" w:space="0" w:color="3B98D3"/>
            </w:tcBorders>
            <w:noWrap/>
          </w:tcPr>
          <w:p w14:paraId="3693D929" w14:textId="31E96D8E" w:rsidR="002F4DA3" w:rsidRPr="00720E20" w:rsidRDefault="002F4DA3" w:rsidP="002F4DA3">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 xml:space="preserve">(at </w:t>
            </w:r>
          </w:p>
        </w:tc>
        <w:tc>
          <w:tcPr>
            <w:tcW w:w="1133" w:type="dxa"/>
            <w:tcBorders>
              <w:left w:val="single" w:sz="2" w:space="0" w:color="3B98D3"/>
              <w:right w:val="single" w:sz="2" w:space="0" w:color="3B98D3"/>
            </w:tcBorders>
            <w:noWrap/>
          </w:tcPr>
          <w:p w14:paraId="60FEBBAE" w14:textId="75755922"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Pr>
                <w:rFonts w:ascii="Arial Narrow" w:hAnsi="Arial Narrow"/>
                <w:color w:val="FFFFFF" w:themeColor="background1"/>
                <w:sz w:val="18"/>
                <w:szCs w:val="18"/>
              </w:rPr>
              <w:t>F</w:t>
            </w:r>
            <w:r w:rsidRPr="00720E20">
              <w:rPr>
                <w:rFonts w:ascii="Arial Narrow" w:hAnsi="Arial Narrow"/>
                <w:color w:val="FFFFFF" w:themeColor="background1"/>
                <w:sz w:val="18"/>
                <w:szCs w:val="18"/>
              </w:rPr>
              <w:t>ebruary</w:t>
            </w:r>
          </w:p>
        </w:tc>
        <w:tc>
          <w:tcPr>
            <w:tcW w:w="1133" w:type="dxa"/>
            <w:tcBorders>
              <w:left w:val="single" w:sz="2" w:space="0" w:color="3B98D3"/>
            </w:tcBorders>
            <w:noWrap/>
          </w:tcPr>
          <w:p w14:paraId="2772EE7C" w14:textId="3A8E057D"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olor w:val="FFFFFF" w:themeColor="background1"/>
                <w:sz w:val="18"/>
                <w:szCs w:val="18"/>
              </w:rPr>
              <w:t>2013)</w:t>
            </w:r>
          </w:p>
        </w:tc>
      </w:tr>
      <w:tr w:rsidR="00F614B7" w:rsidRPr="00720E20" w14:paraId="2EA72A12" w14:textId="77777777" w:rsidTr="00F614B7">
        <w:trPr>
          <w:cnfStyle w:val="100000000000" w:firstRow="1" w:lastRow="0" w:firstColumn="0" w:lastColumn="0" w:oddVBand="0" w:evenVBand="0" w:oddHBand="0" w:evenHBand="0" w:firstRowFirstColumn="0" w:firstRowLastColumn="0" w:lastRowFirstColumn="0" w:lastRowLastColumn="0"/>
          <w:trHeight w:val="280"/>
          <w:tblHeader/>
        </w:trPr>
        <w:tc>
          <w:tcPr>
            <w:tcW w:w="1841" w:type="dxa"/>
            <w:noWrap/>
            <w:hideMark/>
          </w:tcPr>
          <w:p w14:paraId="0438C39E" w14:textId="77777777" w:rsidR="002F4DA3" w:rsidRPr="00720E20" w:rsidRDefault="002F4DA3" w:rsidP="00D701B5">
            <w:pPr>
              <w:spacing w:before="144" w:after="144" w:line="240" w:lineRule="auto"/>
              <w:rPr>
                <w:rFonts w:ascii="Arial Narrow" w:hAnsi="Arial Narrow"/>
                <w:color w:val="FFFFFF" w:themeColor="background1"/>
                <w:sz w:val="18"/>
                <w:szCs w:val="18"/>
              </w:rPr>
            </w:pPr>
          </w:p>
        </w:tc>
        <w:tc>
          <w:tcPr>
            <w:tcW w:w="707" w:type="dxa"/>
            <w:noWrap/>
            <w:hideMark/>
          </w:tcPr>
          <w:p w14:paraId="10B53FD2" w14:textId="77777777" w:rsidR="002F4DA3" w:rsidRPr="00720E20" w:rsidRDefault="002F4DA3" w:rsidP="00D701B5">
            <w:pPr>
              <w:spacing w:before="144" w:after="144" w:line="240" w:lineRule="auto"/>
              <w:rPr>
                <w:rFonts w:ascii="Arial Narrow" w:hAnsi="Arial Narrow"/>
                <w:color w:val="FFFFFF" w:themeColor="background1"/>
                <w:sz w:val="18"/>
                <w:szCs w:val="18"/>
              </w:rPr>
            </w:pPr>
          </w:p>
        </w:tc>
        <w:tc>
          <w:tcPr>
            <w:tcW w:w="991" w:type="dxa"/>
            <w:noWrap/>
            <w:hideMark/>
          </w:tcPr>
          <w:p w14:paraId="145E1057" w14:textId="77777777" w:rsidR="002F4DA3" w:rsidRPr="00720E20" w:rsidRDefault="002F4DA3" w:rsidP="00D701B5">
            <w:pPr>
              <w:spacing w:before="144" w:after="144" w:line="240" w:lineRule="auto"/>
              <w:rPr>
                <w:rFonts w:ascii="Arial Narrow" w:hAnsi="Arial Narrow"/>
                <w:color w:val="FFFFFF" w:themeColor="background1"/>
                <w:sz w:val="18"/>
                <w:szCs w:val="18"/>
              </w:rPr>
            </w:pPr>
          </w:p>
        </w:tc>
        <w:tc>
          <w:tcPr>
            <w:tcW w:w="1133" w:type="dxa"/>
            <w:noWrap/>
            <w:hideMark/>
          </w:tcPr>
          <w:p w14:paraId="77A5A428"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Professional attendance for assessment</w:t>
            </w:r>
          </w:p>
        </w:tc>
        <w:tc>
          <w:tcPr>
            <w:tcW w:w="993" w:type="dxa"/>
            <w:noWrap/>
            <w:hideMark/>
          </w:tcPr>
          <w:p w14:paraId="28978878"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Professional attendance for   treatment</w:t>
            </w:r>
          </w:p>
        </w:tc>
        <w:tc>
          <w:tcPr>
            <w:tcW w:w="992" w:type="dxa"/>
            <w:noWrap/>
            <w:hideMark/>
          </w:tcPr>
          <w:p w14:paraId="585B39D6"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Treatment and management planning</w:t>
            </w:r>
          </w:p>
        </w:tc>
        <w:tc>
          <w:tcPr>
            <w:tcW w:w="992" w:type="dxa"/>
            <w:noWrap/>
            <w:hideMark/>
          </w:tcPr>
          <w:p w14:paraId="3EC6A334"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Home or other residential visit</w:t>
            </w:r>
          </w:p>
        </w:tc>
        <w:tc>
          <w:tcPr>
            <w:tcW w:w="714" w:type="dxa"/>
            <w:noWrap/>
            <w:hideMark/>
          </w:tcPr>
          <w:p w14:paraId="656FE146"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Case conf.</w:t>
            </w:r>
          </w:p>
        </w:tc>
        <w:tc>
          <w:tcPr>
            <w:tcW w:w="712" w:type="dxa"/>
            <w:noWrap/>
            <w:hideMark/>
          </w:tcPr>
          <w:p w14:paraId="10221D0A"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Family/group therapy</w:t>
            </w:r>
          </w:p>
        </w:tc>
        <w:tc>
          <w:tcPr>
            <w:tcW w:w="990" w:type="dxa"/>
            <w:noWrap/>
            <w:hideMark/>
          </w:tcPr>
          <w:p w14:paraId="07C0BD9C"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Professional attendance for assessment</w:t>
            </w:r>
          </w:p>
        </w:tc>
        <w:tc>
          <w:tcPr>
            <w:tcW w:w="994" w:type="dxa"/>
            <w:noWrap/>
            <w:hideMark/>
          </w:tcPr>
          <w:p w14:paraId="0836CD43"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Professional attendance for   treatment</w:t>
            </w:r>
          </w:p>
        </w:tc>
        <w:tc>
          <w:tcPr>
            <w:tcW w:w="993" w:type="dxa"/>
            <w:noWrap/>
            <w:hideMark/>
          </w:tcPr>
          <w:p w14:paraId="396D30AC"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Treatment and management planning</w:t>
            </w:r>
          </w:p>
        </w:tc>
        <w:tc>
          <w:tcPr>
            <w:tcW w:w="850" w:type="dxa"/>
            <w:noWrap/>
            <w:hideMark/>
          </w:tcPr>
          <w:p w14:paraId="2CF10C34"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Home or other residential visit</w:t>
            </w:r>
          </w:p>
        </w:tc>
        <w:tc>
          <w:tcPr>
            <w:tcW w:w="1133" w:type="dxa"/>
            <w:noWrap/>
            <w:hideMark/>
          </w:tcPr>
          <w:p w14:paraId="366DF8F0"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Case conf.</w:t>
            </w:r>
          </w:p>
        </w:tc>
        <w:tc>
          <w:tcPr>
            <w:tcW w:w="1133" w:type="dxa"/>
            <w:noWrap/>
            <w:hideMark/>
          </w:tcPr>
          <w:p w14:paraId="33F3E50E" w14:textId="77777777" w:rsidR="002F4DA3" w:rsidRPr="00720E20" w:rsidRDefault="002F4DA3" w:rsidP="00D701B5">
            <w:pPr>
              <w:spacing w:before="144" w:after="144" w:line="240" w:lineRule="auto"/>
              <w:jc w:val="center"/>
              <w:rPr>
                <w:rFonts w:ascii="Arial Narrow" w:hAnsi="Arial Narrow"/>
                <w:caps w:val="0"/>
                <w:color w:val="FFFFFF" w:themeColor="background1"/>
                <w:sz w:val="16"/>
                <w:szCs w:val="16"/>
              </w:rPr>
            </w:pPr>
            <w:r w:rsidRPr="00720E20">
              <w:rPr>
                <w:rFonts w:ascii="Arial Narrow" w:hAnsi="Arial Narrow"/>
                <w:caps w:val="0"/>
                <w:color w:val="FFFFFF" w:themeColor="background1"/>
                <w:sz w:val="16"/>
                <w:szCs w:val="16"/>
              </w:rPr>
              <w:t>Family/</w:t>
            </w:r>
            <w:r>
              <w:rPr>
                <w:rFonts w:ascii="Arial Narrow" w:hAnsi="Arial Narrow"/>
                <w:caps w:val="0"/>
                <w:color w:val="FFFFFF" w:themeColor="background1"/>
                <w:sz w:val="16"/>
                <w:szCs w:val="16"/>
              </w:rPr>
              <w:t xml:space="preserve"> </w:t>
            </w:r>
            <w:r w:rsidRPr="00720E20">
              <w:rPr>
                <w:rFonts w:ascii="Arial Narrow" w:hAnsi="Arial Narrow"/>
                <w:caps w:val="0"/>
                <w:color w:val="FFFFFF" w:themeColor="background1"/>
                <w:sz w:val="16"/>
                <w:szCs w:val="16"/>
              </w:rPr>
              <w:t>group therapy</w:t>
            </w:r>
          </w:p>
        </w:tc>
      </w:tr>
      <w:tr w:rsidR="007501E1" w:rsidRPr="00720E20" w14:paraId="4D7A175A" w14:textId="77777777" w:rsidTr="00F614B7">
        <w:tblPrEx>
          <w:tblCellMar>
            <w:left w:w="108" w:type="dxa"/>
            <w:right w:w="108" w:type="dxa"/>
          </w:tblCellMar>
        </w:tblPrEx>
        <w:trPr>
          <w:trHeight w:val="278"/>
        </w:trPr>
        <w:tc>
          <w:tcPr>
            <w:tcW w:w="1841" w:type="dxa"/>
          </w:tcPr>
          <w:p w14:paraId="1DD28777" w14:textId="0858B5CD"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30A3B0EE" w14:textId="4E4336C3"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Pr>
                <w:rFonts w:ascii="Arial Narrow" w:hAnsi="Arial Narrow" w:cs="Calibri"/>
                <w:color w:val="000000"/>
                <w:sz w:val="18"/>
                <w:szCs w:val="18"/>
                <w:lang w:val="en-US" w:eastAsia="en-AU"/>
              </w:rPr>
              <w:t>3</w:t>
            </w:r>
          </w:p>
        </w:tc>
        <w:tc>
          <w:tcPr>
            <w:tcW w:w="991" w:type="dxa"/>
          </w:tcPr>
          <w:p w14:paraId="12C765FE" w14:textId="0398C703"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Pr>
                <w:rFonts w:ascii="Arial Narrow" w:hAnsi="Arial Narrow" w:cs="Calibri"/>
                <w:color w:val="000000"/>
                <w:sz w:val="18"/>
                <w:szCs w:val="18"/>
                <w:lang w:val="en-US" w:eastAsia="en-AU"/>
              </w:rPr>
              <w:t>16.6</w:t>
            </w:r>
          </w:p>
        </w:tc>
        <w:tc>
          <w:tcPr>
            <w:tcW w:w="1133" w:type="dxa"/>
          </w:tcPr>
          <w:p w14:paraId="06A07859" w14:textId="17176E59"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535B537" w14:textId="78F0FEE8"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Pr>
                <w:rFonts w:ascii="Arial Narrow" w:hAnsi="Arial Narrow" w:cs="Calibri"/>
                <w:color w:val="000000"/>
                <w:sz w:val="18"/>
                <w:szCs w:val="18"/>
                <w:lang w:val="en-US" w:eastAsia="en-AU"/>
              </w:rPr>
              <w:t>1,025</w:t>
            </w:r>
          </w:p>
        </w:tc>
        <w:tc>
          <w:tcPr>
            <w:tcW w:w="992" w:type="dxa"/>
          </w:tcPr>
          <w:p w14:paraId="0875D261" w14:textId="506FFB6C"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B148D16" w14:textId="730D42B6"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33 </w:t>
            </w:r>
          </w:p>
        </w:tc>
        <w:tc>
          <w:tcPr>
            <w:tcW w:w="714" w:type="dxa"/>
          </w:tcPr>
          <w:p w14:paraId="4E754129" w14:textId="5EC53035"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3519645" w14:textId="4DD75744"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BFE7668" w14:textId="593BA8C3"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C116D78" w14:textId="60C6319B"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Pr>
                <w:rFonts w:ascii="Arial Narrow" w:hAnsi="Arial Narrow" w:cs="Calibri"/>
                <w:color w:val="000000"/>
                <w:sz w:val="18"/>
                <w:szCs w:val="18"/>
                <w:lang w:val="en-US" w:eastAsia="en-AU"/>
              </w:rPr>
              <w:t>$17,015</w:t>
            </w:r>
          </w:p>
        </w:tc>
        <w:tc>
          <w:tcPr>
            <w:tcW w:w="993" w:type="dxa"/>
          </w:tcPr>
          <w:p w14:paraId="63A15E65" w14:textId="2E69EF4F"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0AF45AC" w14:textId="310E8809"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$1,388 </w:t>
            </w:r>
          </w:p>
        </w:tc>
        <w:tc>
          <w:tcPr>
            <w:tcW w:w="1133" w:type="dxa"/>
          </w:tcPr>
          <w:p w14:paraId="1F10B06D" w14:textId="15858F0C"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E4D1060" w14:textId="3FCD87AA"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6175B3E" w14:textId="77777777" w:rsidTr="00F614B7">
        <w:tblPrEx>
          <w:tblCellMar>
            <w:left w:w="108" w:type="dxa"/>
            <w:right w:w="108" w:type="dxa"/>
          </w:tblCellMar>
        </w:tblPrEx>
        <w:trPr>
          <w:trHeight w:val="278"/>
        </w:trPr>
        <w:tc>
          <w:tcPr>
            <w:tcW w:w="1841" w:type="dxa"/>
          </w:tcPr>
          <w:p w14:paraId="7681E4EE" w14:textId="4ADA6976"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70387884" w14:textId="380CB281"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w:t>
            </w:r>
          </w:p>
        </w:tc>
        <w:tc>
          <w:tcPr>
            <w:tcW w:w="991" w:type="dxa"/>
          </w:tcPr>
          <w:p w14:paraId="41745C1C" w14:textId="5A28C226"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42.05</w:t>
            </w:r>
          </w:p>
        </w:tc>
        <w:tc>
          <w:tcPr>
            <w:tcW w:w="1133" w:type="dxa"/>
          </w:tcPr>
          <w:p w14:paraId="27FE7743" w14:textId="68AD09FD"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8321E0E" w14:textId="5165151D"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5B7DB52" w14:textId="2DE7CA16"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965C9A1" w14:textId="30406B96"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33 </w:t>
            </w:r>
          </w:p>
        </w:tc>
        <w:tc>
          <w:tcPr>
            <w:tcW w:w="714" w:type="dxa"/>
          </w:tcPr>
          <w:p w14:paraId="30F51475" w14:textId="326C18CF"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51EA6B8" w14:textId="78008354"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3EEAEFE" w14:textId="46BB2E51"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6BC316C" w14:textId="15ECBC8F"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CC0CC55" w14:textId="360A795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B6BB963" w14:textId="4ADDCBB5"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$1,388 </w:t>
            </w:r>
          </w:p>
        </w:tc>
        <w:tc>
          <w:tcPr>
            <w:tcW w:w="1133" w:type="dxa"/>
          </w:tcPr>
          <w:p w14:paraId="2EB3E302" w14:textId="39DCB512"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618879D" w14:textId="631B56F8"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8681A16" w14:textId="77777777" w:rsidTr="00F614B7">
        <w:tblPrEx>
          <w:tblCellMar>
            <w:left w:w="108" w:type="dxa"/>
            <w:right w:w="108" w:type="dxa"/>
          </w:tblCellMar>
        </w:tblPrEx>
        <w:trPr>
          <w:trHeight w:val="278"/>
        </w:trPr>
        <w:tc>
          <w:tcPr>
            <w:tcW w:w="1841" w:type="dxa"/>
          </w:tcPr>
          <w:p w14:paraId="051D17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481AC69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23</w:t>
            </w:r>
          </w:p>
        </w:tc>
        <w:tc>
          <w:tcPr>
            <w:tcW w:w="991" w:type="dxa"/>
          </w:tcPr>
          <w:p w14:paraId="464160D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36.3</w:t>
            </w:r>
          </w:p>
        </w:tc>
        <w:tc>
          <w:tcPr>
            <w:tcW w:w="1133" w:type="dxa"/>
          </w:tcPr>
          <w:p w14:paraId="552C73E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567BC1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40,039 </w:t>
            </w:r>
          </w:p>
        </w:tc>
        <w:tc>
          <w:tcPr>
            <w:tcW w:w="992" w:type="dxa"/>
          </w:tcPr>
          <w:p w14:paraId="17A871C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422104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9D728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E3E116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E2EC51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34B8BA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$1,453,416 </w:t>
            </w:r>
          </w:p>
        </w:tc>
        <w:tc>
          <w:tcPr>
            <w:tcW w:w="993" w:type="dxa"/>
          </w:tcPr>
          <w:p w14:paraId="443A258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5BF1A1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F58C0F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AEFB10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6FFE3383" w14:textId="77777777" w:rsidTr="00F614B7">
        <w:tblPrEx>
          <w:tblCellMar>
            <w:left w:w="108" w:type="dxa"/>
            <w:right w:w="108" w:type="dxa"/>
          </w:tblCellMar>
        </w:tblPrEx>
        <w:trPr>
          <w:trHeight w:val="278"/>
        </w:trPr>
        <w:tc>
          <w:tcPr>
            <w:tcW w:w="1841" w:type="dxa"/>
          </w:tcPr>
          <w:p w14:paraId="0CBD9A1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60CCD42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24</w:t>
            </w:r>
          </w:p>
        </w:tc>
        <w:tc>
          <w:tcPr>
            <w:tcW w:w="991" w:type="dxa"/>
          </w:tcPr>
          <w:p w14:paraId="2CF46CD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61.75</w:t>
            </w:r>
          </w:p>
        </w:tc>
        <w:tc>
          <w:tcPr>
            <w:tcW w:w="1133" w:type="dxa"/>
          </w:tcPr>
          <w:p w14:paraId="380000D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32D33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823C86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FCB70A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335 </w:t>
            </w:r>
          </w:p>
        </w:tc>
        <w:tc>
          <w:tcPr>
            <w:tcW w:w="714" w:type="dxa"/>
          </w:tcPr>
          <w:p w14:paraId="3AAEA09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852E77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F86A5A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6B8F022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852EC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039BD5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$20,686 </w:t>
            </w:r>
          </w:p>
        </w:tc>
        <w:tc>
          <w:tcPr>
            <w:tcW w:w="1133" w:type="dxa"/>
          </w:tcPr>
          <w:p w14:paraId="5221055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7D70C4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8296A1F" w14:textId="77777777" w:rsidTr="00F614B7">
        <w:tblPrEx>
          <w:tblCellMar>
            <w:left w:w="108" w:type="dxa"/>
            <w:right w:w="108" w:type="dxa"/>
          </w:tblCellMar>
        </w:tblPrEx>
        <w:trPr>
          <w:trHeight w:val="278"/>
        </w:trPr>
        <w:tc>
          <w:tcPr>
            <w:tcW w:w="1841" w:type="dxa"/>
          </w:tcPr>
          <w:p w14:paraId="060B2C3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75ACFF8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35</w:t>
            </w:r>
          </w:p>
        </w:tc>
        <w:tc>
          <w:tcPr>
            <w:tcW w:w="991" w:type="dxa"/>
          </w:tcPr>
          <w:p w14:paraId="08D45A1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82.4</w:t>
            </w:r>
          </w:p>
        </w:tc>
        <w:tc>
          <w:tcPr>
            <w:tcW w:w="1133" w:type="dxa"/>
          </w:tcPr>
          <w:p w14:paraId="559172C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7ED4C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5A0AA0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FA6BE1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176 </w:t>
            </w:r>
          </w:p>
        </w:tc>
        <w:tc>
          <w:tcPr>
            <w:tcW w:w="714" w:type="dxa"/>
          </w:tcPr>
          <w:p w14:paraId="2AD6FD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4CEAB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79E6B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38D81D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6BB8F4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474F6E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$14,502 </w:t>
            </w:r>
          </w:p>
        </w:tc>
        <w:tc>
          <w:tcPr>
            <w:tcW w:w="1133" w:type="dxa"/>
          </w:tcPr>
          <w:p w14:paraId="0630E0C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C2BD22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5B96BFD" w14:textId="77777777" w:rsidTr="00F614B7">
        <w:tblPrEx>
          <w:tblCellMar>
            <w:left w:w="108" w:type="dxa"/>
            <w:right w:w="108" w:type="dxa"/>
          </w:tblCellMar>
        </w:tblPrEx>
        <w:trPr>
          <w:trHeight w:val="278"/>
        </w:trPr>
        <w:tc>
          <w:tcPr>
            <w:tcW w:w="1841" w:type="dxa"/>
          </w:tcPr>
          <w:p w14:paraId="47D906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6BCF8B5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w:t>
            </w:r>
          </w:p>
        </w:tc>
        <w:tc>
          <w:tcPr>
            <w:tcW w:w="991" w:type="dxa"/>
          </w:tcPr>
          <w:p w14:paraId="1420BCD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46F9DEF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AEBBFE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52,086 </w:t>
            </w:r>
          </w:p>
        </w:tc>
        <w:tc>
          <w:tcPr>
            <w:tcW w:w="992" w:type="dxa"/>
          </w:tcPr>
          <w:p w14:paraId="412D41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03A9E9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3E1F08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DD61CD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A1CBD7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B9C7C6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$3,661,646 </w:t>
            </w:r>
          </w:p>
        </w:tc>
        <w:tc>
          <w:tcPr>
            <w:tcW w:w="993" w:type="dxa"/>
          </w:tcPr>
          <w:p w14:paraId="4D5C776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6F5D359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5DD717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B55CD7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A53A1B2" w14:textId="77777777" w:rsidTr="00F614B7">
        <w:tblPrEx>
          <w:tblCellMar>
            <w:left w:w="108" w:type="dxa"/>
            <w:right w:w="108" w:type="dxa"/>
          </w:tblCellMar>
        </w:tblPrEx>
        <w:trPr>
          <w:trHeight w:val="278"/>
        </w:trPr>
        <w:tc>
          <w:tcPr>
            <w:tcW w:w="1841" w:type="dxa"/>
          </w:tcPr>
          <w:p w14:paraId="55707D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5783321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37</w:t>
            </w:r>
          </w:p>
        </w:tc>
        <w:tc>
          <w:tcPr>
            <w:tcW w:w="991" w:type="dxa"/>
          </w:tcPr>
          <w:p w14:paraId="5F25444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95.75</w:t>
            </w:r>
          </w:p>
        </w:tc>
        <w:tc>
          <w:tcPr>
            <w:tcW w:w="1133" w:type="dxa"/>
          </w:tcPr>
          <w:p w14:paraId="33B9C3F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89FC8F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4ECF38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1479FE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55 </w:t>
            </w:r>
          </w:p>
        </w:tc>
        <w:tc>
          <w:tcPr>
            <w:tcW w:w="714" w:type="dxa"/>
          </w:tcPr>
          <w:p w14:paraId="23CEC95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F0F20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24D0F2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14A234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4374C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8762D9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$5,266 </w:t>
            </w:r>
          </w:p>
        </w:tc>
        <w:tc>
          <w:tcPr>
            <w:tcW w:w="1133" w:type="dxa"/>
          </w:tcPr>
          <w:p w14:paraId="48BECB1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A834DF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2AA58D0" w14:textId="77777777" w:rsidTr="00F614B7">
        <w:tblPrEx>
          <w:tblCellMar>
            <w:left w:w="108" w:type="dxa"/>
            <w:right w:w="108" w:type="dxa"/>
          </w:tblCellMar>
        </w:tblPrEx>
        <w:trPr>
          <w:trHeight w:val="278"/>
        </w:trPr>
        <w:tc>
          <w:tcPr>
            <w:tcW w:w="1841" w:type="dxa"/>
          </w:tcPr>
          <w:p w14:paraId="756F321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45E22D2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43</w:t>
            </w:r>
          </w:p>
        </w:tc>
        <w:tc>
          <w:tcPr>
            <w:tcW w:w="991" w:type="dxa"/>
          </w:tcPr>
          <w:p w14:paraId="10EBB21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116.1</w:t>
            </w:r>
          </w:p>
        </w:tc>
        <w:tc>
          <w:tcPr>
            <w:tcW w:w="1133" w:type="dxa"/>
          </w:tcPr>
          <w:p w14:paraId="3D1C3D0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F5D13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0C6A6C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FFA2A5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104 </w:t>
            </w:r>
          </w:p>
        </w:tc>
        <w:tc>
          <w:tcPr>
            <w:tcW w:w="714" w:type="dxa"/>
          </w:tcPr>
          <w:p w14:paraId="4B372EF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F1167A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9C2A57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B53D09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97596B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F23688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$12,074 </w:t>
            </w:r>
          </w:p>
        </w:tc>
        <w:tc>
          <w:tcPr>
            <w:tcW w:w="1133" w:type="dxa"/>
          </w:tcPr>
          <w:p w14:paraId="1C6E0DE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51787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20FF73D" w14:textId="77777777" w:rsidTr="00F614B7">
        <w:tblPrEx>
          <w:tblCellMar>
            <w:left w:w="108" w:type="dxa"/>
            <w:right w:w="108" w:type="dxa"/>
          </w:tblCellMar>
        </w:tblPrEx>
        <w:trPr>
          <w:trHeight w:val="278"/>
        </w:trPr>
        <w:tc>
          <w:tcPr>
            <w:tcW w:w="1841" w:type="dxa"/>
          </w:tcPr>
          <w:p w14:paraId="4C1E00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360AC48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44</w:t>
            </w:r>
          </w:p>
        </w:tc>
        <w:tc>
          <w:tcPr>
            <w:tcW w:w="991" w:type="dxa"/>
          </w:tcPr>
          <w:p w14:paraId="5622570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103.5</w:t>
            </w:r>
          </w:p>
        </w:tc>
        <w:tc>
          <w:tcPr>
            <w:tcW w:w="1133" w:type="dxa"/>
          </w:tcPr>
          <w:p w14:paraId="7E721F5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12,152 </w:t>
            </w:r>
          </w:p>
        </w:tc>
        <w:tc>
          <w:tcPr>
            <w:tcW w:w="993" w:type="dxa"/>
          </w:tcPr>
          <w:p w14:paraId="7B28CDA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7666E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FA97DC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44A7F3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8FEADC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D5E8F5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$1,257,732 </w:t>
            </w:r>
          </w:p>
        </w:tc>
        <w:tc>
          <w:tcPr>
            <w:tcW w:w="994" w:type="dxa"/>
          </w:tcPr>
          <w:p w14:paraId="4FAE4F8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D2DD41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22E85B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DCBC39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D1AA3F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44D5BA3" w14:textId="77777777" w:rsidTr="00F614B7">
        <w:tblPrEx>
          <w:tblCellMar>
            <w:left w:w="108" w:type="dxa"/>
            <w:right w:w="108" w:type="dxa"/>
          </w:tblCellMar>
        </w:tblPrEx>
        <w:trPr>
          <w:trHeight w:val="278"/>
        </w:trPr>
        <w:tc>
          <w:tcPr>
            <w:tcW w:w="1841" w:type="dxa"/>
          </w:tcPr>
          <w:p w14:paraId="698CE32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5CF45E0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47</w:t>
            </w:r>
          </w:p>
        </w:tc>
        <w:tc>
          <w:tcPr>
            <w:tcW w:w="991" w:type="dxa"/>
          </w:tcPr>
          <w:p w14:paraId="25C76E0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128.95</w:t>
            </w:r>
          </w:p>
        </w:tc>
        <w:tc>
          <w:tcPr>
            <w:tcW w:w="1133" w:type="dxa"/>
          </w:tcPr>
          <w:p w14:paraId="6ED60E8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4F89CD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0A60D1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D50360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17 </w:t>
            </w:r>
          </w:p>
        </w:tc>
        <w:tc>
          <w:tcPr>
            <w:tcW w:w="714" w:type="dxa"/>
          </w:tcPr>
          <w:p w14:paraId="7935269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715973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255F8D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738E36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C785A8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034E54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$2,192 </w:t>
            </w:r>
          </w:p>
        </w:tc>
        <w:tc>
          <w:tcPr>
            <w:tcW w:w="1133" w:type="dxa"/>
          </w:tcPr>
          <w:p w14:paraId="784C832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A51198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9EEA6D4" w14:textId="77777777" w:rsidTr="00F614B7">
        <w:tblPrEx>
          <w:tblCellMar>
            <w:left w:w="108" w:type="dxa"/>
            <w:right w:w="108" w:type="dxa"/>
          </w:tblCellMar>
        </w:tblPrEx>
        <w:trPr>
          <w:trHeight w:val="278"/>
        </w:trPr>
        <w:tc>
          <w:tcPr>
            <w:tcW w:w="1841" w:type="dxa"/>
          </w:tcPr>
          <w:p w14:paraId="26C13E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 General Practitioner</w:t>
            </w:r>
          </w:p>
        </w:tc>
        <w:tc>
          <w:tcPr>
            <w:tcW w:w="707" w:type="dxa"/>
          </w:tcPr>
          <w:p w14:paraId="5E96F0B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51</w:t>
            </w:r>
          </w:p>
        </w:tc>
        <w:tc>
          <w:tcPr>
            <w:tcW w:w="991" w:type="dxa"/>
          </w:tcPr>
          <w:p w14:paraId="5F9DA3A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149.3</w:t>
            </w:r>
          </w:p>
        </w:tc>
        <w:tc>
          <w:tcPr>
            <w:tcW w:w="1133" w:type="dxa"/>
          </w:tcPr>
          <w:p w14:paraId="3D9C0B3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6673D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1A025E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7D9DFE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 </w:t>
            </w:r>
          </w:p>
        </w:tc>
        <w:tc>
          <w:tcPr>
            <w:tcW w:w="714" w:type="dxa"/>
          </w:tcPr>
          <w:p w14:paraId="5C6ED55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2FA53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869DA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FF471A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FBA065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E92013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$896 </w:t>
            </w:r>
          </w:p>
        </w:tc>
        <w:tc>
          <w:tcPr>
            <w:tcW w:w="1133" w:type="dxa"/>
          </w:tcPr>
          <w:p w14:paraId="124450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1C3A71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61CD8AE" w14:textId="77777777" w:rsidTr="00F614B7">
        <w:tblPrEx>
          <w:tblCellMar>
            <w:left w:w="108" w:type="dxa"/>
            <w:right w:w="108" w:type="dxa"/>
          </w:tblCellMar>
        </w:tblPrEx>
        <w:trPr>
          <w:trHeight w:val="278"/>
        </w:trPr>
        <w:tc>
          <w:tcPr>
            <w:tcW w:w="1841" w:type="dxa"/>
          </w:tcPr>
          <w:p w14:paraId="4382DBB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A11 After Hours</w:t>
            </w:r>
          </w:p>
        </w:tc>
        <w:tc>
          <w:tcPr>
            <w:tcW w:w="707" w:type="dxa"/>
          </w:tcPr>
          <w:p w14:paraId="0E331CD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597</w:t>
            </w:r>
          </w:p>
        </w:tc>
        <w:tc>
          <w:tcPr>
            <w:tcW w:w="991" w:type="dxa"/>
          </w:tcPr>
          <w:p w14:paraId="59E67AD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127.25</w:t>
            </w:r>
          </w:p>
        </w:tc>
        <w:tc>
          <w:tcPr>
            <w:tcW w:w="1133" w:type="dxa"/>
          </w:tcPr>
          <w:p w14:paraId="7A04357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E8322F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60 </w:t>
            </w:r>
          </w:p>
        </w:tc>
        <w:tc>
          <w:tcPr>
            <w:tcW w:w="992" w:type="dxa"/>
          </w:tcPr>
          <w:p w14:paraId="57E236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C4AF60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2CC54C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73DC92D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FFAC97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310501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$7,635 </w:t>
            </w:r>
          </w:p>
        </w:tc>
        <w:tc>
          <w:tcPr>
            <w:tcW w:w="993" w:type="dxa"/>
          </w:tcPr>
          <w:p w14:paraId="23DC9B0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6134493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DEA970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BAFE62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EB8923A" w14:textId="77777777" w:rsidTr="00F614B7">
        <w:tblPrEx>
          <w:tblCellMar>
            <w:left w:w="108" w:type="dxa"/>
            <w:right w:w="108" w:type="dxa"/>
          </w:tblCellMar>
        </w:tblPrEx>
        <w:trPr>
          <w:trHeight w:val="278"/>
        </w:trPr>
        <w:tc>
          <w:tcPr>
            <w:tcW w:w="1841" w:type="dxa"/>
          </w:tcPr>
          <w:p w14:paraId="5BB170B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A11 After Hours</w:t>
            </w:r>
          </w:p>
        </w:tc>
        <w:tc>
          <w:tcPr>
            <w:tcW w:w="707" w:type="dxa"/>
          </w:tcPr>
          <w:p w14:paraId="413EE13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598</w:t>
            </w:r>
          </w:p>
        </w:tc>
        <w:tc>
          <w:tcPr>
            <w:tcW w:w="991" w:type="dxa"/>
          </w:tcPr>
          <w:p w14:paraId="2453040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104.75</w:t>
            </w:r>
          </w:p>
        </w:tc>
        <w:tc>
          <w:tcPr>
            <w:tcW w:w="1133" w:type="dxa"/>
          </w:tcPr>
          <w:p w14:paraId="1FCE3C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5F346E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 </w:t>
            </w:r>
          </w:p>
        </w:tc>
        <w:tc>
          <w:tcPr>
            <w:tcW w:w="992" w:type="dxa"/>
          </w:tcPr>
          <w:p w14:paraId="20F2D37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EA68E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6B9DA7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2FF520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7FBFE4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956310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$733 </w:t>
            </w:r>
          </w:p>
        </w:tc>
        <w:tc>
          <w:tcPr>
            <w:tcW w:w="993" w:type="dxa"/>
          </w:tcPr>
          <w:p w14:paraId="4AA28C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8F945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DDA80F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291CE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5518DFF" w14:textId="77777777" w:rsidTr="00F614B7">
        <w:tblPrEx>
          <w:tblCellMar>
            <w:left w:w="108" w:type="dxa"/>
            <w:right w:w="108" w:type="dxa"/>
          </w:tblCellMar>
        </w:tblPrEx>
        <w:trPr>
          <w:trHeight w:val="278"/>
        </w:trPr>
        <w:tc>
          <w:tcPr>
            <w:tcW w:w="1841" w:type="dxa"/>
          </w:tcPr>
          <w:p w14:paraId="69CE94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A11 After Hours</w:t>
            </w:r>
          </w:p>
        </w:tc>
        <w:tc>
          <w:tcPr>
            <w:tcW w:w="707" w:type="dxa"/>
          </w:tcPr>
          <w:p w14:paraId="352800D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600</w:t>
            </w:r>
          </w:p>
        </w:tc>
        <w:tc>
          <w:tcPr>
            <w:tcW w:w="991" w:type="dxa"/>
          </w:tcPr>
          <w:p w14:paraId="5AB4D54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124.25</w:t>
            </w:r>
          </w:p>
        </w:tc>
        <w:tc>
          <w:tcPr>
            <w:tcW w:w="1133" w:type="dxa"/>
          </w:tcPr>
          <w:p w14:paraId="6665EB5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F02427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44BBE11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6B6E28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11D579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DB53FB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D5990B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010A7E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$124 </w:t>
            </w:r>
          </w:p>
        </w:tc>
        <w:tc>
          <w:tcPr>
            <w:tcW w:w="993" w:type="dxa"/>
          </w:tcPr>
          <w:p w14:paraId="3A05F50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196CD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144BFE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5825D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C79B299" w14:textId="77777777" w:rsidTr="00F614B7">
        <w:tblPrEx>
          <w:tblCellMar>
            <w:left w:w="108" w:type="dxa"/>
            <w:right w:w="108" w:type="dxa"/>
          </w:tblCellMar>
        </w:tblPrEx>
        <w:trPr>
          <w:trHeight w:val="278"/>
        </w:trPr>
        <w:tc>
          <w:tcPr>
            <w:tcW w:w="1841" w:type="dxa"/>
          </w:tcPr>
          <w:p w14:paraId="74C12D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A13 Public Health Physician Attendances</w:t>
            </w:r>
          </w:p>
        </w:tc>
        <w:tc>
          <w:tcPr>
            <w:tcW w:w="707" w:type="dxa"/>
          </w:tcPr>
          <w:p w14:paraId="32022EF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411</w:t>
            </w:r>
          </w:p>
        </w:tc>
        <w:tc>
          <w:tcPr>
            <w:tcW w:w="991" w:type="dxa"/>
          </w:tcPr>
          <w:p w14:paraId="18D0DA4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36.35</w:t>
            </w:r>
          </w:p>
        </w:tc>
        <w:tc>
          <w:tcPr>
            <w:tcW w:w="1133" w:type="dxa"/>
          </w:tcPr>
          <w:p w14:paraId="1F539FA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61FAD4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 </w:t>
            </w:r>
          </w:p>
        </w:tc>
        <w:tc>
          <w:tcPr>
            <w:tcW w:w="992" w:type="dxa"/>
          </w:tcPr>
          <w:p w14:paraId="6847EC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A56B33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B2682D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F76A3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563FDC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80C246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$400 </w:t>
            </w:r>
          </w:p>
        </w:tc>
        <w:tc>
          <w:tcPr>
            <w:tcW w:w="993" w:type="dxa"/>
          </w:tcPr>
          <w:p w14:paraId="64DD13C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04B9D8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FE6B8F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15246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1195717" w14:textId="77777777" w:rsidTr="00F614B7">
        <w:tblPrEx>
          <w:tblCellMar>
            <w:left w:w="108" w:type="dxa"/>
            <w:right w:w="108" w:type="dxa"/>
          </w:tblCellMar>
        </w:tblPrEx>
        <w:trPr>
          <w:trHeight w:val="278"/>
        </w:trPr>
        <w:tc>
          <w:tcPr>
            <w:tcW w:w="1841" w:type="dxa"/>
          </w:tcPr>
          <w:p w14:paraId="03C55F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A13 Public Health Physician Attendances</w:t>
            </w:r>
          </w:p>
        </w:tc>
        <w:tc>
          <w:tcPr>
            <w:tcW w:w="707" w:type="dxa"/>
          </w:tcPr>
          <w:p w14:paraId="45FC6C2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412</w:t>
            </w:r>
          </w:p>
        </w:tc>
        <w:tc>
          <w:tcPr>
            <w:tcW w:w="991" w:type="dxa"/>
          </w:tcPr>
          <w:p w14:paraId="7FCE8C4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31E7834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9A37FA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81 </w:t>
            </w:r>
          </w:p>
        </w:tc>
        <w:tc>
          <w:tcPr>
            <w:tcW w:w="992" w:type="dxa"/>
          </w:tcPr>
          <w:p w14:paraId="3065DDA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EF40B6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3675F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FCDDB6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76674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0A2790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$5,694 </w:t>
            </w:r>
          </w:p>
        </w:tc>
        <w:tc>
          <w:tcPr>
            <w:tcW w:w="993" w:type="dxa"/>
          </w:tcPr>
          <w:p w14:paraId="7409019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88DE83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712C24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5B3E30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E2F6D8D" w14:textId="77777777" w:rsidTr="00F614B7">
        <w:tblPrEx>
          <w:tblCellMar>
            <w:left w:w="108" w:type="dxa"/>
            <w:right w:w="108" w:type="dxa"/>
          </w:tblCellMar>
        </w:tblPrEx>
        <w:trPr>
          <w:trHeight w:val="278"/>
        </w:trPr>
        <w:tc>
          <w:tcPr>
            <w:tcW w:w="1841" w:type="dxa"/>
          </w:tcPr>
          <w:p w14:paraId="642ED52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A13 Public Health Physician Attendances</w:t>
            </w:r>
          </w:p>
        </w:tc>
        <w:tc>
          <w:tcPr>
            <w:tcW w:w="707" w:type="dxa"/>
          </w:tcPr>
          <w:p w14:paraId="73B37A0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413</w:t>
            </w:r>
          </w:p>
        </w:tc>
        <w:tc>
          <w:tcPr>
            <w:tcW w:w="991" w:type="dxa"/>
          </w:tcPr>
          <w:p w14:paraId="475C4D7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103.45</w:t>
            </w:r>
          </w:p>
        </w:tc>
        <w:tc>
          <w:tcPr>
            <w:tcW w:w="1133" w:type="dxa"/>
          </w:tcPr>
          <w:p w14:paraId="3B154EB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B796C9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117 </w:t>
            </w:r>
          </w:p>
        </w:tc>
        <w:tc>
          <w:tcPr>
            <w:tcW w:w="992" w:type="dxa"/>
          </w:tcPr>
          <w:p w14:paraId="3C47B9D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6B156E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C5FC80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18A059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70569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5B3899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$12,104 </w:t>
            </w:r>
          </w:p>
        </w:tc>
        <w:tc>
          <w:tcPr>
            <w:tcW w:w="993" w:type="dxa"/>
          </w:tcPr>
          <w:p w14:paraId="23B2E56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117535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6E4BAD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FE0627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60F92EA" w14:textId="77777777" w:rsidTr="00F614B7">
        <w:tblPrEx>
          <w:tblCellMar>
            <w:left w:w="108" w:type="dxa"/>
            <w:right w:w="108" w:type="dxa"/>
          </w:tblCellMar>
        </w:tblPrEx>
        <w:trPr>
          <w:trHeight w:val="278"/>
        </w:trPr>
        <w:tc>
          <w:tcPr>
            <w:tcW w:w="1841" w:type="dxa"/>
          </w:tcPr>
          <w:p w14:paraId="3C8AA06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A14 Health Assessments</w:t>
            </w:r>
          </w:p>
        </w:tc>
        <w:tc>
          <w:tcPr>
            <w:tcW w:w="707" w:type="dxa"/>
          </w:tcPr>
          <w:p w14:paraId="2D39462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701</w:t>
            </w:r>
          </w:p>
        </w:tc>
        <w:tc>
          <w:tcPr>
            <w:tcW w:w="991" w:type="dxa"/>
          </w:tcPr>
          <w:p w14:paraId="0944DD6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58.2</w:t>
            </w:r>
          </w:p>
        </w:tc>
        <w:tc>
          <w:tcPr>
            <w:tcW w:w="1133" w:type="dxa"/>
          </w:tcPr>
          <w:p w14:paraId="31EE515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EB46F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B2BE76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20 </w:t>
            </w:r>
          </w:p>
        </w:tc>
        <w:tc>
          <w:tcPr>
            <w:tcW w:w="992" w:type="dxa"/>
          </w:tcPr>
          <w:p w14:paraId="2E58574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E19B70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B8F7F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B0CEAE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99D936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D2D130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$1,164 </w:t>
            </w:r>
          </w:p>
        </w:tc>
        <w:tc>
          <w:tcPr>
            <w:tcW w:w="850" w:type="dxa"/>
          </w:tcPr>
          <w:p w14:paraId="153F3B3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5CED69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B0B28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5ADA371" w14:textId="77777777" w:rsidTr="00F614B7">
        <w:tblPrEx>
          <w:tblCellMar>
            <w:left w:w="108" w:type="dxa"/>
            <w:right w:w="108" w:type="dxa"/>
          </w:tblCellMar>
        </w:tblPrEx>
        <w:trPr>
          <w:trHeight w:val="278"/>
        </w:trPr>
        <w:tc>
          <w:tcPr>
            <w:tcW w:w="1841" w:type="dxa"/>
          </w:tcPr>
          <w:p w14:paraId="2E8410C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A14 Health Assessments</w:t>
            </w:r>
          </w:p>
        </w:tc>
        <w:tc>
          <w:tcPr>
            <w:tcW w:w="707" w:type="dxa"/>
          </w:tcPr>
          <w:p w14:paraId="1B852A4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991" w:type="dxa"/>
          </w:tcPr>
          <w:p w14:paraId="5EB3497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135.2</w:t>
            </w:r>
          </w:p>
        </w:tc>
        <w:tc>
          <w:tcPr>
            <w:tcW w:w="1133" w:type="dxa"/>
          </w:tcPr>
          <w:p w14:paraId="1F16677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98C4F7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6D27A0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88 </w:t>
            </w:r>
          </w:p>
        </w:tc>
        <w:tc>
          <w:tcPr>
            <w:tcW w:w="992" w:type="dxa"/>
          </w:tcPr>
          <w:p w14:paraId="639F3B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EA92E8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B6AAB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641A7F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FD5623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8255D0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$11,898 </w:t>
            </w:r>
          </w:p>
        </w:tc>
        <w:tc>
          <w:tcPr>
            <w:tcW w:w="850" w:type="dxa"/>
          </w:tcPr>
          <w:p w14:paraId="5C6DA95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606F88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4791F2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57A417F" w14:textId="77777777" w:rsidTr="00F614B7">
        <w:tblPrEx>
          <w:tblCellMar>
            <w:left w:w="108" w:type="dxa"/>
            <w:right w:w="108" w:type="dxa"/>
          </w:tblCellMar>
        </w:tblPrEx>
        <w:trPr>
          <w:trHeight w:val="278"/>
        </w:trPr>
        <w:tc>
          <w:tcPr>
            <w:tcW w:w="1841" w:type="dxa"/>
          </w:tcPr>
          <w:p w14:paraId="6163F2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A14 Health Assessments</w:t>
            </w:r>
          </w:p>
        </w:tc>
        <w:tc>
          <w:tcPr>
            <w:tcW w:w="707" w:type="dxa"/>
          </w:tcPr>
          <w:p w14:paraId="525456E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705</w:t>
            </w:r>
          </w:p>
        </w:tc>
        <w:tc>
          <w:tcPr>
            <w:tcW w:w="991" w:type="dxa"/>
          </w:tcPr>
          <w:p w14:paraId="0896ECA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186.55</w:t>
            </w:r>
          </w:p>
        </w:tc>
        <w:tc>
          <w:tcPr>
            <w:tcW w:w="1133" w:type="dxa"/>
          </w:tcPr>
          <w:p w14:paraId="2102A65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DB4AE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785FD0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33 </w:t>
            </w:r>
          </w:p>
        </w:tc>
        <w:tc>
          <w:tcPr>
            <w:tcW w:w="992" w:type="dxa"/>
          </w:tcPr>
          <w:p w14:paraId="0A4869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70923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4B3034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292652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53F94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334FFD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$6,156 </w:t>
            </w:r>
          </w:p>
        </w:tc>
        <w:tc>
          <w:tcPr>
            <w:tcW w:w="850" w:type="dxa"/>
          </w:tcPr>
          <w:p w14:paraId="4348770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E0A6A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0A999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AF763F1" w14:textId="77777777" w:rsidTr="00F614B7">
        <w:tblPrEx>
          <w:tblCellMar>
            <w:left w:w="108" w:type="dxa"/>
            <w:right w:w="108" w:type="dxa"/>
          </w:tblCellMar>
        </w:tblPrEx>
        <w:trPr>
          <w:trHeight w:val="278"/>
        </w:trPr>
        <w:tc>
          <w:tcPr>
            <w:tcW w:w="1841" w:type="dxa"/>
          </w:tcPr>
          <w:p w14:paraId="3E2F53F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A14 Health Assessments</w:t>
            </w:r>
          </w:p>
        </w:tc>
        <w:tc>
          <w:tcPr>
            <w:tcW w:w="707" w:type="dxa"/>
          </w:tcPr>
          <w:p w14:paraId="38B5243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707</w:t>
            </w:r>
          </w:p>
        </w:tc>
        <w:tc>
          <w:tcPr>
            <w:tcW w:w="991" w:type="dxa"/>
          </w:tcPr>
          <w:p w14:paraId="183B721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263.55</w:t>
            </w:r>
          </w:p>
        </w:tc>
        <w:tc>
          <w:tcPr>
            <w:tcW w:w="1133" w:type="dxa"/>
          </w:tcPr>
          <w:p w14:paraId="3B952FA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551FC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54504E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90 </w:t>
            </w:r>
          </w:p>
        </w:tc>
        <w:tc>
          <w:tcPr>
            <w:tcW w:w="992" w:type="dxa"/>
          </w:tcPr>
          <w:p w14:paraId="13D9B34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1BEE4A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35700A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BC02D8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69E81D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9E8A02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$23,720 </w:t>
            </w:r>
          </w:p>
        </w:tc>
        <w:tc>
          <w:tcPr>
            <w:tcW w:w="850" w:type="dxa"/>
          </w:tcPr>
          <w:p w14:paraId="3C54B9B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966124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BD8E5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9E71295" w14:textId="77777777" w:rsidTr="00F614B7">
        <w:tblPrEx>
          <w:tblCellMar>
            <w:left w:w="108" w:type="dxa"/>
            <w:right w:w="108" w:type="dxa"/>
          </w:tblCellMar>
        </w:tblPrEx>
        <w:trPr>
          <w:trHeight w:val="278"/>
        </w:trPr>
        <w:tc>
          <w:tcPr>
            <w:tcW w:w="1841" w:type="dxa"/>
          </w:tcPr>
          <w:p w14:paraId="0FC1FCC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A14 Health Assessments</w:t>
            </w:r>
          </w:p>
        </w:tc>
        <w:tc>
          <w:tcPr>
            <w:tcW w:w="707" w:type="dxa"/>
          </w:tcPr>
          <w:p w14:paraId="200B2B2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715</w:t>
            </w:r>
          </w:p>
        </w:tc>
        <w:tc>
          <w:tcPr>
            <w:tcW w:w="991" w:type="dxa"/>
          </w:tcPr>
          <w:p w14:paraId="6783F86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208.1</w:t>
            </w:r>
          </w:p>
        </w:tc>
        <w:tc>
          <w:tcPr>
            <w:tcW w:w="1133" w:type="dxa"/>
          </w:tcPr>
          <w:p w14:paraId="4CDD2A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BB3B12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7A1459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98 </w:t>
            </w:r>
          </w:p>
        </w:tc>
        <w:tc>
          <w:tcPr>
            <w:tcW w:w="992" w:type="dxa"/>
          </w:tcPr>
          <w:p w14:paraId="20F8AD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F2B48D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A966A8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78076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65C9E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A48DA9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$20,394 </w:t>
            </w:r>
          </w:p>
        </w:tc>
        <w:tc>
          <w:tcPr>
            <w:tcW w:w="850" w:type="dxa"/>
          </w:tcPr>
          <w:p w14:paraId="17F7729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AF384C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B39F7E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9959647" w14:textId="77777777" w:rsidTr="00F614B7">
        <w:tblPrEx>
          <w:tblCellMar>
            <w:left w:w="108" w:type="dxa"/>
            <w:right w:w="108" w:type="dxa"/>
          </w:tblCellMar>
        </w:tblPrEx>
        <w:trPr>
          <w:trHeight w:val="278"/>
        </w:trPr>
        <w:tc>
          <w:tcPr>
            <w:tcW w:w="1841" w:type="dxa"/>
          </w:tcPr>
          <w:p w14:paraId="70C0BF8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2D80C9B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721</w:t>
            </w:r>
          </w:p>
        </w:tc>
        <w:tc>
          <w:tcPr>
            <w:tcW w:w="991" w:type="dxa"/>
          </w:tcPr>
          <w:p w14:paraId="40C6DDA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141.4</w:t>
            </w:r>
          </w:p>
        </w:tc>
        <w:tc>
          <w:tcPr>
            <w:tcW w:w="1133" w:type="dxa"/>
          </w:tcPr>
          <w:p w14:paraId="283117C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E6AAA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D151B5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DC7267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C1A48E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4,172 </w:t>
            </w:r>
          </w:p>
        </w:tc>
        <w:tc>
          <w:tcPr>
            <w:tcW w:w="707" w:type="dxa"/>
          </w:tcPr>
          <w:p w14:paraId="076B21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3E2C1B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D2E2AF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F3373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3EB047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A17A3B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$589,921 </w:t>
            </w:r>
          </w:p>
        </w:tc>
        <w:tc>
          <w:tcPr>
            <w:tcW w:w="1133" w:type="dxa"/>
          </w:tcPr>
          <w:p w14:paraId="67F0BD2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D49A353" w14:textId="77777777" w:rsidTr="00F614B7">
        <w:tblPrEx>
          <w:tblCellMar>
            <w:left w:w="108" w:type="dxa"/>
            <w:right w:w="108" w:type="dxa"/>
          </w:tblCellMar>
        </w:tblPrEx>
        <w:trPr>
          <w:trHeight w:val="278"/>
        </w:trPr>
        <w:tc>
          <w:tcPr>
            <w:tcW w:w="1841" w:type="dxa"/>
          </w:tcPr>
          <w:p w14:paraId="1AB2E71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5C58AAF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723</w:t>
            </w:r>
          </w:p>
        </w:tc>
        <w:tc>
          <w:tcPr>
            <w:tcW w:w="991" w:type="dxa"/>
          </w:tcPr>
          <w:p w14:paraId="50A3630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112.05</w:t>
            </w:r>
          </w:p>
        </w:tc>
        <w:tc>
          <w:tcPr>
            <w:tcW w:w="1133" w:type="dxa"/>
          </w:tcPr>
          <w:p w14:paraId="271ADE3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CCB68D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282459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AB590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27EBAC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2,666 </w:t>
            </w:r>
          </w:p>
        </w:tc>
        <w:tc>
          <w:tcPr>
            <w:tcW w:w="707" w:type="dxa"/>
          </w:tcPr>
          <w:p w14:paraId="42CFC0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720888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622029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1CA8ED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2D666E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636B0D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$298,725 </w:t>
            </w:r>
          </w:p>
        </w:tc>
        <w:tc>
          <w:tcPr>
            <w:tcW w:w="1133" w:type="dxa"/>
          </w:tcPr>
          <w:p w14:paraId="4B2B0AC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77B0A39" w14:textId="77777777" w:rsidTr="00F614B7">
        <w:tblPrEx>
          <w:tblCellMar>
            <w:left w:w="108" w:type="dxa"/>
            <w:right w:w="108" w:type="dxa"/>
          </w:tblCellMar>
        </w:tblPrEx>
        <w:trPr>
          <w:trHeight w:val="278"/>
        </w:trPr>
        <w:tc>
          <w:tcPr>
            <w:tcW w:w="1841" w:type="dxa"/>
          </w:tcPr>
          <w:p w14:paraId="1D0B8C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A15 Multidisciplinary Care Plans and Case </w:t>
            </w:r>
            <w:r w:rsidRPr="00720E20">
              <w:rPr>
                <w:rFonts w:ascii="Arial Narrow" w:hAnsi="Arial Narrow" w:cs="Calibri"/>
                <w:color w:val="000000"/>
                <w:sz w:val="18"/>
                <w:szCs w:val="18"/>
                <w:lang w:val="en-US" w:eastAsia="en-AU"/>
              </w:rPr>
              <w:lastRenderedPageBreak/>
              <w:t>Conferences</w:t>
            </w:r>
          </w:p>
        </w:tc>
        <w:tc>
          <w:tcPr>
            <w:tcW w:w="707" w:type="dxa"/>
          </w:tcPr>
          <w:p w14:paraId="5F2C4D4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731</w:t>
            </w:r>
          </w:p>
        </w:tc>
        <w:tc>
          <w:tcPr>
            <w:tcW w:w="991" w:type="dxa"/>
          </w:tcPr>
          <w:p w14:paraId="419C88C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69</w:t>
            </w:r>
          </w:p>
        </w:tc>
        <w:tc>
          <w:tcPr>
            <w:tcW w:w="1133" w:type="dxa"/>
          </w:tcPr>
          <w:p w14:paraId="2D39510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AE56B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E4AB93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3AF19C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F7C37F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 </w:t>
            </w:r>
          </w:p>
        </w:tc>
        <w:tc>
          <w:tcPr>
            <w:tcW w:w="707" w:type="dxa"/>
          </w:tcPr>
          <w:p w14:paraId="3B7AD3D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21CECC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AB3EDF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3BE44E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5660FA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77393A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$621 </w:t>
            </w:r>
          </w:p>
        </w:tc>
        <w:tc>
          <w:tcPr>
            <w:tcW w:w="1133" w:type="dxa"/>
          </w:tcPr>
          <w:p w14:paraId="57F4054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73B0FD0" w14:textId="77777777" w:rsidTr="00F614B7">
        <w:tblPrEx>
          <w:tblCellMar>
            <w:left w:w="108" w:type="dxa"/>
            <w:right w:w="108" w:type="dxa"/>
          </w:tblCellMar>
        </w:tblPrEx>
        <w:trPr>
          <w:trHeight w:val="278"/>
        </w:trPr>
        <w:tc>
          <w:tcPr>
            <w:tcW w:w="1841" w:type="dxa"/>
          </w:tcPr>
          <w:p w14:paraId="5644049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A15 Multidisciplinary Care Plans and Case Conferences</w:t>
            </w:r>
          </w:p>
        </w:tc>
        <w:tc>
          <w:tcPr>
            <w:tcW w:w="707" w:type="dxa"/>
          </w:tcPr>
          <w:p w14:paraId="0A713DE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732</w:t>
            </w:r>
          </w:p>
        </w:tc>
        <w:tc>
          <w:tcPr>
            <w:tcW w:w="991" w:type="dxa"/>
          </w:tcPr>
          <w:p w14:paraId="35604BA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70.65</w:t>
            </w:r>
          </w:p>
        </w:tc>
        <w:tc>
          <w:tcPr>
            <w:tcW w:w="1133" w:type="dxa"/>
          </w:tcPr>
          <w:p w14:paraId="4A42971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7AA1B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3EA09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469E7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DF25AE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6,726 </w:t>
            </w:r>
          </w:p>
        </w:tc>
        <w:tc>
          <w:tcPr>
            <w:tcW w:w="707" w:type="dxa"/>
          </w:tcPr>
          <w:p w14:paraId="5595ABB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9E9E2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CACB3F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881113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A7EB9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AA4545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$475,192 </w:t>
            </w:r>
          </w:p>
        </w:tc>
        <w:tc>
          <w:tcPr>
            <w:tcW w:w="1133" w:type="dxa"/>
          </w:tcPr>
          <w:p w14:paraId="6D447B4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FA7C87C" w14:textId="77777777" w:rsidTr="00F614B7">
        <w:tblPrEx>
          <w:tblCellMar>
            <w:left w:w="108" w:type="dxa"/>
            <w:right w:w="108" w:type="dxa"/>
          </w:tblCellMar>
        </w:tblPrEx>
        <w:trPr>
          <w:trHeight w:val="278"/>
        </w:trPr>
        <w:tc>
          <w:tcPr>
            <w:tcW w:w="1841" w:type="dxa"/>
          </w:tcPr>
          <w:p w14:paraId="2FDA8C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6E4C368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735</w:t>
            </w:r>
          </w:p>
        </w:tc>
        <w:tc>
          <w:tcPr>
            <w:tcW w:w="991" w:type="dxa"/>
          </w:tcPr>
          <w:p w14:paraId="7CD3DB4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69.25</w:t>
            </w:r>
          </w:p>
        </w:tc>
        <w:tc>
          <w:tcPr>
            <w:tcW w:w="1133" w:type="dxa"/>
          </w:tcPr>
          <w:p w14:paraId="66916DF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43592B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649A6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27DF10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4955D1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308 </w:t>
            </w:r>
          </w:p>
        </w:tc>
        <w:tc>
          <w:tcPr>
            <w:tcW w:w="707" w:type="dxa"/>
          </w:tcPr>
          <w:p w14:paraId="7120D4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3949FC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7C334F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6D2E7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40BE7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7CD0E9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$21,329 </w:t>
            </w:r>
          </w:p>
        </w:tc>
        <w:tc>
          <w:tcPr>
            <w:tcW w:w="1133" w:type="dxa"/>
          </w:tcPr>
          <w:p w14:paraId="70B4B59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26E43B3" w14:textId="77777777" w:rsidTr="00F614B7">
        <w:tblPrEx>
          <w:tblCellMar>
            <w:left w:w="108" w:type="dxa"/>
            <w:right w:w="108" w:type="dxa"/>
          </w:tblCellMar>
        </w:tblPrEx>
        <w:trPr>
          <w:trHeight w:val="278"/>
        </w:trPr>
        <w:tc>
          <w:tcPr>
            <w:tcW w:w="1841" w:type="dxa"/>
          </w:tcPr>
          <w:p w14:paraId="42C31A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51DBCDE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739</w:t>
            </w:r>
          </w:p>
        </w:tc>
        <w:tc>
          <w:tcPr>
            <w:tcW w:w="991" w:type="dxa"/>
          </w:tcPr>
          <w:p w14:paraId="7877F6D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118.6</w:t>
            </w:r>
          </w:p>
        </w:tc>
        <w:tc>
          <w:tcPr>
            <w:tcW w:w="1133" w:type="dxa"/>
          </w:tcPr>
          <w:p w14:paraId="2D460FC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3D7B4B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53D64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F4BBB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777471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62 </w:t>
            </w:r>
          </w:p>
        </w:tc>
        <w:tc>
          <w:tcPr>
            <w:tcW w:w="707" w:type="dxa"/>
          </w:tcPr>
          <w:p w14:paraId="65EE9B4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DC740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00B85F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51F903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66EBE0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204DF0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$7,353 </w:t>
            </w:r>
          </w:p>
        </w:tc>
        <w:tc>
          <w:tcPr>
            <w:tcW w:w="1133" w:type="dxa"/>
          </w:tcPr>
          <w:p w14:paraId="0FED6C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566D3A0" w14:textId="77777777" w:rsidTr="00F614B7">
        <w:tblPrEx>
          <w:tblCellMar>
            <w:left w:w="108" w:type="dxa"/>
            <w:right w:w="108" w:type="dxa"/>
          </w:tblCellMar>
        </w:tblPrEx>
        <w:trPr>
          <w:trHeight w:val="278"/>
        </w:trPr>
        <w:tc>
          <w:tcPr>
            <w:tcW w:w="1841" w:type="dxa"/>
          </w:tcPr>
          <w:p w14:paraId="7B27EC4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459FB60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743</w:t>
            </w:r>
          </w:p>
        </w:tc>
        <w:tc>
          <w:tcPr>
            <w:tcW w:w="991" w:type="dxa"/>
          </w:tcPr>
          <w:p w14:paraId="1B1830B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197.7</w:t>
            </w:r>
          </w:p>
        </w:tc>
        <w:tc>
          <w:tcPr>
            <w:tcW w:w="1133" w:type="dxa"/>
          </w:tcPr>
          <w:p w14:paraId="0A10EEF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6AB319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09A8E3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44E2FA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6867CB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707" w:type="dxa"/>
          </w:tcPr>
          <w:p w14:paraId="606C80E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D991B3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5B6FBC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7E4F9F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6569D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3EABB2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$198 </w:t>
            </w:r>
          </w:p>
        </w:tc>
        <w:tc>
          <w:tcPr>
            <w:tcW w:w="1133" w:type="dxa"/>
          </w:tcPr>
          <w:p w14:paraId="4F19A1F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6D2957EF" w14:textId="77777777" w:rsidTr="00F614B7">
        <w:tblPrEx>
          <w:tblCellMar>
            <w:left w:w="108" w:type="dxa"/>
            <w:right w:w="108" w:type="dxa"/>
          </w:tblCellMar>
        </w:tblPrEx>
        <w:trPr>
          <w:trHeight w:val="278"/>
        </w:trPr>
        <w:tc>
          <w:tcPr>
            <w:tcW w:w="1841" w:type="dxa"/>
          </w:tcPr>
          <w:p w14:paraId="74D16DA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21677E6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747</w:t>
            </w:r>
          </w:p>
        </w:tc>
        <w:tc>
          <w:tcPr>
            <w:tcW w:w="991" w:type="dxa"/>
          </w:tcPr>
          <w:p w14:paraId="1A69D34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50.9</w:t>
            </w:r>
          </w:p>
        </w:tc>
        <w:tc>
          <w:tcPr>
            <w:tcW w:w="1133" w:type="dxa"/>
          </w:tcPr>
          <w:p w14:paraId="68DAD65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E5D53A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D5FAA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A161ED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DAB405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38 </w:t>
            </w:r>
          </w:p>
        </w:tc>
        <w:tc>
          <w:tcPr>
            <w:tcW w:w="707" w:type="dxa"/>
          </w:tcPr>
          <w:p w14:paraId="5DD0B9C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B72DAB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03E2BE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C27DD7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0680B4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2847B1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$1,934 </w:t>
            </w:r>
          </w:p>
        </w:tc>
        <w:tc>
          <w:tcPr>
            <w:tcW w:w="1133" w:type="dxa"/>
          </w:tcPr>
          <w:p w14:paraId="5F73810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85DB783" w14:textId="77777777" w:rsidTr="00F614B7">
        <w:tblPrEx>
          <w:tblCellMar>
            <w:left w:w="108" w:type="dxa"/>
            <w:right w:w="108" w:type="dxa"/>
          </w:tblCellMar>
        </w:tblPrEx>
        <w:trPr>
          <w:trHeight w:val="278"/>
        </w:trPr>
        <w:tc>
          <w:tcPr>
            <w:tcW w:w="1841" w:type="dxa"/>
          </w:tcPr>
          <w:p w14:paraId="661F51B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5A8F279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750</w:t>
            </w:r>
          </w:p>
        </w:tc>
        <w:tc>
          <w:tcPr>
            <w:tcW w:w="991" w:type="dxa"/>
          </w:tcPr>
          <w:p w14:paraId="40EF59B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87.25</w:t>
            </w:r>
          </w:p>
        </w:tc>
        <w:tc>
          <w:tcPr>
            <w:tcW w:w="1133" w:type="dxa"/>
          </w:tcPr>
          <w:p w14:paraId="3952D89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A4B06E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B545F5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ED9CE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4DC1B1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 </w:t>
            </w:r>
          </w:p>
        </w:tc>
        <w:tc>
          <w:tcPr>
            <w:tcW w:w="707" w:type="dxa"/>
          </w:tcPr>
          <w:p w14:paraId="2B09498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E56B50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F6AD5F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09EF5B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D46367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9A549A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$175 </w:t>
            </w:r>
          </w:p>
        </w:tc>
        <w:tc>
          <w:tcPr>
            <w:tcW w:w="1133" w:type="dxa"/>
          </w:tcPr>
          <w:p w14:paraId="5507694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3BAE59D" w14:textId="77777777" w:rsidTr="00F614B7">
        <w:tblPrEx>
          <w:tblCellMar>
            <w:left w:w="108" w:type="dxa"/>
            <w:right w:w="108" w:type="dxa"/>
          </w:tblCellMar>
        </w:tblPrEx>
        <w:trPr>
          <w:trHeight w:val="278"/>
        </w:trPr>
        <w:tc>
          <w:tcPr>
            <w:tcW w:w="1841" w:type="dxa"/>
          </w:tcPr>
          <w:p w14:paraId="5E55C85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1BF3DB2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758</w:t>
            </w:r>
          </w:p>
        </w:tc>
        <w:tc>
          <w:tcPr>
            <w:tcW w:w="991" w:type="dxa"/>
          </w:tcPr>
          <w:p w14:paraId="752BDC7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145.3</w:t>
            </w:r>
          </w:p>
        </w:tc>
        <w:tc>
          <w:tcPr>
            <w:tcW w:w="1133" w:type="dxa"/>
          </w:tcPr>
          <w:p w14:paraId="2EB64F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3035C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306054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90443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3AD3AE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 </w:t>
            </w:r>
          </w:p>
        </w:tc>
        <w:tc>
          <w:tcPr>
            <w:tcW w:w="707" w:type="dxa"/>
          </w:tcPr>
          <w:p w14:paraId="47BA59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30102E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68D9B55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30E4E0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6D5303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BA6E87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$291 </w:t>
            </w:r>
          </w:p>
        </w:tc>
        <w:tc>
          <w:tcPr>
            <w:tcW w:w="1133" w:type="dxa"/>
          </w:tcPr>
          <w:p w14:paraId="5D305F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3D22B77" w14:textId="77777777" w:rsidTr="00F614B7">
        <w:tblPrEx>
          <w:tblCellMar>
            <w:left w:w="108" w:type="dxa"/>
            <w:right w:w="108" w:type="dxa"/>
          </w:tblCellMar>
        </w:tblPrEx>
        <w:trPr>
          <w:trHeight w:val="278"/>
        </w:trPr>
        <w:tc>
          <w:tcPr>
            <w:tcW w:w="1841" w:type="dxa"/>
          </w:tcPr>
          <w:p w14:paraId="54078FD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4126738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820</w:t>
            </w:r>
          </w:p>
        </w:tc>
        <w:tc>
          <w:tcPr>
            <w:tcW w:w="991" w:type="dxa"/>
          </w:tcPr>
          <w:p w14:paraId="7B2B4AB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118.25</w:t>
            </w:r>
          </w:p>
        </w:tc>
        <w:tc>
          <w:tcPr>
            <w:tcW w:w="1133" w:type="dxa"/>
          </w:tcPr>
          <w:p w14:paraId="46DD9F8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F3CCFA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AF852C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38C6CD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D38580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 </w:t>
            </w:r>
          </w:p>
        </w:tc>
        <w:tc>
          <w:tcPr>
            <w:tcW w:w="707" w:type="dxa"/>
          </w:tcPr>
          <w:p w14:paraId="75971D2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14541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8E2FC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7032BD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FB5D88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E3FC14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$1,419 </w:t>
            </w:r>
          </w:p>
        </w:tc>
        <w:tc>
          <w:tcPr>
            <w:tcW w:w="1133" w:type="dxa"/>
          </w:tcPr>
          <w:p w14:paraId="1EE78B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1B3FA25" w14:textId="77777777" w:rsidTr="00F614B7">
        <w:tblPrEx>
          <w:tblCellMar>
            <w:left w:w="108" w:type="dxa"/>
            <w:right w:w="108" w:type="dxa"/>
          </w:tblCellMar>
        </w:tblPrEx>
        <w:trPr>
          <w:trHeight w:val="278"/>
        </w:trPr>
        <w:tc>
          <w:tcPr>
            <w:tcW w:w="1841" w:type="dxa"/>
          </w:tcPr>
          <w:p w14:paraId="20DA34F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A15 Multidisciplinary Care Plans and Case Conferences</w:t>
            </w:r>
          </w:p>
        </w:tc>
        <w:tc>
          <w:tcPr>
            <w:tcW w:w="707" w:type="dxa"/>
          </w:tcPr>
          <w:p w14:paraId="6E2EE58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830</w:t>
            </w:r>
          </w:p>
        </w:tc>
        <w:tc>
          <w:tcPr>
            <w:tcW w:w="991" w:type="dxa"/>
          </w:tcPr>
          <w:p w14:paraId="182891A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118.25</w:t>
            </w:r>
          </w:p>
        </w:tc>
        <w:tc>
          <w:tcPr>
            <w:tcW w:w="1133" w:type="dxa"/>
          </w:tcPr>
          <w:p w14:paraId="6767DE2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6C3348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9C2B9C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E5E74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8AE886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 </w:t>
            </w:r>
          </w:p>
        </w:tc>
        <w:tc>
          <w:tcPr>
            <w:tcW w:w="707" w:type="dxa"/>
          </w:tcPr>
          <w:p w14:paraId="4AB2DD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AE0108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0E6470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D3EF44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32D94B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6AE28F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$1,656 </w:t>
            </w:r>
          </w:p>
        </w:tc>
        <w:tc>
          <w:tcPr>
            <w:tcW w:w="1133" w:type="dxa"/>
          </w:tcPr>
          <w:p w14:paraId="0265427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650B9DF" w14:textId="77777777" w:rsidTr="00F614B7">
        <w:tblPrEx>
          <w:tblCellMar>
            <w:left w:w="108" w:type="dxa"/>
            <w:right w:w="108" w:type="dxa"/>
          </w:tblCellMar>
        </w:tblPrEx>
        <w:trPr>
          <w:trHeight w:val="278"/>
        </w:trPr>
        <w:tc>
          <w:tcPr>
            <w:tcW w:w="1841" w:type="dxa"/>
          </w:tcPr>
          <w:p w14:paraId="70901D4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63C03AB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871</w:t>
            </w:r>
          </w:p>
        </w:tc>
        <w:tc>
          <w:tcPr>
            <w:tcW w:w="991" w:type="dxa"/>
          </w:tcPr>
          <w:p w14:paraId="6098DEC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68.3</w:t>
            </w:r>
          </w:p>
        </w:tc>
        <w:tc>
          <w:tcPr>
            <w:tcW w:w="1133" w:type="dxa"/>
          </w:tcPr>
          <w:p w14:paraId="63A7A53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17A849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43DDC5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439D72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9FF06A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 </w:t>
            </w:r>
          </w:p>
        </w:tc>
        <w:tc>
          <w:tcPr>
            <w:tcW w:w="707" w:type="dxa"/>
          </w:tcPr>
          <w:p w14:paraId="17AFCDB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E7418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6EA83E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DD399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9B86A8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2DAD4A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$137 </w:t>
            </w:r>
          </w:p>
        </w:tc>
        <w:tc>
          <w:tcPr>
            <w:tcW w:w="1133" w:type="dxa"/>
          </w:tcPr>
          <w:p w14:paraId="501D7CF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6F5BB88" w14:textId="77777777" w:rsidTr="00F614B7">
        <w:tblPrEx>
          <w:tblCellMar>
            <w:left w:w="108" w:type="dxa"/>
            <w:right w:w="108" w:type="dxa"/>
          </w:tblCellMar>
        </w:tblPrEx>
        <w:trPr>
          <w:trHeight w:val="278"/>
        </w:trPr>
        <w:tc>
          <w:tcPr>
            <w:tcW w:w="1841" w:type="dxa"/>
          </w:tcPr>
          <w:p w14:paraId="31F7703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A15 Multidisciplinary Care Plans and Case Conferences</w:t>
            </w:r>
          </w:p>
        </w:tc>
        <w:tc>
          <w:tcPr>
            <w:tcW w:w="707" w:type="dxa"/>
          </w:tcPr>
          <w:p w14:paraId="7C97A28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872</w:t>
            </w:r>
          </w:p>
        </w:tc>
        <w:tc>
          <w:tcPr>
            <w:tcW w:w="991" w:type="dxa"/>
          </w:tcPr>
          <w:p w14:paraId="6043CF2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31.8</w:t>
            </w:r>
          </w:p>
        </w:tc>
        <w:tc>
          <w:tcPr>
            <w:tcW w:w="1133" w:type="dxa"/>
          </w:tcPr>
          <w:p w14:paraId="246E82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E98F91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D9824E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0CC3A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5F14F3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707" w:type="dxa"/>
          </w:tcPr>
          <w:p w14:paraId="25788A9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C6A3AC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25E59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89AC3E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45B66E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187F69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$32 </w:t>
            </w:r>
          </w:p>
        </w:tc>
        <w:tc>
          <w:tcPr>
            <w:tcW w:w="1133" w:type="dxa"/>
          </w:tcPr>
          <w:p w14:paraId="280C326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E30DF6C" w14:textId="77777777" w:rsidTr="00F614B7">
        <w:tblPrEx>
          <w:tblCellMar>
            <w:left w:w="108" w:type="dxa"/>
            <w:right w:w="108" w:type="dxa"/>
          </w:tblCellMar>
        </w:tblPrEx>
        <w:trPr>
          <w:trHeight w:val="278"/>
        </w:trPr>
        <w:tc>
          <w:tcPr>
            <w:tcW w:w="1841" w:type="dxa"/>
          </w:tcPr>
          <w:p w14:paraId="4C2839C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A17 Domiciliary Medication Management Review (DMMR)</w:t>
            </w:r>
          </w:p>
        </w:tc>
        <w:tc>
          <w:tcPr>
            <w:tcW w:w="707" w:type="dxa"/>
          </w:tcPr>
          <w:p w14:paraId="3E3C89F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900</w:t>
            </w:r>
          </w:p>
        </w:tc>
        <w:tc>
          <w:tcPr>
            <w:tcW w:w="991" w:type="dxa"/>
          </w:tcPr>
          <w:p w14:paraId="33849A7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151.75</w:t>
            </w:r>
          </w:p>
        </w:tc>
        <w:tc>
          <w:tcPr>
            <w:tcW w:w="1133" w:type="dxa"/>
          </w:tcPr>
          <w:p w14:paraId="0125F49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824EAE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B551D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B6149A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15 </w:t>
            </w:r>
          </w:p>
        </w:tc>
        <w:tc>
          <w:tcPr>
            <w:tcW w:w="714" w:type="dxa"/>
          </w:tcPr>
          <w:p w14:paraId="5E54A51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704F265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77FE66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0B5BF0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76E345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9DA4AC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$2,276 </w:t>
            </w:r>
          </w:p>
        </w:tc>
        <w:tc>
          <w:tcPr>
            <w:tcW w:w="1133" w:type="dxa"/>
          </w:tcPr>
          <w:p w14:paraId="367309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638055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BAF709B" w14:textId="77777777" w:rsidTr="00F614B7">
        <w:tblPrEx>
          <w:tblCellMar>
            <w:left w:w="108" w:type="dxa"/>
            <w:right w:w="108" w:type="dxa"/>
          </w:tblCellMar>
        </w:tblPrEx>
        <w:trPr>
          <w:trHeight w:val="278"/>
        </w:trPr>
        <w:tc>
          <w:tcPr>
            <w:tcW w:w="1841" w:type="dxa"/>
          </w:tcPr>
          <w:p w14:paraId="13F81AC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A17 Domiciliary Medication Management Review (DMMR)</w:t>
            </w:r>
          </w:p>
        </w:tc>
        <w:tc>
          <w:tcPr>
            <w:tcW w:w="707" w:type="dxa"/>
          </w:tcPr>
          <w:p w14:paraId="30276D3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903</w:t>
            </w:r>
          </w:p>
        </w:tc>
        <w:tc>
          <w:tcPr>
            <w:tcW w:w="991" w:type="dxa"/>
          </w:tcPr>
          <w:p w14:paraId="7396215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103.9</w:t>
            </w:r>
          </w:p>
        </w:tc>
        <w:tc>
          <w:tcPr>
            <w:tcW w:w="1133" w:type="dxa"/>
          </w:tcPr>
          <w:p w14:paraId="618AB7B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1B6B38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912504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E9DC46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 </w:t>
            </w:r>
          </w:p>
        </w:tc>
        <w:tc>
          <w:tcPr>
            <w:tcW w:w="714" w:type="dxa"/>
          </w:tcPr>
          <w:p w14:paraId="15836CF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DF8349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607790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7BABD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1F5C48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C810AF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$623 </w:t>
            </w:r>
          </w:p>
        </w:tc>
        <w:tc>
          <w:tcPr>
            <w:tcW w:w="1133" w:type="dxa"/>
          </w:tcPr>
          <w:p w14:paraId="6D8F82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591F6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F39BF9B" w14:textId="77777777" w:rsidTr="00F614B7">
        <w:tblPrEx>
          <w:tblCellMar>
            <w:left w:w="108" w:type="dxa"/>
            <w:right w:w="108" w:type="dxa"/>
          </w:tblCellMar>
        </w:tblPrEx>
        <w:trPr>
          <w:trHeight w:val="278"/>
        </w:trPr>
        <w:tc>
          <w:tcPr>
            <w:tcW w:w="1841" w:type="dxa"/>
          </w:tcPr>
          <w:p w14:paraId="547FB6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A18 GP attendance associated with PIP incentive payments</w:t>
            </w:r>
          </w:p>
        </w:tc>
        <w:tc>
          <w:tcPr>
            <w:tcW w:w="707" w:type="dxa"/>
          </w:tcPr>
          <w:p w14:paraId="4280EF6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2501</w:t>
            </w:r>
          </w:p>
        </w:tc>
        <w:tc>
          <w:tcPr>
            <w:tcW w:w="991" w:type="dxa"/>
          </w:tcPr>
          <w:p w14:paraId="676D16E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36.3</w:t>
            </w:r>
          </w:p>
        </w:tc>
        <w:tc>
          <w:tcPr>
            <w:tcW w:w="1133" w:type="dxa"/>
          </w:tcPr>
          <w:p w14:paraId="5F15CA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213187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 </w:t>
            </w:r>
          </w:p>
        </w:tc>
        <w:tc>
          <w:tcPr>
            <w:tcW w:w="992" w:type="dxa"/>
          </w:tcPr>
          <w:p w14:paraId="119E1A7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96B336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09F07C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FF91FC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345C72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6F5E82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$436 </w:t>
            </w:r>
          </w:p>
        </w:tc>
        <w:tc>
          <w:tcPr>
            <w:tcW w:w="993" w:type="dxa"/>
          </w:tcPr>
          <w:p w14:paraId="22D8EB5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6C9AFD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26BA44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689CAE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1AED502" w14:textId="77777777" w:rsidTr="00F614B7">
        <w:tblPrEx>
          <w:tblCellMar>
            <w:left w:w="108" w:type="dxa"/>
            <w:right w:w="108" w:type="dxa"/>
          </w:tblCellMar>
        </w:tblPrEx>
        <w:trPr>
          <w:trHeight w:val="278"/>
        </w:trPr>
        <w:tc>
          <w:tcPr>
            <w:tcW w:w="1841" w:type="dxa"/>
          </w:tcPr>
          <w:p w14:paraId="7578864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A18 GP attendance associated with PIP incentive payments</w:t>
            </w:r>
          </w:p>
        </w:tc>
        <w:tc>
          <w:tcPr>
            <w:tcW w:w="707" w:type="dxa"/>
          </w:tcPr>
          <w:p w14:paraId="2BC4645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2504</w:t>
            </w:r>
          </w:p>
        </w:tc>
        <w:tc>
          <w:tcPr>
            <w:tcW w:w="991" w:type="dxa"/>
          </w:tcPr>
          <w:p w14:paraId="284AB5A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5526884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247CF4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 </w:t>
            </w:r>
          </w:p>
        </w:tc>
        <w:tc>
          <w:tcPr>
            <w:tcW w:w="992" w:type="dxa"/>
          </w:tcPr>
          <w:p w14:paraId="57E6F6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2832A2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CF51FF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2D916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D406A4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B3976A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$773 </w:t>
            </w:r>
          </w:p>
        </w:tc>
        <w:tc>
          <w:tcPr>
            <w:tcW w:w="993" w:type="dxa"/>
          </w:tcPr>
          <w:p w14:paraId="268A27E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D2ABCF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B9F17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146516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F2B7E07" w14:textId="77777777" w:rsidTr="00F614B7">
        <w:tblPrEx>
          <w:tblCellMar>
            <w:left w:w="108" w:type="dxa"/>
            <w:right w:w="108" w:type="dxa"/>
          </w:tblCellMar>
        </w:tblPrEx>
        <w:trPr>
          <w:trHeight w:val="278"/>
        </w:trPr>
        <w:tc>
          <w:tcPr>
            <w:tcW w:w="1841" w:type="dxa"/>
          </w:tcPr>
          <w:p w14:paraId="1B2E84D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A18 GP attendance associated with PIP incentive payments</w:t>
            </w:r>
          </w:p>
        </w:tc>
        <w:tc>
          <w:tcPr>
            <w:tcW w:w="707" w:type="dxa"/>
          </w:tcPr>
          <w:p w14:paraId="62AC1C0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2517</w:t>
            </w:r>
          </w:p>
        </w:tc>
        <w:tc>
          <w:tcPr>
            <w:tcW w:w="991" w:type="dxa"/>
          </w:tcPr>
          <w:p w14:paraId="7FBB26A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36.3</w:t>
            </w:r>
          </w:p>
        </w:tc>
        <w:tc>
          <w:tcPr>
            <w:tcW w:w="1133" w:type="dxa"/>
          </w:tcPr>
          <w:p w14:paraId="49C6E2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DDE09C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21 </w:t>
            </w:r>
          </w:p>
        </w:tc>
        <w:tc>
          <w:tcPr>
            <w:tcW w:w="992" w:type="dxa"/>
          </w:tcPr>
          <w:p w14:paraId="7A2A899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CEE0FF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3E879E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898C18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745E7A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FD5030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$762 </w:t>
            </w:r>
          </w:p>
        </w:tc>
        <w:tc>
          <w:tcPr>
            <w:tcW w:w="993" w:type="dxa"/>
          </w:tcPr>
          <w:p w14:paraId="09E20C1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FF5D0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45CEB6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BBF264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848E1A5" w14:textId="77777777" w:rsidTr="00F614B7">
        <w:tblPrEx>
          <w:tblCellMar>
            <w:left w:w="108" w:type="dxa"/>
            <w:right w:w="108" w:type="dxa"/>
          </w:tblCellMar>
        </w:tblPrEx>
        <w:trPr>
          <w:trHeight w:val="278"/>
        </w:trPr>
        <w:tc>
          <w:tcPr>
            <w:tcW w:w="1841" w:type="dxa"/>
          </w:tcPr>
          <w:p w14:paraId="028EBA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A18 GP attendance associated with PIP </w:t>
            </w:r>
            <w:r w:rsidRPr="00720E20">
              <w:rPr>
                <w:rFonts w:ascii="Arial Narrow" w:hAnsi="Arial Narrow" w:cs="Calibri"/>
                <w:color w:val="000000"/>
                <w:sz w:val="18"/>
                <w:szCs w:val="18"/>
                <w:lang w:val="en-US" w:eastAsia="en-AU"/>
              </w:rPr>
              <w:lastRenderedPageBreak/>
              <w:t>incentive payments</w:t>
            </w:r>
          </w:p>
        </w:tc>
        <w:tc>
          <w:tcPr>
            <w:tcW w:w="707" w:type="dxa"/>
          </w:tcPr>
          <w:p w14:paraId="3891851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2521</w:t>
            </w:r>
          </w:p>
        </w:tc>
        <w:tc>
          <w:tcPr>
            <w:tcW w:w="991" w:type="dxa"/>
          </w:tcPr>
          <w:p w14:paraId="41AB996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6F27D66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65A430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42 </w:t>
            </w:r>
          </w:p>
        </w:tc>
        <w:tc>
          <w:tcPr>
            <w:tcW w:w="992" w:type="dxa"/>
          </w:tcPr>
          <w:p w14:paraId="2FC95F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B6AE8D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F72903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91446B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9EA543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DADAB7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$2,953 </w:t>
            </w:r>
          </w:p>
        </w:tc>
        <w:tc>
          <w:tcPr>
            <w:tcW w:w="993" w:type="dxa"/>
          </w:tcPr>
          <w:p w14:paraId="7A985DE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25861E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3B0D13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157970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C8369D3" w14:textId="77777777" w:rsidTr="00F614B7">
        <w:tblPrEx>
          <w:tblCellMar>
            <w:left w:w="108" w:type="dxa"/>
            <w:right w:w="108" w:type="dxa"/>
          </w:tblCellMar>
        </w:tblPrEx>
        <w:trPr>
          <w:trHeight w:val="278"/>
        </w:trPr>
        <w:tc>
          <w:tcPr>
            <w:tcW w:w="1841" w:type="dxa"/>
          </w:tcPr>
          <w:p w14:paraId="7F05607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A18 GP attendance associated with PIP incentive payments</w:t>
            </w:r>
          </w:p>
        </w:tc>
        <w:tc>
          <w:tcPr>
            <w:tcW w:w="707" w:type="dxa"/>
          </w:tcPr>
          <w:p w14:paraId="0C519F4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2525</w:t>
            </w:r>
          </w:p>
        </w:tc>
        <w:tc>
          <w:tcPr>
            <w:tcW w:w="991" w:type="dxa"/>
          </w:tcPr>
          <w:p w14:paraId="3259152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103.5</w:t>
            </w:r>
          </w:p>
        </w:tc>
        <w:tc>
          <w:tcPr>
            <w:tcW w:w="1133" w:type="dxa"/>
          </w:tcPr>
          <w:p w14:paraId="1E8C69C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BC1F7F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2B538D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F74236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57FF5A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78FFAE1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3C722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987D4F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$104 </w:t>
            </w:r>
          </w:p>
        </w:tc>
        <w:tc>
          <w:tcPr>
            <w:tcW w:w="993" w:type="dxa"/>
          </w:tcPr>
          <w:p w14:paraId="3B01480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B3598B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22FE88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2F8C3F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6E13254" w14:textId="77777777" w:rsidTr="00F614B7">
        <w:tblPrEx>
          <w:tblCellMar>
            <w:left w:w="108" w:type="dxa"/>
            <w:right w:w="108" w:type="dxa"/>
          </w:tblCellMar>
        </w:tblPrEx>
        <w:trPr>
          <w:trHeight w:val="278"/>
        </w:trPr>
        <w:tc>
          <w:tcPr>
            <w:tcW w:w="1841" w:type="dxa"/>
          </w:tcPr>
          <w:p w14:paraId="487F7DD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A18 GP attendance associated with PIP incentive payments</w:t>
            </w:r>
          </w:p>
        </w:tc>
        <w:tc>
          <w:tcPr>
            <w:tcW w:w="707" w:type="dxa"/>
          </w:tcPr>
          <w:p w14:paraId="5E0CB30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2552</w:t>
            </w:r>
          </w:p>
        </w:tc>
        <w:tc>
          <w:tcPr>
            <w:tcW w:w="991" w:type="dxa"/>
          </w:tcPr>
          <w:p w14:paraId="283CACF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3AC3897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A7E8ED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643B00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681085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F2AED3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CDA51F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E87FA9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1A4C4E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$70 </w:t>
            </w:r>
          </w:p>
        </w:tc>
        <w:tc>
          <w:tcPr>
            <w:tcW w:w="993" w:type="dxa"/>
          </w:tcPr>
          <w:p w14:paraId="192384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2A5ACC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8E11BA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EEF21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ABBD733" w14:textId="77777777" w:rsidTr="00F614B7">
        <w:tblPrEx>
          <w:tblCellMar>
            <w:left w:w="108" w:type="dxa"/>
            <w:right w:w="108" w:type="dxa"/>
          </w:tblCellMar>
        </w:tblPrEx>
        <w:trPr>
          <w:trHeight w:val="278"/>
        </w:trPr>
        <w:tc>
          <w:tcPr>
            <w:tcW w:w="1841" w:type="dxa"/>
          </w:tcPr>
          <w:p w14:paraId="585486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A19 Other non-referred attendance associated with PIP incentive payments</w:t>
            </w:r>
          </w:p>
        </w:tc>
        <w:tc>
          <w:tcPr>
            <w:tcW w:w="707" w:type="dxa"/>
          </w:tcPr>
          <w:p w14:paraId="3DA769C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2600</w:t>
            </w:r>
          </w:p>
        </w:tc>
        <w:tc>
          <w:tcPr>
            <w:tcW w:w="991" w:type="dxa"/>
          </w:tcPr>
          <w:p w14:paraId="5A91D4F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21</w:t>
            </w:r>
          </w:p>
        </w:tc>
        <w:tc>
          <w:tcPr>
            <w:tcW w:w="1133" w:type="dxa"/>
          </w:tcPr>
          <w:p w14:paraId="27A3706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41CF2F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25A2DB9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3CFA14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F6ADDB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1C85C8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E92263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7D10C4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$21 </w:t>
            </w:r>
          </w:p>
        </w:tc>
        <w:tc>
          <w:tcPr>
            <w:tcW w:w="993" w:type="dxa"/>
          </w:tcPr>
          <w:p w14:paraId="79D018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F4D3A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0D080E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9ECC12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E93058F" w14:textId="77777777" w:rsidTr="00F614B7">
        <w:tblPrEx>
          <w:tblCellMar>
            <w:left w:w="108" w:type="dxa"/>
            <w:right w:w="108" w:type="dxa"/>
          </w:tblCellMar>
        </w:tblPrEx>
        <w:trPr>
          <w:trHeight w:val="278"/>
        </w:trPr>
        <w:tc>
          <w:tcPr>
            <w:tcW w:w="1841" w:type="dxa"/>
          </w:tcPr>
          <w:p w14:paraId="133BC9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A19 Other non-referred attendance associated with PIP incentive payments</w:t>
            </w:r>
          </w:p>
        </w:tc>
        <w:tc>
          <w:tcPr>
            <w:tcW w:w="707" w:type="dxa"/>
          </w:tcPr>
          <w:p w14:paraId="77AA09E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2603</w:t>
            </w:r>
          </w:p>
        </w:tc>
        <w:tc>
          <w:tcPr>
            <w:tcW w:w="991" w:type="dxa"/>
          </w:tcPr>
          <w:p w14:paraId="514B819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38</w:t>
            </w:r>
          </w:p>
        </w:tc>
        <w:tc>
          <w:tcPr>
            <w:tcW w:w="1133" w:type="dxa"/>
          </w:tcPr>
          <w:p w14:paraId="58B77C8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23259B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30A853D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4A525D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EA96E9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50372C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05684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22AA32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$38 </w:t>
            </w:r>
          </w:p>
        </w:tc>
        <w:tc>
          <w:tcPr>
            <w:tcW w:w="993" w:type="dxa"/>
          </w:tcPr>
          <w:p w14:paraId="48C2BF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248D0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E7347D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798DE3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74572A9" w14:textId="77777777" w:rsidTr="00F614B7">
        <w:tblPrEx>
          <w:tblCellMar>
            <w:left w:w="108" w:type="dxa"/>
            <w:right w:w="108" w:type="dxa"/>
          </w:tblCellMar>
        </w:tblPrEx>
        <w:trPr>
          <w:trHeight w:val="278"/>
        </w:trPr>
        <w:tc>
          <w:tcPr>
            <w:tcW w:w="1841" w:type="dxa"/>
          </w:tcPr>
          <w:p w14:paraId="0948FD4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 Other non-referred</w:t>
            </w:r>
          </w:p>
        </w:tc>
        <w:tc>
          <w:tcPr>
            <w:tcW w:w="707" w:type="dxa"/>
          </w:tcPr>
          <w:p w14:paraId="5029DE8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52</w:t>
            </w:r>
          </w:p>
        </w:tc>
        <w:tc>
          <w:tcPr>
            <w:tcW w:w="991" w:type="dxa"/>
          </w:tcPr>
          <w:p w14:paraId="714A579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w:t>
            </w:r>
          </w:p>
        </w:tc>
        <w:tc>
          <w:tcPr>
            <w:tcW w:w="1133" w:type="dxa"/>
          </w:tcPr>
          <w:p w14:paraId="4C0F8D2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BA6114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105 </w:t>
            </w:r>
          </w:p>
        </w:tc>
        <w:tc>
          <w:tcPr>
            <w:tcW w:w="992" w:type="dxa"/>
          </w:tcPr>
          <w:p w14:paraId="7CF1353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C93852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268F57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F9E12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E47E9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7DAAAC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$1,155 </w:t>
            </w:r>
          </w:p>
        </w:tc>
        <w:tc>
          <w:tcPr>
            <w:tcW w:w="993" w:type="dxa"/>
          </w:tcPr>
          <w:p w14:paraId="1AD6F76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3DDF32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4C6C72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8D24F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F183608" w14:textId="77777777" w:rsidTr="00F614B7">
        <w:tblPrEx>
          <w:tblCellMar>
            <w:left w:w="108" w:type="dxa"/>
            <w:right w:w="108" w:type="dxa"/>
          </w:tblCellMar>
        </w:tblPrEx>
        <w:trPr>
          <w:trHeight w:val="278"/>
        </w:trPr>
        <w:tc>
          <w:tcPr>
            <w:tcW w:w="1841" w:type="dxa"/>
          </w:tcPr>
          <w:p w14:paraId="4E4C867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 Other non-referred</w:t>
            </w:r>
          </w:p>
        </w:tc>
        <w:tc>
          <w:tcPr>
            <w:tcW w:w="707" w:type="dxa"/>
          </w:tcPr>
          <w:p w14:paraId="68CEC76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53</w:t>
            </w:r>
          </w:p>
        </w:tc>
        <w:tc>
          <w:tcPr>
            <w:tcW w:w="991" w:type="dxa"/>
          </w:tcPr>
          <w:p w14:paraId="5FC5EF7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21</w:t>
            </w:r>
          </w:p>
        </w:tc>
        <w:tc>
          <w:tcPr>
            <w:tcW w:w="1133" w:type="dxa"/>
          </w:tcPr>
          <w:p w14:paraId="4780E25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678780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9,388 </w:t>
            </w:r>
          </w:p>
        </w:tc>
        <w:tc>
          <w:tcPr>
            <w:tcW w:w="992" w:type="dxa"/>
          </w:tcPr>
          <w:p w14:paraId="46A17C8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C326A8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52CCA8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2636E7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B90E28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05044F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$197,148 </w:t>
            </w:r>
          </w:p>
        </w:tc>
        <w:tc>
          <w:tcPr>
            <w:tcW w:w="993" w:type="dxa"/>
          </w:tcPr>
          <w:p w14:paraId="7271A5D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CF4369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FDE56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FA8858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68714AC3" w14:textId="77777777" w:rsidTr="00F614B7">
        <w:tblPrEx>
          <w:tblCellMar>
            <w:left w:w="108" w:type="dxa"/>
            <w:right w:w="108" w:type="dxa"/>
          </w:tblCellMar>
        </w:tblPrEx>
        <w:trPr>
          <w:trHeight w:val="278"/>
        </w:trPr>
        <w:tc>
          <w:tcPr>
            <w:tcW w:w="1841" w:type="dxa"/>
          </w:tcPr>
          <w:p w14:paraId="3EDDB98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 Other non-referred</w:t>
            </w:r>
          </w:p>
        </w:tc>
        <w:tc>
          <w:tcPr>
            <w:tcW w:w="707" w:type="dxa"/>
          </w:tcPr>
          <w:p w14:paraId="5B22799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54</w:t>
            </w:r>
          </w:p>
        </w:tc>
        <w:tc>
          <w:tcPr>
            <w:tcW w:w="991" w:type="dxa"/>
          </w:tcPr>
          <w:p w14:paraId="549F1C4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38</w:t>
            </w:r>
          </w:p>
        </w:tc>
        <w:tc>
          <w:tcPr>
            <w:tcW w:w="1133" w:type="dxa"/>
          </w:tcPr>
          <w:p w14:paraId="770D814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C25495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8,752 </w:t>
            </w:r>
          </w:p>
        </w:tc>
        <w:tc>
          <w:tcPr>
            <w:tcW w:w="992" w:type="dxa"/>
          </w:tcPr>
          <w:p w14:paraId="1D7AC8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A66C35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36031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C6824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255759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38D1E6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$332,576 </w:t>
            </w:r>
          </w:p>
        </w:tc>
        <w:tc>
          <w:tcPr>
            <w:tcW w:w="993" w:type="dxa"/>
          </w:tcPr>
          <w:p w14:paraId="77D3917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A80300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2BEBC5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A4BC92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CFE9836" w14:textId="77777777" w:rsidTr="00F614B7">
        <w:tblPrEx>
          <w:tblCellMar>
            <w:left w:w="108" w:type="dxa"/>
            <w:right w:w="108" w:type="dxa"/>
          </w:tblCellMar>
        </w:tblPrEx>
        <w:trPr>
          <w:trHeight w:val="278"/>
        </w:trPr>
        <w:tc>
          <w:tcPr>
            <w:tcW w:w="1841" w:type="dxa"/>
          </w:tcPr>
          <w:p w14:paraId="5D4E1A5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 Other non-referred</w:t>
            </w:r>
          </w:p>
        </w:tc>
        <w:tc>
          <w:tcPr>
            <w:tcW w:w="707" w:type="dxa"/>
          </w:tcPr>
          <w:p w14:paraId="185667D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57</w:t>
            </w:r>
          </w:p>
        </w:tc>
        <w:tc>
          <w:tcPr>
            <w:tcW w:w="991" w:type="dxa"/>
          </w:tcPr>
          <w:p w14:paraId="45DA2E7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61</w:t>
            </w:r>
          </w:p>
        </w:tc>
        <w:tc>
          <w:tcPr>
            <w:tcW w:w="1133" w:type="dxa"/>
          </w:tcPr>
          <w:p w14:paraId="5E3688F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12,652 </w:t>
            </w:r>
          </w:p>
        </w:tc>
        <w:tc>
          <w:tcPr>
            <w:tcW w:w="993" w:type="dxa"/>
          </w:tcPr>
          <w:p w14:paraId="6D323D5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B68B80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B68DB0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40A695D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1D0640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29B30F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$771,772 </w:t>
            </w:r>
          </w:p>
        </w:tc>
        <w:tc>
          <w:tcPr>
            <w:tcW w:w="994" w:type="dxa"/>
          </w:tcPr>
          <w:p w14:paraId="56B289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A5803F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D9DFAD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0AC121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43E16D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6DA48D0" w14:textId="77777777" w:rsidTr="00F614B7">
        <w:tblPrEx>
          <w:tblCellMar>
            <w:left w:w="108" w:type="dxa"/>
            <w:right w:w="108" w:type="dxa"/>
          </w:tblCellMar>
        </w:tblPrEx>
        <w:trPr>
          <w:trHeight w:val="278"/>
        </w:trPr>
        <w:tc>
          <w:tcPr>
            <w:tcW w:w="1841" w:type="dxa"/>
          </w:tcPr>
          <w:p w14:paraId="3E22174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 Other non-referred</w:t>
            </w:r>
          </w:p>
        </w:tc>
        <w:tc>
          <w:tcPr>
            <w:tcW w:w="707" w:type="dxa"/>
          </w:tcPr>
          <w:p w14:paraId="3CE2BE9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59</w:t>
            </w:r>
          </w:p>
        </w:tc>
        <w:tc>
          <w:tcPr>
            <w:tcW w:w="991" w:type="dxa"/>
          </w:tcPr>
          <w:p w14:paraId="61B6F74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33.5</w:t>
            </w:r>
          </w:p>
        </w:tc>
        <w:tc>
          <w:tcPr>
            <w:tcW w:w="1133" w:type="dxa"/>
          </w:tcPr>
          <w:p w14:paraId="433A51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F59CB8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2E2C00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FEEBF2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 </w:t>
            </w:r>
          </w:p>
        </w:tc>
        <w:tc>
          <w:tcPr>
            <w:tcW w:w="714" w:type="dxa"/>
          </w:tcPr>
          <w:p w14:paraId="35278AB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9006E3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090D3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F01483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F3C905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17B41F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$402 </w:t>
            </w:r>
          </w:p>
        </w:tc>
        <w:tc>
          <w:tcPr>
            <w:tcW w:w="1133" w:type="dxa"/>
          </w:tcPr>
          <w:p w14:paraId="309D5B3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FC154A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4FB9F33" w14:textId="77777777" w:rsidTr="00F614B7">
        <w:tblPrEx>
          <w:tblCellMar>
            <w:left w:w="108" w:type="dxa"/>
            <w:right w:w="108" w:type="dxa"/>
          </w:tblCellMar>
        </w:tblPrEx>
        <w:trPr>
          <w:trHeight w:val="278"/>
        </w:trPr>
        <w:tc>
          <w:tcPr>
            <w:tcW w:w="1841" w:type="dxa"/>
          </w:tcPr>
          <w:p w14:paraId="0F2836D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 Other non-referred</w:t>
            </w:r>
          </w:p>
        </w:tc>
        <w:tc>
          <w:tcPr>
            <w:tcW w:w="707" w:type="dxa"/>
          </w:tcPr>
          <w:p w14:paraId="14CCC9C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60</w:t>
            </w:r>
          </w:p>
        </w:tc>
        <w:tc>
          <w:tcPr>
            <w:tcW w:w="991" w:type="dxa"/>
          </w:tcPr>
          <w:p w14:paraId="0F665BF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51</w:t>
            </w:r>
          </w:p>
        </w:tc>
        <w:tc>
          <w:tcPr>
            <w:tcW w:w="1133" w:type="dxa"/>
          </w:tcPr>
          <w:p w14:paraId="64E3102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5EFD14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C3C8F9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A5CBAC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714" w:type="dxa"/>
          </w:tcPr>
          <w:p w14:paraId="2275CC2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C2654B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58D4BE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8A47D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97D1E3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FFCEDC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$51 </w:t>
            </w:r>
          </w:p>
        </w:tc>
        <w:tc>
          <w:tcPr>
            <w:tcW w:w="1133" w:type="dxa"/>
          </w:tcPr>
          <w:p w14:paraId="353B0EB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5B03C0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EA9E8BC" w14:textId="77777777" w:rsidTr="00F614B7">
        <w:tblPrEx>
          <w:tblCellMar>
            <w:left w:w="108" w:type="dxa"/>
            <w:right w:w="108" w:type="dxa"/>
          </w:tblCellMar>
        </w:tblPrEx>
        <w:trPr>
          <w:trHeight w:val="278"/>
        </w:trPr>
        <w:tc>
          <w:tcPr>
            <w:tcW w:w="1841" w:type="dxa"/>
          </w:tcPr>
          <w:p w14:paraId="04174C6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A20 GP Mental Health Treatment</w:t>
            </w:r>
          </w:p>
        </w:tc>
        <w:tc>
          <w:tcPr>
            <w:tcW w:w="707" w:type="dxa"/>
          </w:tcPr>
          <w:p w14:paraId="0CDA11D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2700</w:t>
            </w:r>
          </w:p>
        </w:tc>
        <w:tc>
          <w:tcPr>
            <w:tcW w:w="991" w:type="dxa"/>
          </w:tcPr>
          <w:p w14:paraId="24EA139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42FF003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BB929A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980EC4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107 </w:t>
            </w:r>
          </w:p>
        </w:tc>
        <w:tc>
          <w:tcPr>
            <w:tcW w:w="992" w:type="dxa"/>
          </w:tcPr>
          <w:p w14:paraId="01F521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404D7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8D824D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70990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4F7E8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5A2CE0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$7,522 </w:t>
            </w:r>
          </w:p>
        </w:tc>
        <w:tc>
          <w:tcPr>
            <w:tcW w:w="850" w:type="dxa"/>
          </w:tcPr>
          <w:p w14:paraId="61C604C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4B34A2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D2F67B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729E7DB" w14:textId="77777777" w:rsidTr="00F614B7">
        <w:tblPrEx>
          <w:tblCellMar>
            <w:left w:w="108" w:type="dxa"/>
            <w:right w:w="108" w:type="dxa"/>
          </w:tblCellMar>
        </w:tblPrEx>
        <w:trPr>
          <w:trHeight w:val="278"/>
        </w:trPr>
        <w:tc>
          <w:tcPr>
            <w:tcW w:w="1841" w:type="dxa"/>
          </w:tcPr>
          <w:p w14:paraId="675262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A20 GP Mental Health Treatment</w:t>
            </w:r>
          </w:p>
        </w:tc>
        <w:tc>
          <w:tcPr>
            <w:tcW w:w="707" w:type="dxa"/>
          </w:tcPr>
          <w:p w14:paraId="5EA5C2B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2701</w:t>
            </w:r>
          </w:p>
        </w:tc>
        <w:tc>
          <w:tcPr>
            <w:tcW w:w="991" w:type="dxa"/>
          </w:tcPr>
          <w:p w14:paraId="182AE72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103.5</w:t>
            </w:r>
          </w:p>
        </w:tc>
        <w:tc>
          <w:tcPr>
            <w:tcW w:w="1133" w:type="dxa"/>
          </w:tcPr>
          <w:p w14:paraId="40F3923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B3E601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2FA219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88 </w:t>
            </w:r>
          </w:p>
        </w:tc>
        <w:tc>
          <w:tcPr>
            <w:tcW w:w="992" w:type="dxa"/>
          </w:tcPr>
          <w:p w14:paraId="50E7444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333D20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60E47A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CDF2F4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925825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F05613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$9,108 </w:t>
            </w:r>
          </w:p>
        </w:tc>
        <w:tc>
          <w:tcPr>
            <w:tcW w:w="850" w:type="dxa"/>
          </w:tcPr>
          <w:p w14:paraId="4C6FB4F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47DC80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86FE17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1C50611" w14:textId="77777777" w:rsidTr="00F614B7">
        <w:tblPrEx>
          <w:tblCellMar>
            <w:left w:w="108" w:type="dxa"/>
            <w:right w:w="108" w:type="dxa"/>
          </w:tblCellMar>
        </w:tblPrEx>
        <w:trPr>
          <w:trHeight w:val="278"/>
        </w:trPr>
        <w:tc>
          <w:tcPr>
            <w:tcW w:w="1841" w:type="dxa"/>
          </w:tcPr>
          <w:p w14:paraId="3DB06A9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A20 GP Mental Health Treatment</w:t>
            </w:r>
          </w:p>
        </w:tc>
        <w:tc>
          <w:tcPr>
            <w:tcW w:w="707" w:type="dxa"/>
          </w:tcPr>
          <w:p w14:paraId="33F5046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2712</w:t>
            </w:r>
          </w:p>
        </w:tc>
        <w:tc>
          <w:tcPr>
            <w:tcW w:w="991" w:type="dxa"/>
          </w:tcPr>
          <w:p w14:paraId="59B5F6E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34CE94F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435FB1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5EF352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1,027 </w:t>
            </w:r>
          </w:p>
        </w:tc>
        <w:tc>
          <w:tcPr>
            <w:tcW w:w="992" w:type="dxa"/>
          </w:tcPr>
          <w:p w14:paraId="54D77DE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A06B5A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E72B4B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18C629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71AE3F7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4C4F26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$72,198 </w:t>
            </w:r>
          </w:p>
        </w:tc>
        <w:tc>
          <w:tcPr>
            <w:tcW w:w="850" w:type="dxa"/>
          </w:tcPr>
          <w:p w14:paraId="529401C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316120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0BD85D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690673B8" w14:textId="77777777" w:rsidTr="00F614B7">
        <w:tblPrEx>
          <w:tblCellMar>
            <w:left w:w="108" w:type="dxa"/>
            <w:right w:w="108" w:type="dxa"/>
          </w:tblCellMar>
        </w:tblPrEx>
        <w:trPr>
          <w:trHeight w:val="278"/>
        </w:trPr>
        <w:tc>
          <w:tcPr>
            <w:tcW w:w="1841" w:type="dxa"/>
          </w:tcPr>
          <w:p w14:paraId="4E86760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A20 GP Mental Health Treatment</w:t>
            </w:r>
          </w:p>
        </w:tc>
        <w:tc>
          <w:tcPr>
            <w:tcW w:w="707" w:type="dxa"/>
          </w:tcPr>
          <w:p w14:paraId="176B62D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2713</w:t>
            </w:r>
          </w:p>
        </w:tc>
        <w:tc>
          <w:tcPr>
            <w:tcW w:w="991" w:type="dxa"/>
          </w:tcPr>
          <w:p w14:paraId="0DBC43C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70.3</w:t>
            </w:r>
          </w:p>
        </w:tc>
        <w:tc>
          <w:tcPr>
            <w:tcW w:w="1133" w:type="dxa"/>
          </w:tcPr>
          <w:p w14:paraId="0A7FEE9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8F03E5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395622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1,492 </w:t>
            </w:r>
          </w:p>
        </w:tc>
        <w:tc>
          <w:tcPr>
            <w:tcW w:w="992" w:type="dxa"/>
          </w:tcPr>
          <w:p w14:paraId="74E27ED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0295C7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DCE2BC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9737C7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E7ABA0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53F350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$104,888 </w:t>
            </w:r>
          </w:p>
        </w:tc>
        <w:tc>
          <w:tcPr>
            <w:tcW w:w="850" w:type="dxa"/>
          </w:tcPr>
          <w:p w14:paraId="74E1ED8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A62901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23F7F6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D019096" w14:textId="77777777" w:rsidTr="00F614B7">
        <w:tblPrEx>
          <w:tblCellMar>
            <w:left w:w="108" w:type="dxa"/>
            <w:right w:w="108" w:type="dxa"/>
          </w:tblCellMar>
        </w:tblPrEx>
        <w:trPr>
          <w:trHeight w:val="278"/>
        </w:trPr>
        <w:tc>
          <w:tcPr>
            <w:tcW w:w="1841" w:type="dxa"/>
          </w:tcPr>
          <w:p w14:paraId="37923EA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A20 GP Mental Health Treatment</w:t>
            </w:r>
          </w:p>
        </w:tc>
        <w:tc>
          <w:tcPr>
            <w:tcW w:w="707" w:type="dxa"/>
          </w:tcPr>
          <w:p w14:paraId="00793F5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2715</w:t>
            </w:r>
          </w:p>
        </w:tc>
        <w:tc>
          <w:tcPr>
            <w:tcW w:w="991" w:type="dxa"/>
          </w:tcPr>
          <w:p w14:paraId="4680B85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89.25</w:t>
            </w:r>
          </w:p>
        </w:tc>
        <w:tc>
          <w:tcPr>
            <w:tcW w:w="1133" w:type="dxa"/>
          </w:tcPr>
          <w:p w14:paraId="532BB39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E96C8E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9A6469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124 </w:t>
            </w:r>
          </w:p>
        </w:tc>
        <w:tc>
          <w:tcPr>
            <w:tcW w:w="992" w:type="dxa"/>
          </w:tcPr>
          <w:p w14:paraId="4AEE242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CEDF98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08BB36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A6F133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241352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AA0923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$11,067 </w:t>
            </w:r>
          </w:p>
        </w:tc>
        <w:tc>
          <w:tcPr>
            <w:tcW w:w="850" w:type="dxa"/>
          </w:tcPr>
          <w:p w14:paraId="3D158C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EBB68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6ACC4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963A79F" w14:textId="77777777" w:rsidTr="00F614B7">
        <w:tblPrEx>
          <w:tblCellMar>
            <w:left w:w="108" w:type="dxa"/>
            <w:right w:w="108" w:type="dxa"/>
          </w:tblCellMar>
        </w:tblPrEx>
        <w:trPr>
          <w:trHeight w:val="278"/>
        </w:trPr>
        <w:tc>
          <w:tcPr>
            <w:tcW w:w="1841" w:type="dxa"/>
          </w:tcPr>
          <w:p w14:paraId="2014BA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A20 GP Mental Health Treatment</w:t>
            </w:r>
          </w:p>
        </w:tc>
        <w:tc>
          <w:tcPr>
            <w:tcW w:w="707" w:type="dxa"/>
          </w:tcPr>
          <w:p w14:paraId="564F7BC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2717</w:t>
            </w:r>
          </w:p>
        </w:tc>
        <w:tc>
          <w:tcPr>
            <w:tcW w:w="991" w:type="dxa"/>
          </w:tcPr>
          <w:p w14:paraId="424B6BD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131.45</w:t>
            </w:r>
          </w:p>
        </w:tc>
        <w:tc>
          <w:tcPr>
            <w:tcW w:w="1133" w:type="dxa"/>
          </w:tcPr>
          <w:p w14:paraId="6273D61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0E90DC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7C2EBA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70 </w:t>
            </w:r>
          </w:p>
        </w:tc>
        <w:tc>
          <w:tcPr>
            <w:tcW w:w="992" w:type="dxa"/>
          </w:tcPr>
          <w:p w14:paraId="6BD652E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836885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7F18213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BBFA8C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62BBAEB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5299D8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$9,202 </w:t>
            </w:r>
          </w:p>
        </w:tc>
        <w:tc>
          <w:tcPr>
            <w:tcW w:w="850" w:type="dxa"/>
          </w:tcPr>
          <w:p w14:paraId="388E47F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56AF65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3784E6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282832C" w14:textId="77777777" w:rsidTr="00F614B7">
        <w:tblPrEx>
          <w:tblCellMar>
            <w:left w:w="108" w:type="dxa"/>
            <w:right w:w="108" w:type="dxa"/>
          </w:tblCellMar>
        </w:tblPrEx>
        <w:trPr>
          <w:trHeight w:val="278"/>
        </w:trPr>
        <w:tc>
          <w:tcPr>
            <w:tcW w:w="1841" w:type="dxa"/>
          </w:tcPr>
          <w:p w14:paraId="6F22441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A22 GP after-hours attendances to which no other item applies</w:t>
            </w:r>
          </w:p>
        </w:tc>
        <w:tc>
          <w:tcPr>
            <w:tcW w:w="707" w:type="dxa"/>
          </w:tcPr>
          <w:p w14:paraId="109A410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5020</w:t>
            </w:r>
          </w:p>
        </w:tc>
        <w:tc>
          <w:tcPr>
            <w:tcW w:w="991" w:type="dxa"/>
          </w:tcPr>
          <w:p w14:paraId="08BE79C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48.05</w:t>
            </w:r>
          </w:p>
        </w:tc>
        <w:tc>
          <w:tcPr>
            <w:tcW w:w="1133" w:type="dxa"/>
          </w:tcPr>
          <w:p w14:paraId="0E516F0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51E175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433 </w:t>
            </w:r>
          </w:p>
        </w:tc>
        <w:tc>
          <w:tcPr>
            <w:tcW w:w="992" w:type="dxa"/>
          </w:tcPr>
          <w:p w14:paraId="4E71773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1F724F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151E3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D8278D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161ED5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4DB601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$20,806 </w:t>
            </w:r>
          </w:p>
        </w:tc>
        <w:tc>
          <w:tcPr>
            <w:tcW w:w="993" w:type="dxa"/>
          </w:tcPr>
          <w:p w14:paraId="0F02871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6F051A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1D523A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8C5ACC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5EA0053" w14:textId="77777777" w:rsidTr="00F614B7">
        <w:tblPrEx>
          <w:tblCellMar>
            <w:left w:w="108" w:type="dxa"/>
            <w:right w:w="108" w:type="dxa"/>
          </w:tblCellMar>
        </w:tblPrEx>
        <w:trPr>
          <w:trHeight w:val="278"/>
        </w:trPr>
        <w:tc>
          <w:tcPr>
            <w:tcW w:w="1841" w:type="dxa"/>
          </w:tcPr>
          <w:p w14:paraId="53EEF4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A22 GP after-hours attendances to which no other item applies</w:t>
            </w:r>
          </w:p>
        </w:tc>
        <w:tc>
          <w:tcPr>
            <w:tcW w:w="707" w:type="dxa"/>
          </w:tcPr>
          <w:p w14:paraId="1135BAB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5040</w:t>
            </w:r>
          </w:p>
        </w:tc>
        <w:tc>
          <w:tcPr>
            <w:tcW w:w="991" w:type="dxa"/>
          </w:tcPr>
          <w:p w14:paraId="55493AA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82.3</w:t>
            </w:r>
          </w:p>
        </w:tc>
        <w:tc>
          <w:tcPr>
            <w:tcW w:w="1133" w:type="dxa"/>
          </w:tcPr>
          <w:p w14:paraId="755AE9C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BC79FC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140 </w:t>
            </w:r>
          </w:p>
        </w:tc>
        <w:tc>
          <w:tcPr>
            <w:tcW w:w="992" w:type="dxa"/>
          </w:tcPr>
          <w:p w14:paraId="744A8F4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B688B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4C1C01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7F1E32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5A52C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CA8638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$11,522 </w:t>
            </w:r>
          </w:p>
        </w:tc>
        <w:tc>
          <w:tcPr>
            <w:tcW w:w="993" w:type="dxa"/>
          </w:tcPr>
          <w:p w14:paraId="22FFA4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46286D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2DAF62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52274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AED9B58" w14:textId="77777777" w:rsidTr="00F614B7">
        <w:tblPrEx>
          <w:tblCellMar>
            <w:left w:w="108" w:type="dxa"/>
            <w:right w:w="108" w:type="dxa"/>
          </w:tblCellMar>
        </w:tblPrEx>
        <w:trPr>
          <w:trHeight w:val="278"/>
        </w:trPr>
        <w:tc>
          <w:tcPr>
            <w:tcW w:w="1841" w:type="dxa"/>
          </w:tcPr>
          <w:p w14:paraId="3D1B594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A22 GP after-hours attendances to which no other item applies</w:t>
            </w:r>
          </w:p>
        </w:tc>
        <w:tc>
          <w:tcPr>
            <w:tcW w:w="707" w:type="dxa"/>
          </w:tcPr>
          <w:p w14:paraId="5D3CCC9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5043</w:t>
            </w:r>
          </w:p>
        </w:tc>
        <w:tc>
          <w:tcPr>
            <w:tcW w:w="991" w:type="dxa"/>
          </w:tcPr>
          <w:p w14:paraId="00808D0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107.75</w:t>
            </w:r>
          </w:p>
        </w:tc>
        <w:tc>
          <w:tcPr>
            <w:tcW w:w="1133" w:type="dxa"/>
          </w:tcPr>
          <w:p w14:paraId="5EAE06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54C885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417598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ED28DC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 </w:t>
            </w:r>
          </w:p>
        </w:tc>
        <w:tc>
          <w:tcPr>
            <w:tcW w:w="714" w:type="dxa"/>
          </w:tcPr>
          <w:p w14:paraId="2E95B6F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0996AB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89EC1E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D82485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A1ED2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B710F1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$431 </w:t>
            </w:r>
          </w:p>
        </w:tc>
        <w:tc>
          <w:tcPr>
            <w:tcW w:w="1133" w:type="dxa"/>
          </w:tcPr>
          <w:p w14:paraId="7B5DA96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3395E9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C46E6B2" w14:textId="77777777" w:rsidTr="00F614B7">
        <w:tblPrEx>
          <w:tblCellMar>
            <w:left w:w="108" w:type="dxa"/>
            <w:right w:w="108" w:type="dxa"/>
          </w:tblCellMar>
        </w:tblPrEx>
        <w:trPr>
          <w:trHeight w:val="278"/>
        </w:trPr>
        <w:tc>
          <w:tcPr>
            <w:tcW w:w="1841" w:type="dxa"/>
          </w:tcPr>
          <w:p w14:paraId="686D616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A22 GP after-hours attendances to which no other item applies</w:t>
            </w:r>
          </w:p>
        </w:tc>
        <w:tc>
          <w:tcPr>
            <w:tcW w:w="707" w:type="dxa"/>
          </w:tcPr>
          <w:p w14:paraId="473F600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5049</w:t>
            </w:r>
          </w:p>
        </w:tc>
        <w:tc>
          <w:tcPr>
            <w:tcW w:w="991" w:type="dxa"/>
          </w:tcPr>
          <w:p w14:paraId="6552ABD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128.1</w:t>
            </w:r>
          </w:p>
        </w:tc>
        <w:tc>
          <w:tcPr>
            <w:tcW w:w="1133" w:type="dxa"/>
          </w:tcPr>
          <w:p w14:paraId="2F96B6F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3F5D82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9713EE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886363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 </w:t>
            </w:r>
          </w:p>
        </w:tc>
        <w:tc>
          <w:tcPr>
            <w:tcW w:w="714" w:type="dxa"/>
          </w:tcPr>
          <w:p w14:paraId="6FDB058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070815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71F749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CC7F03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D56318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EB7354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$256 </w:t>
            </w:r>
          </w:p>
        </w:tc>
        <w:tc>
          <w:tcPr>
            <w:tcW w:w="1133" w:type="dxa"/>
          </w:tcPr>
          <w:p w14:paraId="3583BCD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9F021A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FF26055" w14:textId="77777777" w:rsidTr="00F614B7">
        <w:tblPrEx>
          <w:tblCellMar>
            <w:left w:w="108" w:type="dxa"/>
            <w:right w:w="108" w:type="dxa"/>
          </w:tblCellMar>
        </w:tblPrEx>
        <w:trPr>
          <w:trHeight w:val="278"/>
        </w:trPr>
        <w:tc>
          <w:tcPr>
            <w:tcW w:w="1841" w:type="dxa"/>
          </w:tcPr>
          <w:p w14:paraId="370CFFE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A22 GP after-hours attendances to which no other item applies</w:t>
            </w:r>
          </w:p>
        </w:tc>
        <w:tc>
          <w:tcPr>
            <w:tcW w:w="707" w:type="dxa"/>
          </w:tcPr>
          <w:p w14:paraId="08C1EE1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5060</w:t>
            </w:r>
          </w:p>
        </w:tc>
        <w:tc>
          <w:tcPr>
            <w:tcW w:w="991" w:type="dxa"/>
          </w:tcPr>
          <w:p w14:paraId="12D8233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115.45</w:t>
            </w:r>
          </w:p>
        </w:tc>
        <w:tc>
          <w:tcPr>
            <w:tcW w:w="1133" w:type="dxa"/>
          </w:tcPr>
          <w:p w14:paraId="08CC425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F1A988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39 </w:t>
            </w:r>
          </w:p>
        </w:tc>
        <w:tc>
          <w:tcPr>
            <w:tcW w:w="992" w:type="dxa"/>
          </w:tcPr>
          <w:p w14:paraId="5A5ACD2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87D6E5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EFFE92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A9FA7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9DC48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2E68A0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$4,503 </w:t>
            </w:r>
          </w:p>
        </w:tc>
        <w:tc>
          <w:tcPr>
            <w:tcW w:w="993" w:type="dxa"/>
          </w:tcPr>
          <w:p w14:paraId="014B32C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CE6A64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786947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0F988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39C7707" w14:textId="77777777" w:rsidTr="00F614B7">
        <w:tblPrEx>
          <w:tblCellMar>
            <w:left w:w="108" w:type="dxa"/>
            <w:right w:w="108" w:type="dxa"/>
          </w:tblCellMar>
        </w:tblPrEx>
        <w:trPr>
          <w:trHeight w:val="278"/>
        </w:trPr>
        <w:tc>
          <w:tcPr>
            <w:tcW w:w="1841" w:type="dxa"/>
          </w:tcPr>
          <w:p w14:paraId="10668E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A22 GP after-hours attendances to which no other item applies</w:t>
            </w:r>
          </w:p>
        </w:tc>
        <w:tc>
          <w:tcPr>
            <w:tcW w:w="707" w:type="dxa"/>
          </w:tcPr>
          <w:p w14:paraId="496EC55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5063</w:t>
            </w:r>
          </w:p>
        </w:tc>
        <w:tc>
          <w:tcPr>
            <w:tcW w:w="991" w:type="dxa"/>
          </w:tcPr>
          <w:p w14:paraId="399492F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140.9</w:t>
            </w:r>
          </w:p>
        </w:tc>
        <w:tc>
          <w:tcPr>
            <w:tcW w:w="1133" w:type="dxa"/>
          </w:tcPr>
          <w:p w14:paraId="13D7B03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490836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70CDF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3EED07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 </w:t>
            </w:r>
          </w:p>
        </w:tc>
        <w:tc>
          <w:tcPr>
            <w:tcW w:w="714" w:type="dxa"/>
          </w:tcPr>
          <w:p w14:paraId="0BC0111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25B76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9E2632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D022A7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7237D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79F181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$423 </w:t>
            </w:r>
          </w:p>
        </w:tc>
        <w:tc>
          <w:tcPr>
            <w:tcW w:w="1133" w:type="dxa"/>
          </w:tcPr>
          <w:p w14:paraId="6D6CF22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793291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13737D9" w14:textId="77777777" w:rsidTr="00F614B7">
        <w:tblPrEx>
          <w:tblCellMar>
            <w:left w:w="108" w:type="dxa"/>
            <w:right w:w="108" w:type="dxa"/>
          </w:tblCellMar>
        </w:tblPrEx>
        <w:trPr>
          <w:trHeight w:val="278"/>
        </w:trPr>
        <w:tc>
          <w:tcPr>
            <w:tcW w:w="1841" w:type="dxa"/>
          </w:tcPr>
          <w:p w14:paraId="148F24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A23 Other non-referred after-hours attendances to which no other item applies</w:t>
            </w:r>
          </w:p>
        </w:tc>
        <w:tc>
          <w:tcPr>
            <w:tcW w:w="707" w:type="dxa"/>
          </w:tcPr>
          <w:p w14:paraId="5270993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5207</w:t>
            </w:r>
          </w:p>
        </w:tc>
        <w:tc>
          <w:tcPr>
            <w:tcW w:w="991" w:type="dxa"/>
          </w:tcPr>
          <w:p w14:paraId="44B33E8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48</w:t>
            </w:r>
          </w:p>
        </w:tc>
        <w:tc>
          <w:tcPr>
            <w:tcW w:w="1133" w:type="dxa"/>
          </w:tcPr>
          <w:p w14:paraId="2B73AA6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F5DCD1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1C92061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90030D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75E807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F72752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505F81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10A914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$48 </w:t>
            </w:r>
          </w:p>
        </w:tc>
        <w:tc>
          <w:tcPr>
            <w:tcW w:w="993" w:type="dxa"/>
          </w:tcPr>
          <w:p w14:paraId="0D73EF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3C6BFE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ABD614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E4A3DF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7FECC85" w14:textId="77777777" w:rsidTr="00F614B7">
        <w:tblPrEx>
          <w:tblCellMar>
            <w:left w:w="108" w:type="dxa"/>
            <w:right w:w="108" w:type="dxa"/>
          </w:tblCellMar>
        </w:tblPrEx>
        <w:trPr>
          <w:trHeight w:val="278"/>
        </w:trPr>
        <w:tc>
          <w:tcPr>
            <w:tcW w:w="1841" w:type="dxa"/>
          </w:tcPr>
          <w:p w14:paraId="3E66258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A23 Other non-referred after-hours attendances to which no other item applies</w:t>
            </w:r>
          </w:p>
        </w:tc>
        <w:tc>
          <w:tcPr>
            <w:tcW w:w="707" w:type="dxa"/>
          </w:tcPr>
          <w:p w14:paraId="6FBA472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5208</w:t>
            </w:r>
          </w:p>
        </w:tc>
        <w:tc>
          <w:tcPr>
            <w:tcW w:w="991" w:type="dxa"/>
          </w:tcPr>
          <w:p w14:paraId="5849187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71</w:t>
            </w:r>
          </w:p>
        </w:tc>
        <w:tc>
          <w:tcPr>
            <w:tcW w:w="1133" w:type="dxa"/>
          </w:tcPr>
          <w:p w14:paraId="073D1B3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E49385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 </w:t>
            </w:r>
          </w:p>
        </w:tc>
        <w:tc>
          <w:tcPr>
            <w:tcW w:w="992" w:type="dxa"/>
          </w:tcPr>
          <w:p w14:paraId="6A02252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F5876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FC325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C80E3D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7B10C3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E2D751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$284 </w:t>
            </w:r>
          </w:p>
        </w:tc>
        <w:tc>
          <w:tcPr>
            <w:tcW w:w="993" w:type="dxa"/>
          </w:tcPr>
          <w:p w14:paraId="40F0C8A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04F2A8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81E5D4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FEDFC8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4847852" w14:textId="77777777" w:rsidTr="00F614B7">
        <w:tblPrEx>
          <w:tblCellMar>
            <w:left w:w="108" w:type="dxa"/>
            <w:right w:w="108" w:type="dxa"/>
          </w:tblCellMar>
        </w:tblPrEx>
        <w:trPr>
          <w:trHeight w:val="278"/>
        </w:trPr>
        <w:tc>
          <w:tcPr>
            <w:tcW w:w="1841" w:type="dxa"/>
          </w:tcPr>
          <w:p w14:paraId="64F8EA9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A29 Early Intervention Services for Children</w:t>
            </w:r>
          </w:p>
        </w:tc>
        <w:tc>
          <w:tcPr>
            <w:tcW w:w="707" w:type="dxa"/>
          </w:tcPr>
          <w:p w14:paraId="3C4CD91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135</w:t>
            </w:r>
          </w:p>
        </w:tc>
        <w:tc>
          <w:tcPr>
            <w:tcW w:w="991" w:type="dxa"/>
          </w:tcPr>
          <w:p w14:paraId="6B30CAE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224.35</w:t>
            </w:r>
          </w:p>
        </w:tc>
        <w:tc>
          <w:tcPr>
            <w:tcW w:w="1133" w:type="dxa"/>
          </w:tcPr>
          <w:p w14:paraId="49E3E1D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65B053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CE4C7B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 </w:t>
            </w:r>
          </w:p>
        </w:tc>
        <w:tc>
          <w:tcPr>
            <w:tcW w:w="992" w:type="dxa"/>
          </w:tcPr>
          <w:p w14:paraId="5FCF313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A9FF47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572E2E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378B2E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8743E1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E7E704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$673 </w:t>
            </w:r>
          </w:p>
        </w:tc>
        <w:tc>
          <w:tcPr>
            <w:tcW w:w="850" w:type="dxa"/>
          </w:tcPr>
          <w:p w14:paraId="33A5A2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465E10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376ED9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B70580E" w14:textId="77777777" w:rsidTr="00F614B7">
        <w:tblPrEx>
          <w:tblCellMar>
            <w:left w:w="108" w:type="dxa"/>
            <w:right w:w="108" w:type="dxa"/>
          </w:tblCellMar>
        </w:tblPrEx>
        <w:trPr>
          <w:trHeight w:val="278"/>
        </w:trPr>
        <w:tc>
          <w:tcPr>
            <w:tcW w:w="1841" w:type="dxa"/>
          </w:tcPr>
          <w:p w14:paraId="69088E7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A3 Specialist</w:t>
            </w:r>
          </w:p>
        </w:tc>
        <w:tc>
          <w:tcPr>
            <w:tcW w:w="707" w:type="dxa"/>
          </w:tcPr>
          <w:p w14:paraId="084D8F2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99</w:t>
            </w:r>
          </w:p>
        </w:tc>
        <w:tc>
          <w:tcPr>
            <w:tcW w:w="991" w:type="dxa"/>
          </w:tcPr>
          <w:p w14:paraId="22794F3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42.75</w:t>
            </w:r>
          </w:p>
        </w:tc>
        <w:tc>
          <w:tcPr>
            <w:tcW w:w="1133" w:type="dxa"/>
          </w:tcPr>
          <w:p w14:paraId="22E0C37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3B7F8A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 </w:t>
            </w:r>
          </w:p>
        </w:tc>
        <w:tc>
          <w:tcPr>
            <w:tcW w:w="992" w:type="dxa"/>
          </w:tcPr>
          <w:p w14:paraId="63CA4C7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2E48D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521EF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200549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1B9E79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63F76C2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$428 </w:t>
            </w:r>
          </w:p>
        </w:tc>
        <w:tc>
          <w:tcPr>
            <w:tcW w:w="993" w:type="dxa"/>
          </w:tcPr>
          <w:p w14:paraId="25FD8A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AAFC6A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463BE5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18AF89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ABA5A4D" w14:textId="77777777" w:rsidTr="00F614B7">
        <w:tblPrEx>
          <w:tblCellMar>
            <w:left w:w="108" w:type="dxa"/>
            <w:right w:w="108" w:type="dxa"/>
          </w:tblCellMar>
        </w:tblPrEx>
        <w:trPr>
          <w:trHeight w:val="278"/>
        </w:trPr>
        <w:tc>
          <w:tcPr>
            <w:tcW w:w="1841" w:type="dxa"/>
          </w:tcPr>
          <w:p w14:paraId="7FEEF3B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A3 Specialist</w:t>
            </w:r>
          </w:p>
        </w:tc>
        <w:tc>
          <w:tcPr>
            <w:tcW w:w="707" w:type="dxa"/>
          </w:tcPr>
          <w:p w14:paraId="0D07A8A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104</w:t>
            </w:r>
          </w:p>
        </w:tc>
        <w:tc>
          <w:tcPr>
            <w:tcW w:w="991" w:type="dxa"/>
          </w:tcPr>
          <w:p w14:paraId="79DD5F3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72.75</w:t>
            </w:r>
          </w:p>
        </w:tc>
        <w:tc>
          <w:tcPr>
            <w:tcW w:w="1133" w:type="dxa"/>
          </w:tcPr>
          <w:p w14:paraId="3C9B81D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16,357 </w:t>
            </w:r>
          </w:p>
        </w:tc>
        <w:tc>
          <w:tcPr>
            <w:tcW w:w="993" w:type="dxa"/>
          </w:tcPr>
          <w:p w14:paraId="34D04D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636226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5D3069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BB1812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3B4F0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F8368C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$1,189,972 </w:t>
            </w:r>
          </w:p>
        </w:tc>
        <w:tc>
          <w:tcPr>
            <w:tcW w:w="994" w:type="dxa"/>
          </w:tcPr>
          <w:p w14:paraId="7F56B0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BCC1F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0CFE68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2CA9FD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26368D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37DF30C" w14:textId="77777777" w:rsidTr="00F614B7">
        <w:tblPrEx>
          <w:tblCellMar>
            <w:left w:w="108" w:type="dxa"/>
            <w:right w:w="108" w:type="dxa"/>
          </w:tblCellMar>
        </w:tblPrEx>
        <w:trPr>
          <w:trHeight w:val="278"/>
        </w:trPr>
        <w:tc>
          <w:tcPr>
            <w:tcW w:w="1841" w:type="dxa"/>
          </w:tcPr>
          <w:p w14:paraId="2A26ED0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A3 Specialist</w:t>
            </w:r>
          </w:p>
        </w:tc>
        <w:tc>
          <w:tcPr>
            <w:tcW w:w="707" w:type="dxa"/>
          </w:tcPr>
          <w:p w14:paraId="3260E49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105</w:t>
            </w:r>
          </w:p>
        </w:tc>
        <w:tc>
          <w:tcPr>
            <w:tcW w:w="991" w:type="dxa"/>
          </w:tcPr>
          <w:p w14:paraId="4A2E38A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36.55</w:t>
            </w:r>
          </w:p>
        </w:tc>
        <w:tc>
          <w:tcPr>
            <w:tcW w:w="1133" w:type="dxa"/>
          </w:tcPr>
          <w:p w14:paraId="6A40BA5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03A24C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19,333 </w:t>
            </w:r>
          </w:p>
        </w:tc>
        <w:tc>
          <w:tcPr>
            <w:tcW w:w="992" w:type="dxa"/>
          </w:tcPr>
          <w:p w14:paraId="61A1B9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454D58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590B14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AEEAA3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104F8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6C289F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$706,621 </w:t>
            </w:r>
          </w:p>
        </w:tc>
        <w:tc>
          <w:tcPr>
            <w:tcW w:w="993" w:type="dxa"/>
          </w:tcPr>
          <w:p w14:paraId="40335D9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D9923D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700063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6FAED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BD748A6" w14:textId="77777777" w:rsidTr="00F614B7">
        <w:tblPrEx>
          <w:tblCellMar>
            <w:left w:w="108" w:type="dxa"/>
            <w:right w:w="108" w:type="dxa"/>
          </w:tblCellMar>
        </w:tblPrEx>
        <w:trPr>
          <w:trHeight w:val="278"/>
        </w:trPr>
        <w:tc>
          <w:tcPr>
            <w:tcW w:w="1841" w:type="dxa"/>
          </w:tcPr>
          <w:p w14:paraId="51E1F95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A3 Specialist</w:t>
            </w:r>
          </w:p>
        </w:tc>
        <w:tc>
          <w:tcPr>
            <w:tcW w:w="707" w:type="dxa"/>
          </w:tcPr>
          <w:p w14:paraId="65273A3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107</w:t>
            </w:r>
          </w:p>
        </w:tc>
        <w:tc>
          <w:tcPr>
            <w:tcW w:w="991" w:type="dxa"/>
          </w:tcPr>
          <w:p w14:paraId="2CF2733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106.7</w:t>
            </w:r>
          </w:p>
        </w:tc>
        <w:tc>
          <w:tcPr>
            <w:tcW w:w="1133" w:type="dxa"/>
          </w:tcPr>
          <w:p w14:paraId="6C3A767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9DEC41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216582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E401B1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 </w:t>
            </w:r>
          </w:p>
        </w:tc>
        <w:tc>
          <w:tcPr>
            <w:tcW w:w="714" w:type="dxa"/>
          </w:tcPr>
          <w:p w14:paraId="7C5D370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F14B50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8718AE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6EADD6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B3D248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3AEC33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$747 </w:t>
            </w:r>
          </w:p>
        </w:tc>
        <w:tc>
          <w:tcPr>
            <w:tcW w:w="1133" w:type="dxa"/>
          </w:tcPr>
          <w:p w14:paraId="0283876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AEEF26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A64664E" w14:textId="77777777" w:rsidTr="00F614B7">
        <w:tblPrEx>
          <w:tblCellMar>
            <w:left w:w="108" w:type="dxa"/>
            <w:right w:w="108" w:type="dxa"/>
          </w:tblCellMar>
        </w:tblPrEx>
        <w:trPr>
          <w:trHeight w:val="278"/>
        </w:trPr>
        <w:tc>
          <w:tcPr>
            <w:tcW w:w="1841" w:type="dxa"/>
          </w:tcPr>
          <w:p w14:paraId="5D0AB4E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A3 Specialist</w:t>
            </w:r>
          </w:p>
        </w:tc>
        <w:tc>
          <w:tcPr>
            <w:tcW w:w="707" w:type="dxa"/>
          </w:tcPr>
          <w:p w14:paraId="7EC9E93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108</w:t>
            </w:r>
          </w:p>
        </w:tc>
        <w:tc>
          <w:tcPr>
            <w:tcW w:w="991" w:type="dxa"/>
          </w:tcPr>
          <w:p w14:paraId="2305C9B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67.55</w:t>
            </w:r>
          </w:p>
        </w:tc>
        <w:tc>
          <w:tcPr>
            <w:tcW w:w="1133" w:type="dxa"/>
          </w:tcPr>
          <w:p w14:paraId="301925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FCC615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EBF636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F56537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 </w:t>
            </w:r>
          </w:p>
        </w:tc>
        <w:tc>
          <w:tcPr>
            <w:tcW w:w="714" w:type="dxa"/>
          </w:tcPr>
          <w:p w14:paraId="6DCCFA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BB8031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D5BC5C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4C01CB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91A911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B3DF04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$203 </w:t>
            </w:r>
          </w:p>
        </w:tc>
        <w:tc>
          <w:tcPr>
            <w:tcW w:w="1133" w:type="dxa"/>
          </w:tcPr>
          <w:p w14:paraId="1238DA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A1C4A8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99FAE2D" w14:textId="77777777" w:rsidTr="00F614B7">
        <w:tblPrEx>
          <w:tblCellMar>
            <w:left w:w="108" w:type="dxa"/>
            <w:right w:w="108" w:type="dxa"/>
          </w:tblCellMar>
        </w:tblPrEx>
        <w:trPr>
          <w:trHeight w:val="278"/>
        </w:trPr>
        <w:tc>
          <w:tcPr>
            <w:tcW w:w="1841" w:type="dxa"/>
          </w:tcPr>
          <w:p w14:paraId="18B56D7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033551B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110</w:t>
            </w:r>
          </w:p>
        </w:tc>
        <w:tc>
          <w:tcPr>
            <w:tcW w:w="991" w:type="dxa"/>
          </w:tcPr>
          <w:p w14:paraId="2F8D7B8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128.3</w:t>
            </w:r>
          </w:p>
        </w:tc>
        <w:tc>
          <w:tcPr>
            <w:tcW w:w="1133" w:type="dxa"/>
          </w:tcPr>
          <w:p w14:paraId="61C8C8E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74,272 </w:t>
            </w:r>
          </w:p>
        </w:tc>
        <w:tc>
          <w:tcPr>
            <w:tcW w:w="993" w:type="dxa"/>
          </w:tcPr>
          <w:p w14:paraId="6ED035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492624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ED1991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9EB940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D9B782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05CA02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$9,529,098 </w:t>
            </w:r>
          </w:p>
        </w:tc>
        <w:tc>
          <w:tcPr>
            <w:tcW w:w="994" w:type="dxa"/>
          </w:tcPr>
          <w:p w14:paraId="3C78859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6A96C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CAD01F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43156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3DF53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95352BB" w14:textId="77777777" w:rsidTr="00F614B7">
        <w:tblPrEx>
          <w:tblCellMar>
            <w:left w:w="108" w:type="dxa"/>
            <w:right w:w="108" w:type="dxa"/>
          </w:tblCellMar>
        </w:tblPrEx>
        <w:trPr>
          <w:trHeight w:val="278"/>
        </w:trPr>
        <w:tc>
          <w:tcPr>
            <w:tcW w:w="1841" w:type="dxa"/>
          </w:tcPr>
          <w:p w14:paraId="0DE9DD1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5FD3DF5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112</w:t>
            </w:r>
          </w:p>
        </w:tc>
        <w:tc>
          <w:tcPr>
            <w:tcW w:w="991" w:type="dxa"/>
          </w:tcPr>
          <w:p w14:paraId="5E2D30C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54.5275</w:t>
            </w:r>
          </w:p>
        </w:tc>
        <w:tc>
          <w:tcPr>
            <w:tcW w:w="1133" w:type="dxa"/>
          </w:tcPr>
          <w:p w14:paraId="06B61A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3325E5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E5919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B4089A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45EE53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2F4926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BA074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5AA9C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D4C266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D6AF1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AC637D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15808B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DFA26B1" w14:textId="77777777" w:rsidTr="00F614B7">
        <w:tblPrEx>
          <w:tblCellMar>
            <w:left w:w="108" w:type="dxa"/>
            <w:right w:w="108" w:type="dxa"/>
          </w:tblCellMar>
        </w:tblPrEx>
        <w:trPr>
          <w:trHeight w:val="278"/>
        </w:trPr>
        <w:tc>
          <w:tcPr>
            <w:tcW w:w="1841" w:type="dxa"/>
          </w:tcPr>
          <w:p w14:paraId="0C99D29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A4 Consultant Physician </w:t>
            </w:r>
            <w:r w:rsidRPr="00720E20">
              <w:rPr>
                <w:rFonts w:ascii="Arial Narrow" w:hAnsi="Arial Narrow" w:cs="Calibri"/>
                <w:color w:val="000000"/>
                <w:sz w:val="18"/>
                <w:szCs w:val="18"/>
                <w:lang w:val="en-US" w:eastAsia="en-AU"/>
              </w:rPr>
              <w:lastRenderedPageBreak/>
              <w:t>(other than Psychiatry)</w:t>
            </w:r>
          </w:p>
        </w:tc>
        <w:tc>
          <w:tcPr>
            <w:tcW w:w="707" w:type="dxa"/>
          </w:tcPr>
          <w:p w14:paraId="04317C1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116</w:t>
            </w:r>
          </w:p>
        </w:tc>
        <w:tc>
          <w:tcPr>
            <w:tcW w:w="991" w:type="dxa"/>
          </w:tcPr>
          <w:p w14:paraId="797375B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64.2</w:t>
            </w:r>
          </w:p>
        </w:tc>
        <w:tc>
          <w:tcPr>
            <w:tcW w:w="1133" w:type="dxa"/>
          </w:tcPr>
          <w:p w14:paraId="5D78FAF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541138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335,244 </w:t>
            </w:r>
          </w:p>
        </w:tc>
        <w:tc>
          <w:tcPr>
            <w:tcW w:w="992" w:type="dxa"/>
          </w:tcPr>
          <w:p w14:paraId="2C96D93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216FAA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69AA7F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629A9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74A5C5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AC61B8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r w:rsidRPr="00720E20">
              <w:rPr>
                <w:rFonts w:ascii="Arial Narrow" w:hAnsi="Arial Narrow" w:cs="Calibri"/>
                <w:color w:val="000000"/>
                <w:sz w:val="18"/>
                <w:szCs w:val="18"/>
                <w:lang w:val="en-US" w:eastAsia="en-AU"/>
              </w:rPr>
              <w:lastRenderedPageBreak/>
              <w:t xml:space="preserve">$21,522,665 </w:t>
            </w:r>
          </w:p>
        </w:tc>
        <w:tc>
          <w:tcPr>
            <w:tcW w:w="993" w:type="dxa"/>
          </w:tcPr>
          <w:p w14:paraId="0D1BB9C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 xml:space="preserve">  </w:t>
            </w:r>
          </w:p>
        </w:tc>
        <w:tc>
          <w:tcPr>
            <w:tcW w:w="850" w:type="dxa"/>
          </w:tcPr>
          <w:p w14:paraId="7BB3D58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D14412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D14B1E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B049AF1" w14:textId="77777777" w:rsidTr="00F614B7">
        <w:tblPrEx>
          <w:tblCellMar>
            <w:left w:w="108" w:type="dxa"/>
            <w:right w:w="108" w:type="dxa"/>
          </w:tblCellMar>
        </w:tblPrEx>
        <w:trPr>
          <w:trHeight w:val="278"/>
        </w:trPr>
        <w:tc>
          <w:tcPr>
            <w:tcW w:w="1841" w:type="dxa"/>
          </w:tcPr>
          <w:p w14:paraId="70AB0F1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A4 Consultant Physician (other than Psychiatry)</w:t>
            </w:r>
          </w:p>
        </w:tc>
        <w:tc>
          <w:tcPr>
            <w:tcW w:w="707" w:type="dxa"/>
          </w:tcPr>
          <w:p w14:paraId="6D6FE24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119</w:t>
            </w:r>
          </w:p>
        </w:tc>
        <w:tc>
          <w:tcPr>
            <w:tcW w:w="991" w:type="dxa"/>
          </w:tcPr>
          <w:p w14:paraId="78491C6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36.55</w:t>
            </w:r>
          </w:p>
        </w:tc>
        <w:tc>
          <w:tcPr>
            <w:tcW w:w="1133" w:type="dxa"/>
          </w:tcPr>
          <w:p w14:paraId="27D38E6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A0C0B4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2,683 </w:t>
            </w:r>
          </w:p>
        </w:tc>
        <w:tc>
          <w:tcPr>
            <w:tcW w:w="992" w:type="dxa"/>
          </w:tcPr>
          <w:p w14:paraId="3B1932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0BFC40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7D1538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47D76D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C4432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F618EE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$98,064 </w:t>
            </w:r>
          </w:p>
        </w:tc>
        <w:tc>
          <w:tcPr>
            <w:tcW w:w="993" w:type="dxa"/>
          </w:tcPr>
          <w:p w14:paraId="7CB301B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A568BB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53C015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A0D4B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AACB1E3" w14:textId="77777777" w:rsidTr="00F614B7">
        <w:tblPrEx>
          <w:tblCellMar>
            <w:left w:w="108" w:type="dxa"/>
            <w:right w:w="108" w:type="dxa"/>
          </w:tblCellMar>
        </w:tblPrEx>
        <w:trPr>
          <w:trHeight w:val="278"/>
        </w:trPr>
        <w:tc>
          <w:tcPr>
            <w:tcW w:w="1841" w:type="dxa"/>
          </w:tcPr>
          <w:p w14:paraId="7AB9075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275C3F5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122</w:t>
            </w:r>
          </w:p>
        </w:tc>
        <w:tc>
          <w:tcPr>
            <w:tcW w:w="991" w:type="dxa"/>
          </w:tcPr>
          <w:p w14:paraId="18F6F49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155.65</w:t>
            </w:r>
          </w:p>
        </w:tc>
        <w:tc>
          <w:tcPr>
            <w:tcW w:w="1133" w:type="dxa"/>
          </w:tcPr>
          <w:p w14:paraId="5512856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295530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59F28B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5EA6B1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 </w:t>
            </w:r>
          </w:p>
        </w:tc>
        <w:tc>
          <w:tcPr>
            <w:tcW w:w="714" w:type="dxa"/>
          </w:tcPr>
          <w:p w14:paraId="3D1A62F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854487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46D05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56B6F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5A816C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C7E2BA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$778 </w:t>
            </w:r>
          </w:p>
        </w:tc>
        <w:tc>
          <w:tcPr>
            <w:tcW w:w="1133" w:type="dxa"/>
          </w:tcPr>
          <w:p w14:paraId="1F5D866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1F9E40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3C2A43C" w14:textId="77777777" w:rsidTr="00F614B7">
        <w:tblPrEx>
          <w:tblCellMar>
            <w:left w:w="108" w:type="dxa"/>
            <w:right w:w="108" w:type="dxa"/>
          </w:tblCellMar>
        </w:tblPrEx>
        <w:trPr>
          <w:trHeight w:val="278"/>
        </w:trPr>
        <w:tc>
          <w:tcPr>
            <w:tcW w:w="1841" w:type="dxa"/>
          </w:tcPr>
          <w:p w14:paraId="5E311BC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1D041BC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128</w:t>
            </w:r>
          </w:p>
        </w:tc>
        <w:tc>
          <w:tcPr>
            <w:tcW w:w="991" w:type="dxa"/>
          </w:tcPr>
          <w:p w14:paraId="41AA83C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94.15</w:t>
            </w:r>
          </w:p>
        </w:tc>
        <w:tc>
          <w:tcPr>
            <w:tcW w:w="1133" w:type="dxa"/>
          </w:tcPr>
          <w:p w14:paraId="458D2A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396E5F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76 </w:t>
            </w:r>
          </w:p>
        </w:tc>
        <w:tc>
          <w:tcPr>
            <w:tcW w:w="992" w:type="dxa"/>
          </w:tcPr>
          <w:p w14:paraId="5F023A9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38E42E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3A8F9B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7481006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3F9533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5EFA897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$7,155 </w:t>
            </w:r>
          </w:p>
        </w:tc>
        <w:tc>
          <w:tcPr>
            <w:tcW w:w="993" w:type="dxa"/>
          </w:tcPr>
          <w:p w14:paraId="4C77CF2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B52E4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6228F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6EE01A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5CFD275" w14:textId="77777777" w:rsidTr="00F614B7">
        <w:tblPrEx>
          <w:tblCellMar>
            <w:left w:w="108" w:type="dxa"/>
            <w:right w:w="108" w:type="dxa"/>
          </w:tblCellMar>
        </w:tblPrEx>
        <w:trPr>
          <w:trHeight w:val="278"/>
        </w:trPr>
        <w:tc>
          <w:tcPr>
            <w:tcW w:w="1841" w:type="dxa"/>
          </w:tcPr>
          <w:p w14:paraId="1D2364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71D6EA0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131</w:t>
            </w:r>
          </w:p>
        </w:tc>
        <w:tc>
          <w:tcPr>
            <w:tcW w:w="991" w:type="dxa"/>
          </w:tcPr>
          <w:p w14:paraId="5CDD852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67.8</w:t>
            </w:r>
          </w:p>
        </w:tc>
        <w:tc>
          <w:tcPr>
            <w:tcW w:w="1133" w:type="dxa"/>
          </w:tcPr>
          <w:p w14:paraId="39493AC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9618EF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 </w:t>
            </w:r>
          </w:p>
        </w:tc>
        <w:tc>
          <w:tcPr>
            <w:tcW w:w="992" w:type="dxa"/>
          </w:tcPr>
          <w:p w14:paraId="3EB627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D19BCD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F6EA76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317DFE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5F6369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19991E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$407 </w:t>
            </w:r>
          </w:p>
        </w:tc>
        <w:tc>
          <w:tcPr>
            <w:tcW w:w="993" w:type="dxa"/>
          </w:tcPr>
          <w:p w14:paraId="6B80251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E1B9DB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47EAF3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B1528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9C46A03" w14:textId="77777777" w:rsidTr="00F614B7">
        <w:tblPrEx>
          <w:tblCellMar>
            <w:left w:w="108" w:type="dxa"/>
            <w:right w:w="108" w:type="dxa"/>
          </w:tblCellMar>
        </w:tblPrEx>
        <w:trPr>
          <w:trHeight w:val="278"/>
        </w:trPr>
        <w:tc>
          <w:tcPr>
            <w:tcW w:w="1841" w:type="dxa"/>
          </w:tcPr>
          <w:p w14:paraId="00C99B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515EBAB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132</w:t>
            </w:r>
          </w:p>
        </w:tc>
        <w:tc>
          <w:tcPr>
            <w:tcW w:w="991" w:type="dxa"/>
          </w:tcPr>
          <w:p w14:paraId="3A2EC49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224.35</w:t>
            </w:r>
          </w:p>
        </w:tc>
        <w:tc>
          <w:tcPr>
            <w:tcW w:w="1133" w:type="dxa"/>
          </w:tcPr>
          <w:p w14:paraId="2F37E72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EABECB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4A59DC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14,568 </w:t>
            </w:r>
          </w:p>
        </w:tc>
        <w:tc>
          <w:tcPr>
            <w:tcW w:w="992" w:type="dxa"/>
          </w:tcPr>
          <w:p w14:paraId="10A3691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804347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45D4BD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A32463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5BBF1F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63F3A1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$3,268,331 </w:t>
            </w:r>
          </w:p>
        </w:tc>
        <w:tc>
          <w:tcPr>
            <w:tcW w:w="850" w:type="dxa"/>
          </w:tcPr>
          <w:p w14:paraId="52A58E7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457C8A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6B9321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3F5F3E2" w14:textId="77777777" w:rsidTr="00F614B7">
        <w:tblPrEx>
          <w:tblCellMar>
            <w:left w:w="108" w:type="dxa"/>
            <w:right w:w="108" w:type="dxa"/>
          </w:tblCellMar>
        </w:tblPrEx>
        <w:trPr>
          <w:trHeight w:val="278"/>
        </w:trPr>
        <w:tc>
          <w:tcPr>
            <w:tcW w:w="1841" w:type="dxa"/>
          </w:tcPr>
          <w:p w14:paraId="6F23C90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A4 Consultant Physician (other than Psychiatry)</w:t>
            </w:r>
          </w:p>
        </w:tc>
        <w:tc>
          <w:tcPr>
            <w:tcW w:w="707" w:type="dxa"/>
          </w:tcPr>
          <w:p w14:paraId="4AE33C5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133</w:t>
            </w:r>
          </w:p>
        </w:tc>
        <w:tc>
          <w:tcPr>
            <w:tcW w:w="991" w:type="dxa"/>
          </w:tcPr>
          <w:p w14:paraId="0A8F0E7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112.3</w:t>
            </w:r>
          </w:p>
        </w:tc>
        <w:tc>
          <w:tcPr>
            <w:tcW w:w="1133" w:type="dxa"/>
          </w:tcPr>
          <w:p w14:paraId="2D2A561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C35F4B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CFAF9E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10,821 </w:t>
            </w:r>
          </w:p>
        </w:tc>
        <w:tc>
          <w:tcPr>
            <w:tcW w:w="992" w:type="dxa"/>
          </w:tcPr>
          <w:p w14:paraId="535328A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84B7EE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3508E3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46D424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6E9382C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C0C7A2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$1,215,198 </w:t>
            </w:r>
          </w:p>
        </w:tc>
        <w:tc>
          <w:tcPr>
            <w:tcW w:w="850" w:type="dxa"/>
          </w:tcPr>
          <w:p w14:paraId="75B7528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4E60A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83BAA0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E371BAC" w14:textId="77777777" w:rsidTr="00F614B7">
        <w:tblPrEx>
          <w:tblCellMar>
            <w:left w:w="108" w:type="dxa"/>
            <w:right w:w="108" w:type="dxa"/>
          </w:tblCellMar>
        </w:tblPrEx>
        <w:trPr>
          <w:trHeight w:val="278"/>
        </w:trPr>
        <w:tc>
          <w:tcPr>
            <w:tcW w:w="1841" w:type="dxa"/>
          </w:tcPr>
          <w:p w14:paraId="0D99E0D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A5 Prolonged</w:t>
            </w:r>
          </w:p>
        </w:tc>
        <w:tc>
          <w:tcPr>
            <w:tcW w:w="707" w:type="dxa"/>
          </w:tcPr>
          <w:p w14:paraId="6352A93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160</w:t>
            </w:r>
          </w:p>
        </w:tc>
        <w:tc>
          <w:tcPr>
            <w:tcW w:w="991" w:type="dxa"/>
          </w:tcPr>
          <w:p w14:paraId="75325D0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217.15</w:t>
            </w:r>
          </w:p>
        </w:tc>
        <w:tc>
          <w:tcPr>
            <w:tcW w:w="1133" w:type="dxa"/>
          </w:tcPr>
          <w:p w14:paraId="28288CC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6AE3644"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168 </w:t>
            </w:r>
          </w:p>
        </w:tc>
        <w:tc>
          <w:tcPr>
            <w:tcW w:w="992" w:type="dxa"/>
          </w:tcPr>
          <w:p w14:paraId="5464A57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42CD37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6B98B7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729460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56F570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B6B5A8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$36,481 </w:t>
            </w:r>
          </w:p>
        </w:tc>
        <w:tc>
          <w:tcPr>
            <w:tcW w:w="993" w:type="dxa"/>
          </w:tcPr>
          <w:p w14:paraId="507CA7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93233F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6003E2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25C690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26BE5BA" w14:textId="77777777" w:rsidTr="00F614B7">
        <w:tblPrEx>
          <w:tblCellMar>
            <w:left w:w="108" w:type="dxa"/>
            <w:right w:w="108" w:type="dxa"/>
          </w:tblCellMar>
        </w:tblPrEx>
        <w:trPr>
          <w:trHeight w:val="278"/>
        </w:trPr>
        <w:tc>
          <w:tcPr>
            <w:tcW w:w="1841" w:type="dxa"/>
          </w:tcPr>
          <w:p w14:paraId="132D6A4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A5 Prolonged</w:t>
            </w:r>
          </w:p>
        </w:tc>
        <w:tc>
          <w:tcPr>
            <w:tcW w:w="707" w:type="dxa"/>
          </w:tcPr>
          <w:p w14:paraId="5054147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161</w:t>
            </w:r>
          </w:p>
        </w:tc>
        <w:tc>
          <w:tcPr>
            <w:tcW w:w="991" w:type="dxa"/>
          </w:tcPr>
          <w:p w14:paraId="44A2FDA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361.9</w:t>
            </w:r>
          </w:p>
        </w:tc>
        <w:tc>
          <w:tcPr>
            <w:tcW w:w="1133" w:type="dxa"/>
          </w:tcPr>
          <w:p w14:paraId="3BEA3F1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48266F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 </w:t>
            </w:r>
          </w:p>
        </w:tc>
        <w:tc>
          <w:tcPr>
            <w:tcW w:w="992" w:type="dxa"/>
          </w:tcPr>
          <w:p w14:paraId="39B5BC6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C0949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B4D19C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7E30A9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C1908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75FA76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$1,810 </w:t>
            </w:r>
          </w:p>
        </w:tc>
        <w:tc>
          <w:tcPr>
            <w:tcW w:w="993" w:type="dxa"/>
          </w:tcPr>
          <w:p w14:paraId="7BA697F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41211F1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EB1D9D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7FFFBC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60A41F0F" w14:textId="77777777" w:rsidTr="00F614B7">
        <w:tblPrEx>
          <w:tblCellMar>
            <w:left w:w="108" w:type="dxa"/>
            <w:right w:w="108" w:type="dxa"/>
          </w:tblCellMar>
        </w:tblPrEx>
        <w:trPr>
          <w:trHeight w:val="278"/>
        </w:trPr>
        <w:tc>
          <w:tcPr>
            <w:tcW w:w="1841" w:type="dxa"/>
          </w:tcPr>
          <w:p w14:paraId="7058ECF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A5 Prolonged</w:t>
            </w:r>
          </w:p>
        </w:tc>
        <w:tc>
          <w:tcPr>
            <w:tcW w:w="707" w:type="dxa"/>
          </w:tcPr>
          <w:p w14:paraId="1E874B6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162</w:t>
            </w:r>
          </w:p>
        </w:tc>
        <w:tc>
          <w:tcPr>
            <w:tcW w:w="991" w:type="dxa"/>
          </w:tcPr>
          <w:p w14:paraId="47652E9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506.5</w:t>
            </w:r>
          </w:p>
        </w:tc>
        <w:tc>
          <w:tcPr>
            <w:tcW w:w="1133" w:type="dxa"/>
          </w:tcPr>
          <w:p w14:paraId="0FB97E8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A3887F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 </w:t>
            </w:r>
          </w:p>
        </w:tc>
        <w:tc>
          <w:tcPr>
            <w:tcW w:w="992" w:type="dxa"/>
          </w:tcPr>
          <w:p w14:paraId="45C4F70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045C1C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7F26C66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D964D9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5A2B4A2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9C9CCF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$1,520 </w:t>
            </w:r>
          </w:p>
        </w:tc>
        <w:tc>
          <w:tcPr>
            <w:tcW w:w="993" w:type="dxa"/>
          </w:tcPr>
          <w:p w14:paraId="5DC9A63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BF9FD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0884E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83BFEA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D58BF2A" w14:textId="77777777" w:rsidTr="00F614B7">
        <w:tblPrEx>
          <w:tblCellMar>
            <w:left w:w="108" w:type="dxa"/>
            <w:right w:w="108" w:type="dxa"/>
          </w:tblCellMar>
        </w:tblPrEx>
        <w:trPr>
          <w:trHeight w:val="278"/>
        </w:trPr>
        <w:tc>
          <w:tcPr>
            <w:tcW w:w="1841" w:type="dxa"/>
          </w:tcPr>
          <w:p w14:paraId="1348619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A5 Prolonged</w:t>
            </w:r>
          </w:p>
        </w:tc>
        <w:tc>
          <w:tcPr>
            <w:tcW w:w="707" w:type="dxa"/>
          </w:tcPr>
          <w:p w14:paraId="5AD56B5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164</w:t>
            </w:r>
          </w:p>
        </w:tc>
        <w:tc>
          <w:tcPr>
            <w:tcW w:w="991" w:type="dxa"/>
          </w:tcPr>
          <w:p w14:paraId="48850336"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723.9</w:t>
            </w:r>
          </w:p>
        </w:tc>
        <w:tc>
          <w:tcPr>
            <w:tcW w:w="1133" w:type="dxa"/>
          </w:tcPr>
          <w:p w14:paraId="31D9177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065284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73C84B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613768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3B66AF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832445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1B75C4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0063A3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$724 </w:t>
            </w:r>
          </w:p>
        </w:tc>
        <w:tc>
          <w:tcPr>
            <w:tcW w:w="993" w:type="dxa"/>
          </w:tcPr>
          <w:p w14:paraId="59F36FD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6B16AFF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068C82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ED2858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F08748A" w14:textId="77777777" w:rsidTr="00F614B7">
        <w:tblPrEx>
          <w:tblCellMar>
            <w:left w:w="108" w:type="dxa"/>
            <w:right w:w="108" w:type="dxa"/>
          </w:tblCellMar>
        </w:tblPrEx>
        <w:trPr>
          <w:trHeight w:val="278"/>
        </w:trPr>
        <w:tc>
          <w:tcPr>
            <w:tcW w:w="1841" w:type="dxa"/>
          </w:tcPr>
          <w:p w14:paraId="30AAA08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A6 Group Therapy (other than by psychiatrist)</w:t>
            </w:r>
          </w:p>
        </w:tc>
        <w:tc>
          <w:tcPr>
            <w:tcW w:w="707" w:type="dxa"/>
          </w:tcPr>
          <w:p w14:paraId="1CDD0E9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170</w:t>
            </w:r>
          </w:p>
        </w:tc>
        <w:tc>
          <w:tcPr>
            <w:tcW w:w="991" w:type="dxa"/>
          </w:tcPr>
          <w:p w14:paraId="6785B5D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115.25</w:t>
            </w:r>
          </w:p>
        </w:tc>
        <w:tc>
          <w:tcPr>
            <w:tcW w:w="1133" w:type="dxa"/>
          </w:tcPr>
          <w:p w14:paraId="0F9E8E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0C1BC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36583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87855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B63436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A1D163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704 </w:t>
            </w:r>
          </w:p>
        </w:tc>
        <w:tc>
          <w:tcPr>
            <w:tcW w:w="995" w:type="dxa"/>
          </w:tcPr>
          <w:p w14:paraId="58EB03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4B00301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141D76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5F10CE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B88607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9E8B22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$81,136 </w:t>
            </w:r>
          </w:p>
        </w:tc>
      </w:tr>
      <w:tr w:rsidR="007501E1" w:rsidRPr="00720E20" w14:paraId="1D9E9518" w14:textId="77777777" w:rsidTr="00F614B7">
        <w:tblPrEx>
          <w:tblCellMar>
            <w:left w:w="108" w:type="dxa"/>
            <w:right w:w="108" w:type="dxa"/>
          </w:tblCellMar>
        </w:tblPrEx>
        <w:trPr>
          <w:trHeight w:val="278"/>
        </w:trPr>
        <w:tc>
          <w:tcPr>
            <w:tcW w:w="1841" w:type="dxa"/>
          </w:tcPr>
          <w:p w14:paraId="726BA63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A7 Acupuncture</w:t>
            </w:r>
          </w:p>
        </w:tc>
        <w:tc>
          <w:tcPr>
            <w:tcW w:w="707" w:type="dxa"/>
          </w:tcPr>
          <w:p w14:paraId="26D3EB1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173</w:t>
            </w:r>
          </w:p>
        </w:tc>
        <w:tc>
          <w:tcPr>
            <w:tcW w:w="991" w:type="dxa"/>
          </w:tcPr>
          <w:p w14:paraId="2AEE8EE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21.65</w:t>
            </w:r>
          </w:p>
        </w:tc>
        <w:tc>
          <w:tcPr>
            <w:tcW w:w="1133" w:type="dxa"/>
          </w:tcPr>
          <w:p w14:paraId="1CEBDFB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FF2867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361D36E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9D12F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9065FA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5490A5B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4C33519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67CD4F4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$22 </w:t>
            </w:r>
          </w:p>
        </w:tc>
        <w:tc>
          <w:tcPr>
            <w:tcW w:w="993" w:type="dxa"/>
          </w:tcPr>
          <w:p w14:paraId="4A67B06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6E68C0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559695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CF7E8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6B148E9" w14:textId="77777777" w:rsidTr="00F614B7">
        <w:tblPrEx>
          <w:tblCellMar>
            <w:left w:w="108" w:type="dxa"/>
            <w:right w:w="108" w:type="dxa"/>
          </w:tblCellMar>
        </w:tblPrEx>
        <w:trPr>
          <w:trHeight w:val="278"/>
        </w:trPr>
        <w:tc>
          <w:tcPr>
            <w:tcW w:w="1841" w:type="dxa"/>
          </w:tcPr>
          <w:p w14:paraId="67CA8E7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A8 Consultant </w:t>
            </w:r>
            <w:r w:rsidRPr="00720E20">
              <w:rPr>
                <w:rFonts w:ascii="Arial Narrow" w:hAnsi="Arial Narrow" w:cs="Calibri"/>
                <w:color w:val="000000"/>
                <w:sz w:val="18"/>
                <w:szCs w:val="18"/>
                <w:lang w:val="en-US" w:eastAsia="en-AU"/>
              </w:rPr>
              <w:lastRenderedPageBreak/>
              <w:t>Psychiatrist</w:t>
            </w:r>
          </w:p>
        </w:tc>
        <w:tc>
          <w:tcPr>
            <w:tcW w:w="707" w:type="dxa"/>
          </w:tcPr>
          <w:p w14:paraId="60C82F6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291</w:t>
            </w:r>
          </w:p>
        </w:tc>
        <w:tc>
          <w:tcPr>
            <w:tcW w:w="991" w:type="dxa"/>
          </w:tcPr>
          <w:p w14:paraId="7ACFDA9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384.8</w:t>
            </w:r>
          </w:p>
        </w:tc>
        <w:tc>
          <w:tcPr>
            <w:tcW w:w="1133" w:type="dxa"/>
          </w:tcPr>
          <w:p w14:paraId="1301879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CBC1A5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74BCEC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 </w:t>
            </w:r>
          </w:p>
        </w:tc>
        <w:tc>
          <w:tcPr>
            <w:tcW w:w="992" w:type="dxa"/>
          </w:tcPr>
          <w:p w14:paraId="524796B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F6D7A5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5FC2F1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6A7F92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50EE91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8103A8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$385 </w:t>
            </w:r>
          </w:p>
        </w:tc>
        <w:tc>
          <w:tcPr>
            <w:tcW w:w="850" w:type="dxa"/>
          </w:tcPr>
          <w:p w14:paraId="31A1D82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8ED65B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663333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24DCEDD" w14:textId="77777777" w:rsidTr="00F614B7">
        <w:tblPrEx>
          <w:tblCellMar>
            <w:left w:w="108" w:type="dxa"/>
            <w:right w:w="108" w:type="dxa"/>
          </w:tblCellMar>
        </w:tblPrEx>
        <w:trPr>
          <w:trHeight w:val="278"/>
        </w:trPr>
        <w:tc>
          <w:tcPr>
            <w:tcW w:w="1841" w:type="dxa"/>
          </w:tcPr>
          <w:p w14:paraId="2A46CA6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lastRenderedPageBreak/>
              <w:t>A8 Consultant Psychiatrist</w:t>
            </w:r>
          </w:p>
        </w:tc>
        <w:tc>
          <w:tcPr>
            <w:tcW w:w="707" w:type="dxa"/>
          </w:tcPr>
          <w:p w14:paraId="78CF3D8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296</w:t>
            </w:r>
          </w:p>
        </w:tc>
        <w:tc>
          <w:tcPr>
            <w:tcW w:w="991" w:type="dxa"/>
          </w:tcPr>
          <w:p w14:paraId="417991F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221.3</w:t>
            </w:r>
          </w:p>
        </w:tc>
        <w:tc>
          <w:tcPr>
            <w:tcW w:w="1133" w:type="dxa"/>
          </w:tcPr>
          <w:p w14:paraId="6FE22DE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362 </w:t>
            </w:r>
          </w:p>
        </w:tc>
        <w:tc>
          <w:tcPr>
            <w:tcW w:w="993" w:type="dxa"/>
          </w:tcPr>
          <w:p w14:paraId="53083AC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DC3DD4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E0DBA3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4FAE023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198965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5CD03B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$80,111 </w:t>
            </w:r>
          </w:p>
        </w:tc>
        <w:tc>
          <w:tcPr>
            <w:tcW w:w="994" w:type="dxa"/>
          </w:tcPr>
          <w:p w14:paraId="15154BF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D10288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FF0CA0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382F42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1DDBAA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5ECDA1C" w14:textId="77777777" w:rsidTr="00F614B7">
        <w:tblPrEx>
          <w:tblCellMar>
            <w:left w:w="108" w:type="dxa"/>
            <w:right w:w="108" w:type="dxa"/>
          </w:tblCellMar>
        </w:tblPrEx>
        <w:trPr>
          <w:trHeight w:val="278"/>
        </w:trPr>
        <w:tc>
          <w:tcPr>
            <w:tcW w:w="1841" w:type="dxa"/>
          </w:tcPr>
          <w:p w14:paraId="6E05D15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703D24B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297</w:t>
            </w:r>
          </w:p>
        </w:tc>
        <w:tc>
          <w:tcPr>
            <w:tcW w:w="991" w:type="dxa"/>
          </w:tcPr>
          <w:p w14:paraId="74B7459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221.3</w:t>
            </w:r>
          </w:p>
        </w:tc>
        <w:tc>
          <w:tcPr>
            <w:tcW w:w="1133" w:type="dxa"/>
          </w:tcPr>
          <w:p w14:paraId="35F5B77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2E8BB1E3"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 </w:t>
            </w:r>
          </w:p>
        </w:tc>
        <w:tc>
          <w:tcPr>
            <w:tcW w:w="992" w:type="dxa"/>
          </w:tcPr>
          <w:p w14:paraId="403415A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92F666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1A7798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792A798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D84E9B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F07CC6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$1,549 </w:t>
            </w:r>
          </w:p>
        </w:tc>
        <w:tc>
          <w:tcPr>
            <w:tcW w:w="993" w:type="dxa"/>
          </w:tcPr>
          <w:p w14:paraId="0939760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C7249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7816F3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B93F36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248BCAC8" w14:textId="77777777" w:rsidTr="00F614B7">
        <w:tblPrEx>
          <w:tblCellMar>
            <w:left w:w="108" w:type="dxa"/>
            <w:right w:w="108" w:type="dxa"/>
          </w:tblCellMar>
        </w:tblPrEx>
        <w:trPr>
          <w:trHeight w:val="278"/>
        </w:trPr>
        <w:tc>
          <w:tcPr>
            <w:tcW w:w="1841" w:type="dxa"/>
          </w:tcPr>
          <w:p w14:paraId="6A78200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1D71FE7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302</w:t>
            </w:r>
          </w:p>
        </w:tc>
        <w:tc>
          <w:tcPr>
            <w:tcW w:w="991" w:type="dxa"/>
          </w:tcPr>
          <w:p w14:paraId="393CFFF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73.5</w:t>
            </w:r>
          </w:p>
        </w:tc>
        <w:tc>
          <w:tcPr>
            <w:tcW w:w="1133" w:type="dxa"/>
          </w:tcPr>
          <w:p w14:paraId="7434788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C01A08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482 </w:t>
            </w:r>
          </w:p>
        </w:tc>
        <w:tc>
          <w:tcPr>
            <w:tcW w:w="992" w:type="dxa"/>
          </w:tcPr>
          <w:p w14:paraId="0579074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F1928A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338694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362C8D6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638BD5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9C4C38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$35,427 </w:t>
            </w:r>
          </w:p>
        </w:tc>
        <w:tc>
          <w:tcPr>
            <w:tcW w:w="993" w:type="dxa"/>
          </w:tcPr>
          <w:p w14:paraId="7C8D840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C0F020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6CD4E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D572D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13946F58" w14:textId="77777777" w:rsidTr="00F614B7">
        <w:tblPrEx>
          <w:tblCellMar>
            <w:left w:w="108" w:type="dxa"/>
            <w:right w:w="108" w:type="dxa"/>
          </w:tblCellMar>
        </w:tblPrEx>
        <w:trPr>
          <w:trHeight w:val="278"/>
        </w:trPr>
        <w:tc>
          <w:tcPr>
            <w:tcW w:w="1841" w:type="dxa"/>
          </w:tcPr>
          <w:p w14:paraId="21EF10E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6B685B3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304</w:t>
            </w:r>
          </w:p>
        </w:tc>
        <w:tc>
          <w:tcPr>
            <w:tcW w:w="991" w:type="dxa"/>
          </w:tcPr>
          <w:p w14:paraId="1D810D87"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113.15</w:t>
            </w:r>
          </w:p>
        </w:tc>
        <w:tc>
          <w:tcPr>
            <w:tcW w:w="1133" w:type="dxa"/>
          </w:tcPr>
          <w:p w14:paraId="7AF0A9E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7DB366D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1,447 </w:t>
            </w:r>
          </w:p>
        </w:tc>
        <w:tc>
          <w:tcPr>
            <w:tcW w:w="992" w:type="dxa"/>
          </w:tcPr>
          <w:p w14:paraId="667D81F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7EF2F8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DFE34B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C3A1E9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CB437D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8CFC4D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$163,728 </w:t>
            </w:r>
          </w:p>
        </w:tc>
        <w:tc>
          <w:tcPr>
            <w:tcW w:w="993" w:type="dxa"/>
          </w:tcPr>
          <w:p w14:paraId="75BE743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67D709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5545DF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0A6A1A9"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39EA0A87" w14:textId="77777777" w:rsidTr="00F614B7">
        <w:tblPrEx>
          <w:tblCellMar>
            <w:left w:w="108" w:type="dxa"/>
            <w:right w:w="108" w:type="dxa"/>
          </w:tblCellMar>
        </w:tblPrEx>
        <w:trPr>
          <w:trHeight w:val="278"/>
        </w:trPr>
        <w:tc>
          <w:tcPr>
            <w:tcW w:w="1841" w:type="dxa"/>
          </w:tcPr>
          <w:p w14:paraId="4080371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11CF6F6D"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306</w:t>
            </w:r>
          </w:p>
        </w:tc>
        <w:tc>
          <w:tcPr>
            <w:tcW w:w="991" w:type="dxa"/>
          </w:tcPr>
          <w:p w14:paraId="5DF26B9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156.15</w:t>
            </w:r>
          </w:p>
        </w:tc>
        <w:tc>
          <w:tcPr>
            <w:tcW w:w="1133" w:type="dxa"/>
          </w:tcPr>
          <w:p w14:paraId="38161BC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3357E2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2,910 </w:t>
            </w:r>
          </w:p>
        </w:tc>
        <w:tc>
          <w:tcPr>
            <w:tcW w:w="992" w:type="dxa"/>
          </w:tcPr>
          <w:p w14:paraId="7635B9F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62B44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44F3406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2F995D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7BF53ED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0A7824E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$454,397 </w:t>
            </w:r>
          </w:p>
        </w:tc>
        <w:tc>
          <w:tcPr>
            <w:tcW w:w="993" w:type="dxa"/>
          </w:tcPr>
          <w:p w14:paraId="3E2D971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60A95B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F1E5C1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ABF59F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5D14CFF" w14:textId="77777777" w:rsidTr="00F614B7">
        <w:tblPrEx>
          <w:tblCellMar>
            <w:left w:w="108" w:type="dxa"/>
            <w:right w:w="108" w:type="dxa"/>
          </w:tblCellMar>
        </w:tblPrEx>
        <w:trPr>
          <w:trHeight w:val="278"/>
        </w:trPr>
        <w:tc>
          <w:tcPr>
            <w:tcW w:w="1841" w:type="dxa"/>
          </w:tcPr>
          <w:p w14:paraId="62A2BBA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1806C58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314</w:t>
            </w:r>
          </w:p>
        </w:tc>
        <w:tc>
          <w:tcPr>
            <w:tcW w:w="991" w:type="dxa"/>
          </w:tcPr>
          <w:p w14:paraId="56D3775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56.7</w:t>
            </w:r>
          </w:p>
        </w:tc>
        <w:tc>
          <w:tcPr>
            <w:tcW w:w="1133" w:type="dxa"/>
          </w:tcPr>
          <w:p w14:paraId="09956AF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43662D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26 </w:t>
            </w:r>
          </w:p>
        </w:tc>
        <w:tc>
          <w:tcPr>
            <w:tcW w:w="992" w:type="dxa"/>
          </w:tcPr>
          <w:p w14:paraId="7579F63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62E88E3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0EA4271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A7CCB7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097595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394B642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$1,474 </w:t>
            </w:r>
          </w:p>
        </w:tc>
        <w:tc>
          <w:tcPr>
            <w:tcW w:w="993" w:type="dxa"/>
          </w:tcPr>
          <w:p w14:paraId="1C4D13B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53F92EA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197F0C0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9FDB9E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4ADB57FC" w14:textId="77777777" w:rsidTr="00F614B7">
        <w:tblPrEx>
          <w:tblCellMar>
            <w:left w:w="108" w:type="dxa"/>
            <w:right w:w="108" w:type="dxa"/>
          </w:tblCellMar>
        </w:tblPrEx>
        <w:trPr>
          <w:trHeight w:val="278"/>
        </w:trPr>
        <w:tc>
          <w:tcPr>
            <w:tcW w:w="1841" w:type="dxa"/>
          </w:tcPr>
          <w:p w14:paraId="5983C56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2F39CAE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319</w:t>
            </w:r>
          </w:p>
        </w:tc>
        <w:tc>
          <w:tcPr>
            <w:tcW w:w="991" w:type="dxa"/>
          </w:tcPr>
          <w:p w14:paraId="572AC84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156.15</w:t>
            </w:r>
          </w:p>
        </w:tc>
        <w:tc>
          <w:tcPr>
            <w:tcW w:w="1133" w:type="dxa"/>
          </w:tcPr>
          <w:p w14:paraId="1F513D8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0AB15A2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39 </w:t>
            </w:r>
          </w:p>
        </w:tc>
        <w:tc>
          <w:tcPr>
            <w:tcW w:w="992" w:type="dxa"/>
          </w:tcPr>
          <w:p w14:paraId="50DD41C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331F39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3E5AE8C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0A217D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578F68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2C979DE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$6,090 </w:t>
            </w:r>
          </w:p>
        </w:tc>
        <w:tc>
          <w:tcPr>
            <w:tcW w:w="993" w:type="dxa"/>
          </w:tcPr>
          <w:p w14:paraId="4F9235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37206BF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1DA634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21E98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2C43465" w14:textId="77777777" w:rsidTr="00F614B7">
        <w:tblPrEx>
          <w:tblCellMar>
            <w:left w:w="108" w:type="dxa"/>
            <w:right w:w="108" w:type="dxa"/>
          </w:tblCellMar>
        </w:tblPrEx>
        <w:trPr>
          <w:trHeight w:val="278"/>
        </w:trPr>
        <w:tc>
          <w:tcPr>
            <w:tcW w:w="1841" w:type="dxa"/>
          </w:tcPr>
          <w:p w14:paraId="5BCB487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20A903D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322</w:t>
            </w:r>
          </w:p>
        </w:tc>
        <w:tc>
          <w:tcPr>
            <w:tcW w:w="991" w:type="dxa"/>
          </w:tcPr>
          <w:p w14:paraId="0F04D81A"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73.5</w:t>
            </w:r>
          </w:p>
        </w:tc>
        <w:tc>
          <w:tcPr>
            <w:tcW w:w="1133" w:type="dxa"/>
          </w:tcPr>
          <w:p w14:paraId="47E3092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6BE20CDB"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1,067 </w:t>
            </w:r>
          </w:p>
        </w:tc>
        <w:tc>
          <w:tcPr>
            <w:tcW w:w="992" w:type="dxa"/>
          </w:tcPr>
          <w:p w14:paraId="5A140D8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4E585B3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EAF74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1C232B1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C39AF6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C0BFC2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$78,425 </w:t>
            </w:r>
          </w:p>
        </w:tc>
        <w:tc>
          <w:tcPr>
            <w:tcW w:w="993" w:type="dxa"/>
          </w:tcPr>
          <w:p w14:paraId="12D470C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7AF7669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028C3E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6F0E66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057DF40A" w14:textId="77777777" w:rsidTr="00F614B7">
        <w:tblPrEx>
          <w:tblCellMar>
            <w:left w:w="108" w:type="dxa"/>
            <w:right w:w="108" w:type="dxa"/>
          </w:tblCellMar>
        </w:tblPrEx>
        <w:trPr>
          <w:trHeight w:val="278"/>
        </w:trPr>
        <w:tc>
          <w:tcPr>
            <w:tcW w:w="1841" w:type="dxa"/>
          </w:tcPr>
          <w:p w14:paraId="4C1ADE4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3DCE56F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324</w:t>
            </w:r>
          </w:p>
        </w:tc>
        <w:tc>
          <w:tcPr>
            <w:tcW w:w="991" w:type="dxa"/>
          </w:tcPr>
          <w:p w14:paraId="2FEAD6F0"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113.15</w:t>
            </w:r>
          </w:p>
        </w:tc>
        <w:tc>
          <w:tcPr>
            <w:tcW w:w="1133" w:type="dxa"/>
          </w:tcPr>
          <w:p w14:paraId="5F44782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56 </w:t>
            </w:r>
          </w:p>
        </w:tc>
        <w:tc>
          <w:tcPr>
            <w:tcW w:w="993" w:type="dxa"/>
          </w:tcPr>
          <w:p w14:paraId="60C318A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795DBB8"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0B1AF0E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3984CD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24C9CC0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6CA4C0D1"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$6,336 </w:t>
            </w:r>
          </w:p>
        </w:tc>
        <w:tc>
          <w:tcPr>
            <w:tcW w:w="994" w:type="dxa"/>
          </w:tcPr>
          <w:p w14:paraId="07860C7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3C97D79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283595F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AC6F8BA"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2E40C2C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7807562E" w14:textId="77777777" w:rsidTr="00F614B7">
        <w:tblPrEx>
          <w:tblCellMar>
            <w:left w:w="108" w:type="dxa"/>
            <w:right w:w="108" w:type="dxa"/>
          </w:tblCellMar>
        </w:tblPrEx>
        <w:trPr>
          <w:trHeight w:val="278"/>
        </w:trPr>
        <w:tc>
          <w:tcPr>
            <w:tcW w:w="1841" w:type="dxa"/>
          </w:tcPr>
          <w:p w14:paraId="4C07D4A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6375431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326</w:t>
            </w:r>
          </w:p>
        </w:tc>
        <w:tc>
          <w:tcPr>
            <w:tcW w:w="991" w:type="dxa"/>
          </w:tcPr>
          <w:p w14:paraId="249C7778"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156.15</w:t>
            </w:r>
          </w:p>
        </w:tc>
        <w:tc>
          <w:tcPr>
            <w:tcW w:w="1133" w:type="dxa"/>
          </w:tcPr>
          <w:p w14:paraId="219FF875"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31 </w:t>
            </w:r>
          </w:p>
        </w:tc>
        <w:tc>
          <w:tcPr>
            <w:tcW w:w="993" w:type="dxa"/>
          </w:tcPr>
          <w:p w14:paraId="110B6D6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7E700A0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2B3D04E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5EF12C3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653B0DB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2589A1A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$4,841 </w:t>
            </w:r>
          </w:p>
        </w:tc>
        <w:tc>
          <w:tcPr>
            <w:tcW w:w="994" w:type="dxa"/>
          </w:tcPr>
          <w:p w14:paraId="2C0BA01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550A82E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0F4DAABF"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319C236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4E06DAD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BBE425F" w14:textId="77777777" w:rsidTr="00F614B7">
        <w:tblPrEx>
          <w:tblCellMar>
            <w:left w:w="108" w:type="dxa"/>
            <w:right w:w="108" w:type="dxa"/>
          </w:tblCellMar>
        </w:tblPrEx>
        <w:trPr>
          <w:trHeight w:val="278"/>
        </w:trPr>
        <w:tc>
          <w:tcPr>
            <w:tcW w:w="1841" w:type="dxa"/>
          </w:tcPr>
          <w:p w14:paraId="4C82134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Pr>
          <w:p w14:paraId="352977D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336</w:t>
            </w:r>
          </w:p>
        </w:tc>
        <w:tc>
          <w:tcPr>
            <w:tcW w:w="991" w:type="dxa"/>
          </w:tcPr>
          <w:p w14:paraId="12E8053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186.8</w:t>
            </w:r>
          </w:p>
        </w:tc>
        <w:tc>
          <w:tcPr>
            <w:tcW w:w="1133" w:type="dxa"/>
          </w:tcPr>
          <w:p w14:paraId="6A1C1392"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16 </w:t>
            </w:r>
          </w:p>
        </w:tc>
        <w:tc>
          <w:tcPr>
            <w:tcW w:w="993" w:type="dxa"/>
          </w:tcPr>
          <w:p w14:paraId="5227C20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5A4B2EEE"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115436A2"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66C093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04F9E7B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023A2D2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$2,989 </w:t>
            </w:r>
          </w:p>
        </w:tc>
        <w:tc>
          <w:tcPr>
            <w:tcW w:w="994" w:type="dxa"/>
          </w:tcPr>
          <w:p w14:paraId="0CE3A97C"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14E9ABE1"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6373993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4C8BBD0"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03D9F5FB"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6CE4F0F4" w14:textId="77777777" w:rsidTr="00F614B7">
        <w:tblPrEx>
          <w:tblCellMar>
            <w:left w:w="108" w:type="dxa"/>
            <w:right w:w="108" w:type="dxa"/>
          </w:tblCellMar>
        </w:tblPrEx>
        <w:trPr>
          <w:trHeight w:val="278"/>
        </w:trPr>
        <w:tc>
          <w:tcPr>
            <w:tcW w:w="1841" w:type="dxa"/>
            <w:tcBorders>
              <w:bottom w:val="single" w:sz="2" w:space="0" w:color="000000"/>
            </w:tcBorders>
          </w:tcPr>
          <w:p w14:paraId="2D052C7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A8 Consultant Psychiatrist</w:t>
            </w:r>
          </w:p>
        </w:tc>
        <w:tc>
          <w:tcPr>
            <w:tcW w:w="707" w:type="dxa"/>
            <w:tcBorders>
              <w:bottom w:val="single" w:sz="2" w:space="0" w:color="000000"/>
            </w:tcBorders>
          </w:tcPr>
          <w:p w14:paraId="3A870DDF"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352</w:t>
            </w:r>
          </w:p>
        </w:tc>
        <w:tc>
          <w:tcPr>
            <w:tcW w:w="991" w:type="dxa"/>
            <w:tcBorders>
              <w:bottom w:val="single" w:sz="2" w:space="0" w:color="000000"/>
            </w:tcBorders>
          </w:tcPr>
          <w:p w14:paraId="6A2BF289"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107.75</w:t>
            </w:r>
          </w:p>
        </w:tc>
        <w:tc>
          <w:tcPr>
            <w:tcW w:w="1133" w:type="dxa"/>
          </w:tcPr>
          <w:p w14:paraId="3304596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3" w:type="dxa"/>
          </w:tcPr>
          <w:p w14:paraId="48E6598C"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 </w:t>
            </w:r>
          </w:p>
        </w:tc>
        <w:tc>
          <w:tcPr>
            <w:tcW w:w="992" w:type="dxa"/>
          </w:tcPr>
          <w:p w14:paraId="4806323D"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2" w:type="dxa"/>
          </w:tcPr>
          <w:p w14:paraId="30C23AF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14" w:type="dxa"/>
          </w:tcPr>
          <w:p w14:paraId="265C98F4"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707" w:type="dxa"/>
          </w:tcPr>
          <w:p w14:paraId="49649B3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5" w:type="dxa"/>
          </w:tcPr>
          <w:p w14:paraId="33A346E7"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994" w:type="dxa"/>
          </w:tcPr>
          <w:p w14:paraId="19E3CF0E" w14:textId="77777777" w:rsidR="007501E1" w:rsidRPr="00720E20" w:rsidRDefault="007501E1">
            <w:pPr>
              <w:widowControl w:val="0"/>
              <w:autoSpaceDE w:val="0"/>
              <w:autoSpaceDN w:val="0"/>
              <w:adjustRightInd w:val="0"/>
              <w:spacing w:before="0" w:after="0" w:line="240" w:lineRule="auto"/>
              <w:jc w:val="right"/>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$431 </w:t>
            </w:r>
          </w:p>
        </w:tc>
        <w:tc>
          <w:tcPr>
            <w:tcW w:w="993" w:type="dxa"/>
          </w:tcPr>
          <w:p w14:paraId="538B1C55"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850" w:type="dxa"/>
          </w:tcPr>
          <w:p w14:paraId="1ACAD75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72B35AF3"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c>
          <w:tcPr>
            <w:tcW w:w="1133" w:type="dxa"/>
          </w:tcPr>
          <w:p w14:paraId="65B50746" w14:textId="77777777" w:rsidR="007501E1" w:rsidRPr="00720E20" w:rsidRDefault="007501E1">
            <w:pPr>
              <w:widowControl w:val="0"/>
              <w:autoSpaceDE w:val="0"/>
              <w:autoSpaceDN w:val="0"/>
              <w:adjustRightInd w:val="0"/>
              <w:spacing w:before="0" w:after="0" w:line="240" w:lineRule="auto"/>
              <w:rPr>
                <w:rFonts w:ascii="Arial Narrow" w:hAnsi="Arial Narrow" w:cs="Calibri"/>
                <w:color w:val="000000"/>
                <w:sz w:val="18"/>
                <w:szCs w:val="18"/>
                <w:lang w:val="en-US" w:eastAsia="en-AU"/>
              </w:rPr>
            </w:pPr>
            <w:r w:rsidRPr="00720E20">
              <w:rPr>
                <w:rFonts w:ascii="Arial Narrow" w:hAnsi="Arial Narrow" w:cs="Calibri"/>
                <w:color w:val="000000"/>
                <w:sz w:val="18"/>
                <w:szCs w:val="18"/>
                <w:lang w:val="en-US" w:eastAsia="en-AU"/>
              </w:rPr>
              <w:t xml:space="preserve">  </w:t>
            </w:r>
          </w:p>
        </w:tc>
      </w:tr>
      <w:tr w:rsidR="007501E1" w:rsidRPr="00720E20" w14:paraId="5B8A7EEF" w14:textId="77777777" w:rsidTr="00F614B7">
        <w:tblPrEx>
          <w:tblCellMar>
            <w:left w:w="108" w:type="dxa"/>
            <w:right w:w="108" w:type="dxa"/>
          </w:tblCellMar>
        </w:tblPrEx>
        <w:trPr>
          <w:trHeight w:val="278"/>
        </w:trPr>
        <w:tc>
          <w:tcPr>
            <w:tcW w:w="1841" w:type="dxa"/>
            <w:tcBorders>
              <w:bottom w:val="single" w:sz="2" w:space="0" w:color="000000"/>
              <w:right w:val="single" w:sz="2" w:space="0" w:color="FFFFFF" w:themeColor="background1"/>
            </w:tcBorders>
          </w:tcPr>
          <w:p w14:paraId="25FCA964" w14:textId="77777777" w:rsidR="007501E1" w:rsidRPr="00F333A1" w:rsidRDefault="007501E1" w:rsidP="00FF7643">
            <w:pPr>
              <w:widowControl w:val="0"/>
              <w:autoSpaceDE w:val="0"/>
              <w:autoSpaceDN w:val="0"/>
              <w:adjustRightInd w:val="0"/>
              <w:spacing w:before="0" w:after="0" w:line="240" w:lineRule="auto"/>
              <w:rPr>
                <w:rFonts w:ascii="Arial Narrow" w:hAnsi="Arial Narrow"/>
                <w:b/>
                <w:color w:val="000000"/>
                <w:sz w:val="18"/>
                <w:lang w:val="en-US"/>
              </w:rPr>
            </w:pPr>
            <w:r w:rsidRPr="00F333A1">
              <w:rPr>
                <w:rFonts w:ascii="Arial Narrow" w:hAnsi="Arial Narrow"/>
                <w:b/>
                <w:color w:val="000000"/>
                <w:sz w:val="18"/>
                <w:lang w:val="en-US"/>
              </w:rPr>
              <w:lastRenderedPageBreak/>
              <w:t>Total</w:t>
            </w:r>
          </w:p>
        </w:tc>
        <w:tc>
          <w:tcPr>
            <w:tcW w:w="707" w:type="dxa"/>
            <w:tcBorders>
              <w:left w:val="single" w:sz="2" w:space="0" w:color="FFFFFF" w:themeColor="background1"/>
              <w:bottom w:val="single" w:sz="2" w:space="0" w:color="000000"/>
              <w:right w:val="single" w:sz="2" w:space="0" w:color="FFFFFF" w:themeColor="background1"/>
            </w:tcBorders>
          </w:tcPr>
          <w:p w14:paraId="68FB38C4" w14:textId="77777777" w:rsidR="007501E1" w:rsidRPr="00F333A1" w:rsidRDefault="007501E1" w:rsidP="00FF7643">
            <w:pPr>
              <w:widowControl w:val="0"/>
              <w:autoSpaceDE w:val="0"/>
              <w:autoSpaceDN w:val="0"/>
              <w:adjustRightInd w:val="0"/>
              <w:spacing w:before="0" w:after="0" w:line="240" w:lineRule="auto"/>
              <w:jc w:val="right"/>
              <w:rPr>
                <w:rFonts w:ascii="Arial Narrow" w:hAnsi="Arial Narrow"/>
                <w:b/>
                <w:color w:val="000000"/>
                <w:sz w:val="18"/>
                <w:lang w:val="en-US"/>
              </w:rPr>
            </w:pPr>
          </w:p>
        </w:tc>
        <w:tc>
          <w:tcPr>
            <w:tcW w:w="991" w:type="dxa"/>
            <w:tcBorders>
              <w:left w:val="single" w:sz="2" w:space="0" w:color="FFFFFF" w:themeColor="background1"/>
              <w:bottom w:val="single" w:sz="2" w:space="0" w:color="000000"/>
            </w:tcBorders>
            <w:vAlign w:val="center"/>
          </w:tcPr>
          <w:p w14:paraId="08BDB66F" w14:textId="77777777" w:rsidR="007501E1" w:rsidRPr="00F333A1" w:rsidRDefault="007501E1" w:rsidP="00FF7643">
            <w:pPr>
              <w:widowControl w:val="0"/>
              <w:autoSpaceDE w:val="0"/>
              <w:autoSpaceDN w:val="0"/>
              <w:adjustRightInd w:val="0"/>
              <w:spacing w:before="0" w:after="0" w:line="240" w:lineRule="auto"/>
              <w:jc w:val="center"/>
              <w:rPr>
                <w:rFonts w:ascii="Arial Narrow" w:hAnsi="Arial Narrow"/>
                <w:b/>
                <w:color w:val="000000"/>
                <w:sz w:val="18"/>
                <w:lang w:val="en-US"/>
              </w:rPr>
            </w:pPr>
          </w:p>
        </w:tc>
        <w:tc>
          <w:tcPr>
            <w:tcW w:w="1133" w:type="dxa"/>
            <w:vAlign w:val="center"/>
          </w:tcPr>
          <w:p w14:paraId="710C8422"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115,898</w:t>
            </w:r>
          </w:p>
        </w:tc>
        <w:tc>
          <w:tcPr>
            <w:tcW w:w="993" w:type="dxa"/>
            <w:vAlign w:val="center"/>
          </w:tcPr>
          <w:p w14:paraId="0835F4F5"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475,891</w:t>
            </w:r>
          </w:p>
        </w:tc>
        <w:tc>
          <w:tcPr>
            <w:tcW w:w="992" w:type="dxa"/>
            <w:vAlign w:val="center"/>
          </w:tcPr>
          <w:p w14:paraId="1902FE00"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28,630</w:t>
            </w:r>
          </w:p>
        </w:tc>
        <w:tc>
          <w:tcPr>
            <w:tcW w:w="992" w:type="dxa"/>
            <w:vAlign w:val="center"/>
          </w:tcPr>
          <w:p w14:paraId="22D6F2CF"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784</w:t>
            </w:r>
          </w:p>
        </w:tc>
        <w:tc>
          <w:tcPr>
            <w:tcW w:w="714" w:type="dxa"/>
            <w:vAlign w:val="center"/>
          </w:tcPr>
          <w:p w14:paraId="2B2DBA81"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14,015</w:t>
            </w:r>
          </w:p>
        </w:tc>
        <w:tc>
          <w:tcPr>
            <w:tcW w:w="707" w:type="dxa"/>
            <w:vAlign w:val="center"/>
          </w:tcPr>
          <w:p w14:paraId="1458AF66"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704</w:t>
            </w:r>
          </w:p>
        </w:tc>
        <w:tc>
          <w:tcPr>
            <w:tcW w:w="995" w:type="dxa"/>
            <w:vAlign w:val="center"/>
          </w:tcPr>
          <w:p w14:paraId="294D88F0"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12,842,850</w:t>
            </w:r>
          </w:p>
        </w:tc>
        <w:tc>
          <w:tcPr>
            <w:tcW w:w="994" w:type="dxa"/>
            <w:vAlign w:val="center"/>
          </w:tcPr>
          <w:p w14:paraId="1E8B3176"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28,849,380</w:t>
            </w:r>
          </w:p>
        </w:tc>
        <w:tc>
          <w:tcPr>
            <w:tcW w:w="993" w:type="dxa"/>
            <w:vAlign w:val="center"/>
          </w:tcPr>
          <w:p w14:paraId="5CF54046"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4,761,902</w:t>
            </w:r>
          </w:p>
        </w:tc>
        <w:tc>
          <w:tcPr>
            <w:tcW w:w="850" w:type="dxa"/>
            <w:vAlign w:val="center"/>
          </w:tcPr>
          <w:p w14:paraId="47AFB76A"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63,195</w:t>
            </w:r>
          </w:p>
        </w:tc>
        <w:tc>
          <w:tcPr>
            <w:tcW w:w="1133" w:type="dxa"/>
            <w:vAlign w:val="center"/>
          </w:tcPr>
          <w:p w14:paraId="3B1C2C42"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1,398,981</w:t>
            </w:r>
          </w:p>
        </w:tc>
        <w:tc>
          <w:tcPr>
            <w:tcW w:w="1133" w:type="dxa"/>
            <w:vAlign w:val="center"/>
          </w:tcPr>
          <w:p w14:paraId="42DAB625"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81,136</w:t>
            </w:r>
          </w:p>
        </w:tc>
      </w:tr>
      <w:tr w:rsidR="007501E1" w:rsidRPr="00720E20" w14:paraId="0A854D0E" w14:textId="77777777" w:rsidTr="00F614B7">
        <w:tblPrEx>
          <w:tblCellMar>
            <w:left w:w="108" w:type="dxa"/>
            <w:right w:w="108" w:type="dxa"/>
          </w:tblCellMar>
        </w:tblPrEx>
        <w:trPr>
          <w:trHeight w:val="278"/>
        </w:trPr>
        <w:tc>
          <w:tcPr>
            <w:tcW w:w="1841" w:type="dxa"/>
            <w:tcBorders>
              <w:right w:val="single" w:sz="2" w:space="0" w:color="FFFFFF" w:themeColor="background1"/>
            </w:tcBorders>
          </w:tcPr>
          <w:p w14:paraId="15CAA869" w14:textId="77777777" w:rsidR="007501E1" w:rsidRPr="00F333A1" w:rsidRDefault="007501E1" w:rsidP="00FF7643">
            <w:pPr>
              <w:widowControl w:val="0"/>
              <w:autoSpaceDE w:val="0"/>
              <w:autoSpaceDN w:val="0"/>
              <w:adjustRightInd w:val="0"/>
              <w:spacing w:before="0" w:after="0" w:line="240" w:lineRule="auto"/>
              <w:rPr>
                <w:rFonts w:ascii="Arial Narrow" w:hAnsi="Arial Narrow"/>
                <w:b/>
                <w:color w:val="000000"/>
                <w:sz w:val="18"/>
                <w:lang w:val="en-US"/>
              </w:rPr>
            </w:pPr>
            <w:r w:rsidRPr="00F333A1">
              <w:rPr>
                <w:rFonts w:ascii="Arial Narrow" w:hAnsi="Arial Narrow"/>
                <w:b/>
                <w:color w:val="000000"/>
                <w:sz w:val="18"/>
                <w:lang w:val="en-US"/>
              </w:rPr>
              <w:t>Percent of Total</w:t>
            </w:r>
          </w:p>
        </w:tc>
        <w:tc>
          <w:tcPr>
            <w:tcW w:w="707" w:type="dxa"/>
            <w:tcBorders>
              <w:left w:val="single" w:sz="2" w:space="0" w:color="FFFFFF" w:themeColor="background1"/>
              <w:right w:val="single" w:sz="2" w:space="0" w:color="FFFFFF" w:themeColor="background1"/>
            </w:tcBorders>
          </w:tcPr>
          <w:p w14:paraId="6B347A54" w14:textId="6FB5354C" w:rsidR="007501E1" w:rsidRPr="00F333A1" w:rsidRDefault="007501E1" w:rsidP="00FF7643">
            <w:pPr>
              <w:widowControl w:val="0"/>
              <w:autoSpaceDE w:val="0"/>
              <w:autoSpaceDN w:val="0"/>
              <w:adjustRightInd w:val="0"/>
              <w:spacing w:before="0" w:after="0" w:line="240" w:lineRule="auto"/>
              <w:rPr>
                <w:rFonts w:ascii="Arial Narrow" w:hAnsi="Arial Narrow"/>
                <w:b/>
                <w:color w:val="000000"/>
                <w:sz w:val="18"/>
                <w:lang w:val="en-US"/>
              </w:rPr>
            </w:pPr>
          </w:p>
        </w:tc>
        <w:tc>
          <w:tcPr>
            <w:tcW w:w="991" w:type="dxa"/>
            <w:tcBorders>
              <w:left w:val="single" w:sz="2" w:space="0" w:color="FFFFFF" w:themeColor="background1"/>
            </w:tcBorders>
          </w:tcPr>
          <w:p w14:paraId="5745CABF" w14:textId="77777777" w:rsidR="007501E1" w:rsidRPr="00F333A1" w:rsidRDefault="007501E1" w:rsidP="00FF7643">
            <w:pPr>
              <w:widowControl w:val="0"/>
              <w:autoSpaceDE w:val="0"/>
              <w:autoSpaceDN w:val="0"/>
              <w:adjustRightInd w:val="0"/>
              <w:spacing w:before="0" w:after="0" w:line="240" w:lineRule="auto"/>
              <w:jc w:val="right"/>
              <w:rPr>
                <w:rFonts w:ascii="Arial Narrow" w:hAnsi="Arial Narrow"/>
                <w:b/>
                <w:color w:val="000000"/>
                <w:sz w:val="18"/>
                <w:lang w:val="en-US"/>
              </w:rPr>
            </w:pPr>
          </w:p>
        </w:tc>
        <w:tc>
          <w:tcPr>
            <w:tcW w:w="1133" w:type="dxa"/>
            <w:vAlign w:val="center"/>
          </w:tcPr>
          <w:p w14:paraId="2B7FE053"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0.2%</w:t>
            </w:r>
          </w:p>
        </w:tc>
        <w:tc>
          <w:tcPr>
            <w:tcW w:w="993" w:type="dxa"/>
            <w:vAlign w:val="center"/>
          </w:tcPr>
          <w:p w14:paraId="63CD88F2"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1.0%</w:t>
            </w:r>
          </w:p>
        </w:tc>
        <w:tc>
          <w:tcPr>
            <w:tcW w:w="992" w:type="dxa"/>
            <w:vAlign w:val="center"/>
          </w:tcPr>
          <w:p w14:paraId="5F0B9FFA"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0.1%</w:t>
            </w:r>
          </w:p>
        </w:tc>
        <w:tc>
          <w:tcPr>
            <w:tcW w:w="992" w:type="dxa"/>
            <w:vAlign w:val="center"/>
          </w:tcPr>
          <w:p w14:paraId="5C052185"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0.0%</w:t>
            </w:r>
          </w:p>
        </w:tc>
        <w:tc>
          <w:tcPr>
            <w:tcW w:w="714" w:type="dxa"/>
            <w:vAlign w:val="center"/>
          </w:tcPr>
          <w:p w14:paraId="4BE3D424"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0.0%</w:t>
            </w:r>
          </w:p>
        </w:tc>
        <w:tc>
          <w:tcPr>
            <w:tcW w:w="707" w:type="dxa"/>
            <w:vAlign w:val="center"/>
          </w:tcPr>
          <w:p w14:paraId="7E4E4756"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0.0%</w:t>
            </w:r>
          </w:p>
        </w:tc>
        <w:tc>
          <w:tcPr>
            <w:tcW w:w="995" w:type="dxa"/>
            <w:vAlign w:val="center"/>
          </w:tcPr>
          <w:p w14:paraId="1C139B6A"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26.4%</w:t>
            </w:r>
          </w:p>
        </w:tc>
        <w:tc>
          <w:tcPr>
            <w:tcW w:w="994" w:type="dxa"/>
            <w:vAlign w:val="center"/>
          </w:tcPr>
          <w:p w14:paraId="373DFE03"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59.3%</w:t>
            </w:r>
          </w:p>
        </w:tc>
        <w:tc>
          <w:tcPr>
            <w:tcW w:w="993" w:type="dxa"/>
            <w:vAlign w:val="center"/>
          </w:tcPr>
          <w:p w14:paraId="60467E06"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9.8%</w:t>
            </w:r>
          </w:p>
        </w:tc>
        <w:tc>
          <w:tcPr>
            <w:tcW w:w="850" w:type="dxa"/>
            <w:vAlign w:val="center"/>
          </w:tcPr>
          <w:p w14:paraId="0B5D8A38"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0.1%</w:t>
            </w:r>
          </w:p>
        </w:tc>
        <w:tc>
          <w:tcPr>
            <w:tcW w:w="1133" w:type="dxa"/>
            <w:vAlign w:val="center"/>
          </w:tcPr>
          <w:p w14:paraId="1E8C3840"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2.9%</w:t>
            </w:r>
          </w:p>
        </w:tc>
        <w:tc>
          <w:tcPr>
            <w:tcW w:w="1133" w:type="dxa"/>
            <w:vAlign w:val="center"/>
          </w:tcPr>
          <w:p w14:paraId="0456A1AE" w14:textId="77777777" w:rsidR="007501E1" w:rsidRPr="00F333A1" w:rsidRDefault="007501E1" w:rsidP="00DB4B2C">
            <w:pPr>
              <w:widowControl w:val="0"/>
              <w:autoSpaceDE w:val="0"/>
              <w:autoSpaceDN w:val="0"/>
              <w:adjustRightInd w:val="0"/>
              <w:spacing w:before="0" w:after="0" w:line="240" w:lineRule="auto"/>
              <w:jc w:val="center"/>
              <w:rPr>
                <w:rFonts w:ascii="Arial Narrow" w:hAnsi="Arial Narrow"/>
                <w:b/>
                <w:color w:val="000000"/>
                <w:sz w:val="18"/>
                <w:lang w:val="en-US"/>
              </w:rPr>
            </w:pPr>
            <w:r w:rsidRPr="00F333A1">
              <w:rPr>
                <w:rFonts w:ascii="Arial Narrow" w:hAnsi="Arial Narrow"/>
                <w:b/>
                <w:color w:val="000000"/>
                <w:sz w:val="18"/>
                <w:lang w:val="en-US"/>
              </w:rPr>
              <w:t>0.2%</w:t>
            </w:r>
          </w:p>
        </w:tc>
      </w:tr>
    </w:tbl>
    <w:p w14:paraId="36E9D872" w14:textId="77777777" w:rsidR="00F57FA6" w:rsidRDefault="00F57FA6" w:rsidP="00F57FA6">
      <w:pPr>
        <w:pStyle w:val="AspexBodyStandard"/>
      </w:pPr>
    </w:p>
    <w:p w14:paraId="3A830AEA" w14:textId="77777777" w:rsidR="005F303B" w:rsidRDefault="005F303B">
      <w:pPr>
        <w:rPr>
          <w:sz w:val="20"/>
          <w:lang w:eastAsia="en-AU"/>
        </w:rPr>
      </w:pPr>
    </w:p>
    <w:sectPr w:rsidR="005F303B" w:rsidSect="00D701B5">
      <w:pgSz w:w="16838" w:h="11906" w:orient="landscape" w:code="9"/>
      <w:pgMar w:top="1616" w:right="820"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74D2C" w14:textId="77777777" w:rsidR="008E20C1" w:rsidRDefault="008E20C1" w:rsidP="00AE3430">
      <w:pPr>
        <w:spacing w:before="0" w:line="240" w:lineRule="auto"/>
      </w:pPr>
      <w:r>
        <w:separator/>
      </w:r>
    </w:p>
  </w:endnote>
  <w:endnote w:type="continuationSeparator" w:id="0">
    <w:p w14:paraId="1D6852A8" w14:textId="77777777" w:rsidR="008E20C1" w:rsidRDefault="008E20C1" w:rsidP="00AE3430">
      <w:pPr>
        <w:spacing w:before="0" w:line="240" w:lineRule="auto"/>
      </w:pPr>
      <w:r>
        <w:continuationSeparator/>
      </w:r>
    </w:p>
  </w:endnote>
  <w:endnote w:type="continuationNotice" w:id="1">
    <w:p w14:paraId="656ED707" w14:textId="77777777" w:rsidR="008E20C1" w:rsidRDefault="008E20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Ligh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745E3" w14:textId="77777777" w:rsidR="008E20C1" w:rsidRDefault="008E20C1" w:rsidP="008B7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60E5C9" w14:textId="77777777" w:rsidR="008E20C1" w:rsidRDefault="008E20C1" w:rsidP="008B75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7F13" w14:textId="77777777" w:rsidR="008E20C1" w:rsidRDefault="008E20C1" w:rsidP="008B7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6665">
      <w:rPr>
        <w:rStyle w:val="PageNumber"/>
        <w:noProof/>
      </w:rPr>
      <w:t>2</w:t>
    </w:r>
    <w:r>
      <w:rPr>
        <w:rStyle w:val="PageNumber"/>
      </w:rPr>
      <w:fldChar w:fldCharType="end"/>
    </w:r>
  </w:p>
  <w:p w14:paraId="4177EE3E" w14:textId="77777777" w:rsidR="008E20C1" w:rsidRDefault="008E20C1" w:rsidP="008B757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4FAE2" w14:textId="77777777" w:rsidR="008E20C1" w:rsidRPr="003F6658" w:rsidRDefault="008E20C1" w:rsidP="00836AA4">
    <w:pPr>
      <w:pStyle w:val="Footer"/>
      <w:jc w:val="center"/>
      <w:rPr>
        <w:lang w:val="en-US"/>
      </w:rPr>
    </w:pPr>
    <w:r w:rsidRPr="003F6658">
      <w:rPr>
        <w:lang w:val="en-US"/>
      </w:rPr>
      <w:t xml:space="preserve">212 Clarendon Street  |  East Melbourne  |  Victoria  |  3002  |  </w:t>
    </w:r>
    <w:r>
      <w:rPr>
        <w:lang w:val="en-US"/>
      </w:rPr>
      <w:t>+61 (</w:t>
    </w:r>
    <w:r w:rsidRPr="003F6658">
      <w:rPr>
        <w:lang w:val="en-US"/>
      </w:rPr>
      <w:t>0</w:t>
    </w:r>
    <w:r>
      <w:rPr>
        <w:lang w:val="en-US"/>
      </w:rPr>
      <w:t>) 3 9419 0002</w:t>
    </w:r>
  </w:p>
  <w:p w14:paraId="0749830D" w14:textId="77777777" w:rsidR="008E20C1" w:rsidRPr="00C665C3" w:rsidRDefault="008E20C1" w:rsidP="00836AA4">
    <w:pPr>
      <w:pStyle w:val="Footer"/>
      <w:jc w:val="center"/>
      <w:rPr>
        <w:lang w:val="en-US"/>
      </w:rPr>
    </w:pPr>
    <w:r w:rsidRPr="003F6658">
      <w:rPr>
        <w:lang w:val="en-US"/>
      </w:rPr>
      <w:t>aspexconsulting.com.au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A06EC" w14:textId="77777777" w:rsidR="008E20C1" w:rsidRDefault="008E20C1" w:rsidP="00AE3430">
      <w:pPr>
        <w:spacing w:before="0" w:line="240" w:lineRule="auto"/>
      </w:pPr>
      <w:r>
        <w:separator/>
      </w:r>
    </w:p>
  </w:footnote>
  <w:footnote w:type="continuationSeparator" w:id="0">
    <w:p w14:paraId="379FA2D9" w14:textId="77777777" w:rsidR="008E20C1" w:rsidRDefault="008E20C1" w:rsidP="00AE3430">
      <w:pPr>
        <w:spacing w:before="0" w:line="240" w:lineRule="auto"/>
      </w:pPr>
      <w:r>
        <w:continuationSeparator/>
      </w:r>
    </w:p>
  </w:footnote>
  <w:footnote w:type="continuationNotice" w:id="1">
    <w:p w14:paraId="1C5D8676" w14:textId="77777777" w:rsidR="008E20C1" w:rsidRDefault="008E20C1">
      <w:pPr>
        <w:spacing w:before="0" w:after="0" w:line="240" w:lineRule="auto"/>
      </w:pPr>
    </w:p>
  </w:footnote>
  <w:footnote w:id="2">
    <w:p w14:paraId="556B61C7" w14:textId="77777777" w:rsidR="008E20C1" w:rsidRPr="000151EF" w:rsidRDefault="008E20C1">
      <w:pPr>
        <w:pStyle w:val="FootnoteText"/>
        <w:rPr>
          <w:lang w:val="en-US"/>
        </w:rPr>
      </w:pPr>
      <w:r w:rsidRPr="000151EF">
        <w:footnoteRef/>
      </w:r>
      <w:r>
        <w:rPr>
          <w:lang w:val="en-US"/>
        </w:rPr>
        <w:t>.</w:t>
      </w:r>
      <w:r>
        <w:rPr>
          <w:lang w:val="en-US"/>
        </w:rPr>
        <w:tab/>
        <w:t>Definition provided by the Australasian Chapter of Sexual Health Medicine.</w:t>
      </w:r>
    </w:p>
  </w:footnote>
  <w:footnote w:id="3">
    <w:p w14:paraId="1392E4A4" w14:textId="77777777" w:rsidR="008E20C1" w:rsidRPr="006D7C26" w:rsidRDefault="008E20C1">
      <w:pPr>
        <w:pStyle w:val="FootnoteText"/>
        <w:rPr>
          <w:lang w:val="en-US"/>
        </w:rPr>
      </w:pPr>
      <w:r w:rsidRPr="006D7C26">
        <w:footnoteRef/>
      </w:r>
      <w:r>
        <w:rPr>
          <w:lang w:val="en-US"/>
        </w:rPr>
        <w:t>.</w:t>
      </w:r>
      <w:r>
        <w:rPr>
          <w:lang w:val="en-US"/>
        </w:rPr>
        <w:tab/>
        <w:t>It is acknowledged that this is only part of the scope of practice of Sexual Health Medicine specialists.  Information is thus provided as an indicator of demand rather than any estimate of total demand for sexual health related problems.</w:t>
      </w:r>
    </w:p>
  </w:footnote>
  <w:footnote w:id="4">
    <w:p w14:paraId="055A16C9" w14:textId="77777777" w:rsidR="008E20C1" w:rsidRPr="009300B2" w:rsidRDefault="008E20C1">
      <w:pPr>
        <w:pStyle w:val="FootnoteText"/>
        <w:rPr>
          <w:lang w:val="en-US"/>
        </w:rPr>
      </w:pPr>
      <w:r w:rsidRPr="009300B2">
        <w:footnoteRef/>
      </w:r>
      <w:r>
        <w:rPr>
          <w:lang w:val="en-US"/>
        </w:rPr>
        <w:t>.</w:t>
      </w:r>
      <w:r>
        <w:rPr>
          <w:lang w:val="en-US"/>
        </w:rPr>
        <w:tab/>
        <w:t>Using a linear estimation from reported data from 2010-2012 (with 95% prediction intervals for each equation).</w:t>
      </w:r>
    </w:p>
  </w:footnote>
  <w:footnote w:id="5">
    <w:p w14:paraId="6C28E121" w14:textId="77777777" w:rsidR="008E20C1" w:rsidRPr="008635AE" w:rsidRDefault="008E20C1">
      <w:pPr>
        <w:pStyle w:val="FootnoteText"/>
        <w:rPr>
          <w:lang w:val="en-US"/>
        </w:rPr>
      </w:pPr>
      <w:r w:rsidRPr="008635AE">
        <w:footnoteRef/>
      </w:r>
      <w:r>
        <w:rPr>
          <w:lang w:val="en-US"/>
        </w:rPr>
        <w:t>.</w:t>
      </w:r>
      <w:r>
        <w:rPr>
          <w:lang w:val="en-US"/>
        </w:rPr>
        <w:tab/>
        <w:t xml:space="preserve">Annually reported by: </w:t>
      </w:r>
      <w:r w:rsidRPr="008635AE">
        <w:rPr>
          <w:lang w:val="en-US"/>
        </w:rPr>
        <w:t>The Kirby Institute. HIV, viral hepatitis and sexually transmissible infections in Austr</w:t>
      </w:r>
      <w:r>
        <w:rPr>
          <w:lang w:val="en-US"/>
        </w:rPr>
        <w:t xml:space="preserve">alia Annual Surveillance Reports 2010, 2011, </w:t>
      </w:r>
      <w:r w:rsidRPr="008635AE">
        <w:rPr>
          <w:lang w:val="en-US"/>
        </w:rPr>
        <w:t>2012. The Kirby Institute, the University of New South Wales, Sydney, NSW 2052</w:t>
      </w:r>
    </w:p>
  </w:footnote>
  <w:footnote w:id="6">
    <w:p w14:paraId="77518D18" w14:textId="77777777" w:rsidR="008E20C1" w:rsidRPr="00732EE8" w:rsidRDefault="008E20C1">
      <w:pPr>
        <w:pStyle w:val="FootnoteText"/>
        <w:rPr>
          <w:lang w:val="en-US"/>
        </w:rPr>
      </w:pPr>
      <w:r w:rsidRPr="00732EE8">
        <w:footnoteRef/>
      </w:r>
      <w:r>
        <w:rPr>
          <w:lang w:val="en-US"/>
        </w:rPr>
        <w:t>.</w:t>
      </w:r>
      <w:r>
        <w:rPr>
          <w:lang w:val="en-US"/>
        </w:rPr>
        <w:tab/>
        <w:t>153,356/</w:t>
      </w:r>
      <w:r w:rsidRPr="00E9225E">
        <w:t xml:space="preserve"> </w:t>
      </w:r>
      <w:r w:rsidRPr="00E9225E">
        <w:rPr>
          <w:lang w:val="en-US"/>
        </w:rPr>
        <w:t>23</w:t>
      </w:r>
      <w:r>
        <w:rPr>
          <w:lang w:val="en-US"/>
        </w:rPr>
        <w:t>,</w:t>
      </w:r>
      <w:r w:rsidRPr="00E9225E">
        <w:rPr>
          <w:lang w:val="en-US"/>
        </w:rPr>
        <w:t>594</w:t>
      </w:r>
      <w:r>
        <w:rPr>
          <w:lang w:val="en-US"/>
        </w:rPr>
        <w:t>,120 (linear trend from 2010-12 for total Australian population) Binomial confidence intervals have been applied.</w:t>
      </w:r>
    </w:p>
  </w:footnote>
  <w:footnote w:id="7">
    <w:p w14:paraId="0E9ED752" w14:textId="7A9A9CBF" w:rsidR="008E20C1" w:rsidRPr="00841064" w:rsidRDefault="008E20C1" w:rsidP="0013794C">
      <w:pPr>
        <w:pStyle w:val="FootnoteText"/>
        <w:rPr>
          <w:lang w:val="en-US"/>
        </w:rPr>
      </w:pPr>
      <w:r>
        <w:rPr>
          <w:rStyle w:val="FootnoteReference"/>
        </w:rPr>
        <w:footnoteRef/>
      </w:r>
      <w:r>
        <w:t xml:space="preserve"> </w:t>
      </w:r>
      <w:r>
        <w:rPr>
          <w:lang w:val="en-US"/>
        </w:rPr>
        <w:tab/>
        <w:t>Applying these conservative estimates to the Australian population between 18 and 49 (n=10,057,563 as at June 2012) would indicate that approximately 7,040 individuals would test positive to syphilis in the general community.</w:t>
      </w:r>
    </w:p>
  </w:footnote>
  <w:footnote w:id="8">
    <w:p w14:paraId="7EB7132B" w14:textId="77777777" w:rsidR="008E20C1" w:rsidRPr="003B58D9" w:rsidRDefault="008E20C1" w:rsidP="0013794C">
      <w:pPr>
        <w:pStyle w:val="FootnoteText"/>
        <w:rPr>
          <w:lang w:val="en-US"/>
        </w:rPr>
      </w:pPr>
      <w:r w:rsidRPr="003B58D9">
        <w:footnoteRef/>
      </w:r>
      <w:r>
        <w:rPr>
          <w:lang w:val="en-US"/>
        </w:rPr>
        <w:t>.</w:t>
      </w:r>
      <w:r>
        <w:rPr>
          <w:lang w:val="en-US"/>
        </w:rPr>
        <w:tab/>
        <w:t>Note: that summary percentages may sum to &gt;100% as patients may present with more than one problem in any individual encounter.</w:t>
      </w:r>
    </w:p>
  </w:footnote>
  <w:footnote w:id="9">
    <w:p w14:paraId="5067432B" w14:textId="77777777" w:rsidR="008E20C1" w:rsidRPr="00F558A9" w:rsidRDefault="008E20C1" w:rsidP="007E5B9A">
      <w:pPr>
        <w:pStyle w:val="FootnoteText"/>
        <w:rPr>
          <w:lang w:val="en-US"/>
        </w:rPr>
      </w:pPr>
      <w:r w:rsidRPr="00F558A9">
        <w:footnoteRef/>
      </w:r>
      <w:r>
        <w:rPr>
          <w:lang w:val="en-US"/>
        </w:rPr>
        <w:t>.</w:t>
      </w:r>
      <w:r>
        <w:rPr>
          <w:lang w:val="en-US"/>
        </w:rPr>
        <w:tab/>
        <w:t xml:space="preserve">Includes male sexual function as the single largest number of estimated GP encounters per annum. </w:t>
      </w:r>
    </w:p>
  </w:footnote>
  <w:footnote w:id="10">
    <w:p w14:paraId="2488ADDA" w14:textId="77777777" w:rsidR="008E20C1" w:rsidRPr="00F3564A" w:rsidRDefault="008E20C1">
      <w:pPr>
        <w:pStyle w:val="FootnoteText"/>
        <w:rPr>
          <w:lang w:val="en-US"/>
        </w:rPr>
      </w:pPr>
      <w:r w:rsidRPr="00F3564A">
        <w:footnoteRef/>
      </w:r>
      <w:r>
        <w:rPr>
          <w:lang w:val="en-US"/>
        </w:rPr>
        <w:t>.</w:t>
      </w:r>
      <w:r>
        <w:rPr>
          <w:lang w:val="en-US"/>
        </w:rPr>
        <w:tab/>
        <w:t>Data was requested from five jurisdictions (WA, NT, QLD, NSW, VIC) but was only available for New South Wales.</w:t>
      </w:r>
    </w:p>
  </w:footnote>
  <w:footnote w:id="11">
    <w:p w14:paraId="2A8246E2" w14:textId="77777777" w:rsidR="008E20C1" w:rsidRPr="003211BF" w:rsidRDefault="008E20C1">
      <w:pPr>
        <w:pStyle w:val="FootnoteText"/>
        <w:rPr>
          <w:lang w:val="en-US"/>
        </w:rPr>
      </w:pPr>
      <w:r w:rsidRPr="003211BF">
        <w:footnoteRef/>
      </w:r>
      <w:r>
        <w:rPr>
          <w:lang w:val="en-US"/>
        </w:rPr>
        <w:t>.</w:t>
      </w:r>
      <w:r>
        <w:rPr>
          <w:lang w:val="en-US"/>
        </w:rPr>
        <w:tab/>
        <w:t>The methods required to extrapolate NSW data at a national level were complex, and are outlined in Appendix 1.</w:t>
      </w:r>
    </w:p>
  </w:footnote>
  <w:footnote w:id="12">
    <w:p w14:paraId="62E618E7" w14:textId="77777777" w:rsidR="008E20C1" w:rsidRPr="00ED6B6C" w:rsidRDefault="008E20C1">
      <w:pPr>
        <w:pStyle w:val="FootnoteText"/>
        <w:rPr>
          <w:lang w:val="en-US"/>
        </w:rPr>
      </w:pPr>
      <w:r w:rsidRPr="00ED6B6C">
        <w:footnoteRef/>
      </w:r>
      <w:r>
        <w:rPr>
          <w:lang w:val="en-US"/>
        </w:rPr>
        <w:t>.</w:t>
      </w:r>
      <w:r>
        <w:rPr>
          <w:lang w:val="en-US"/>
        </w:rPr>
        <w:tab/>
        <w:t>Note that this is higher than the number of encounters, as individuals may present with more than one problem per encounter.</w:t>
      </w:r>
    </w:p>
  </w:footnote>
  <w:footnote w:id="13">
    <w:p w14:paraId="305636BA" w14:textId="77777777" w:rsidR="008E20C1" w:rsidRPr="00DF3827" w:rsidRDefault="008E20C1" w:rsidP="00DF3827">
      <w:pPr>
        <w:pStyle w:val="FootnoteText"/>
        <w:rPr>
          <w:lang w:val="en-US"/>
        </w:rPr>
      </w:pPr>
      <w:r w:rsidRPr="00DF3827">
        <w:footnoteRef/>
      </w:r>
      <w:r>
        <w:rPr>
          <w:lang w:val="en-US"/>
        </w:rPr>
        <w:t>.</w:t>
      </w:r>
      <w:r>
        <w:rPr>
          <w:lang w:val="en-US"/>
        </w:rPr>
        <w:tab/>
        <w:t>32,171</w:t>
      </w:r>
      <w:r w:rsidRPr="00DF3827">
        <w:rPr>
          <w:lang w:val="en-US"/>
        </w:rPr>
        <w:t xml:space="preserve"> </w:t>
      </w:r>
      <w:r>
        <w:rPr>
          <w:lang w:val="en-US"/>
        </w:rPr>
        <w:t>/710,500. Binomial confidence intervals have been applied.</w:t>
      </w:r>
    </w:p>
  </w:footnote>
  <w:footnote w:id="14">
    <w:p w14:paraId="767E4B1E" w14:textId="77777777" w:rsidR="008E20C1" w:rsidRPr="00DF3827" w:rsidRDefault="008E20C1">
      <w:pPr>
        <w:pStyle w:val="FootnoteText"/>
        <w:rPr>
          <w:lang w:val="en-US"/>
        </w:rPr>
      </w:pPr>
      <w:r w:rsidRPr="00DF3827">
        <w:footnoteRef/>
      </w:r>
      <w:r>
        <w:rPr>
          <w:lang w:val="en-US"/>
        </w:rPr>
        <w:t>.</w:t>
      </w:r>
      <w:r>
        <w:rPr>
          <w:lang w:val="en-US"/>
        </w:rPr>
        <w:tab/>
        <w:t>48,880</w:t>
      </w:r>
      <w:r w:rsidRPr="00DF3827">
        <w:rPr>
          <w:lang w:val="en-US"/>
        </w:rPr>
        <w:t xml:space="preserve"> </w:t>
      </w:r>
      <w:r>
        <w:rPr>
          <w:lang w:val="en-US"/>
        </w:rPr>
        <w:t xml:space="preserve">/710,500. Binomial confidence intervals have been applied. General practitioner assessments as specialists in Sexual Health Medicine = 16,709/48,880(34.2%). </w:t>
      </w:r>
    </w:p>
  </w:footnote>
  <w:footnote w:id="15">
    <w:p w14:paraId="6614BE06" w14:textId="77777777" w:rsidR="008E20C1" w:rsidRPr="00BE0C25" w:rsidRDefault="008E20C1">
      <w:pPr>
        <w:pStyle w:val="FootnoteText"/>
        <w:rPr>
          <w:lang w:val="en-US"/>
        </w:rPr>
      </w:pPr>
      <w:r w:rsidRPr="00BE0C25">
        <w:footnoteRef/>
      </w:r>
      <w:r>
        <w:rPr>
          <w:lang w:val="en-US"/>
        </w:rPr>
        <w:t>.</w:t>
      </w:r>
      <w:r>
        <w:rPr>
          <w:lang w:val="en-US"/>
        </w:rPr>
        <w:tab/>
        <w:t>Average over 3 years (2010-2012).</w:t>
      </w:r>
    </w:p>
  </w:footnote>
  <w:footnote w:id="16">
    <w:p w14:paraId="44CADD65" w14:textId="77777777" w:rsidR="008E20C1" w:rsidRPr="00BE0C25" w:rsidRDefault="008E20C1">
      <w:pPr>
        <w:pStyle w:val="FootnoteText"/>
        <w:rPr>
          <w:lang w:val="en-US"/>
        </w:rPr>
      </w:pPr>
      <w:r w:rsidRPr="00BE0C25">
        <w:footnoteRef/>
      </w:r>
      <w:r>
        <w:rPr>
          <w:lang w:val="en-US"/>
        </w:rPr>
        <w:t>.</w:t>
      </w:r>
      <w:r>
        <w:rPr>
          <w:lang w:val="en-US"/>
        </w:rPr>
        <w:tab/>
        <w:t>N = 5,630.</w:t>
      </w:r>
    </w:p>
  </w:footnote>
  <w:footnote w:id="17">
    <w:p w14:paraId="359C5724" w14:textId="77777777" w:rsidR="008E20C1" w:rsidRPr="00BE0C25" w:rsidRDefault="008E20C1">
      <w:pPr>
        <w:pStyle w:val="FootnoteText"/>
        <w:rPr>
          <w:lang w:val="en-US"/>
        </w:rPr>
      </w:pPr>
      <w:r w:rsidRPr="00BE0C25">
        <w:footnoteRef/>
      </w:r>
      <w:r>
        <w:rPr>
          <w:lang w:val="en-US"/>
        </w:rPr>
        <w:t>.</w:t>
      </w:r>
      <w:r>
        <w:rPr>
          <w:lang w:val="en-US"/>
        </w:rPr>
        <w:tab/>
        <w:t>N = 13,801.</w:t>
      </w:r>
    </w:p>
  </w:footnote>
  <w:footnote w:id="18">
    <w:p w14:paraId="49C7C5B0" w14:textId="77777777" w:rsidR="008E20C1" w:rsidRPr="006574C4" w:rsidRDefault="008E20C1">
      <w:pPr>
        <w:pStyle w:val="FootnoteText"/>
        <w:rPr>
          <w:lang w:val="en-US"/>
        </w:rPr>
      </w:pPr>
      <w:r w:rsidRPr="006574C4">
        <w:footnoteRef/>
      </w:r>
      <w:r>
        <w:rPr>
          <w:lang w:val="en-US"/>
        </w:rPr>
        <w:t>.</w:t>
      </w:r>
      <w:r>
        <w:rPr>
          <w:lang w:val="en-US"/>
        </w:rPr>
        <w:tab/>
        <w:t>4.2% of 591,462 = 24,841.</w:t>
      </w:r>
    </w:p>
  </w:footnote>
  <w:footnote w:id="19">
    <w:p w14:paraId="0FF7C0F7" w14:textId="747F07FD" w:rsidR="008E20C1" w:rsidRDefault="008E20C1" w:rsidP="00DC530B">
      <w:pPr>
        <w:pStyle w:val="FootnoteText"/>
      </w:pPr>
      <w:r w:rsidRPr="00AC78D8">
        <w:footnoteRef/>
      </w:r>
      <w:r>
        <w:t xml:space="preserve"> </w:t>
      </w:r>
      <w:r>
        <w:tab/>
      </w:r>
      <w:r>
        <w:rPr>
          <w:lang w:val="en"/>
        </w:rPr>
        <w:t xml:space="preserve">National Notifiable Diseases Surveillance System. </w:t>
      </w:r>
      <w:r w:rsidRPr="00644F2B">
        <w:rPr>
          <w:lang w:val="en"/>
        </w:rPr>
        <w:t>http://www9.health.gov.au/cda/source/rpt_2.cfm?RequestTimeout=500</w:t>
      </w:r>
    </w:p>
  </w:footnote>
  <w:footnote w:id="20">
    <w:p w14:paraId="2EB276E8" w14:textId="3DC96ECA" w:rsidR="008E20C1" w:rsidRPr="009253E6" w:rsidRDefault="008E20C1" w:rsidP="00AC78D8">
      <w:pPr>
        <w:tabs>
          <w:tab w:val="left" w:pos="426"/>
        </w:tabs>
        <w:autoSpaceDE w:val="0"/>
        <w:autoSpaceDN w:val="0"/>
        <w:adjustRightInd w:val="0"/>
        <w:spacing w:before="0" w:after="0" w:line="240" w:lineRule="auto"/>
        <w:ind w:left="426" w:hanging="426"/>
        <w:rPr>
          <w:sz w:val="16"/>
          <w:lang w:val="en"/>
        </w:rPr>
      </w:pPr>
      <w:r>
        <w:rPr>
          <w:rStyle w:val="FootnoteReference"/>
        </w:rPr>
        <w:footnoteRef/>
      </w:r>
      <w:r>
        <w:t xml:space="preserve"> </w:t>
      </w:r>
      <w:r>
        <w:tab/>
      </w:r>
      <w:r w:rsidRPr="009253E6">
        <w:rPr>
          <w:sz w:val="16"/>
          <w:lang w:val="en"/>
        </w:rPr>
        <w:t xml:space="preserve">DALYs are years of life lost due to </w:t>
      </w:r>
      <w:r w:rsidRPr="009253E6">
        <w:rPr>
          <w:b/>
          <w:sz w:val="16"/>
          <w:lang w:val="en"/>
        </w:rPr>
        <w:t>premature mortality</w:t>
      </w:r>
      <w:r w:rsidRPr="009253E6">
        <w:rPr>
          <w:sz w:val="16"/>
          <w:lang w:val="en"/>
        </w:rPr>
        <w:t xml:space="preserve"> combined with years of life lost due to time </w:t>
      </w:r>
      <w:r w:rsidRPr="009253E6">
        <w:rPr>
          <w:b/>
          <w:sz w:val="16"/>
          <w:lang w:val="en"/>
        </w:rPr>
        <w:t>lived in less than full health</w:t>
      </w:r>
      <w:r w:rsidRPr="009253E6">
        <w:rPr>
          <w:sz w:val="16"/>
          <w:lang w:val="en"/>
        </w:rPr>
        <w:t xml:space="preserve"> to create a single indicator that assesses the overall burden of disease for a given population (WHO 2004).</w:t>
      </w:r>
    </w:p>
  </w:footnote>
  <w:footnote w:id="21">
    <w:p w14:paraId="0F887E72" w14:textId="64A1AD96" w:rsidR="008E20C1" w:rsidRDefault="008E20C1" w:rsidP="00B60630">
      <w:pPr>
        <w:pStyle w:val="FootnoteText"/>
      </w:pPr>
      <w:r>
        <w:rPr>
          <w:rStyle w:val="FootnoteReference"/>
        </w:rPr>
        <w:footnoteRef/>
      </w:r>
      <w:r>
        <w:t xml:space="preserve"> </w:t>
      </w:r>
      <w:r>
        <w:tab/>
        <w:t>Review of Randomized Controlled Trials</w:t>
      </w:r>
    </w:p>
  </w:footnote>
  <w:footnote w:id="22">
    <w:p w14:paraId="02679EEE" w14:textId="298D4BFB" w:rsidR="008E20C1" w:rsidRDefault="008E20C1" w:rsidP="00B60630">
      <w:pPr>
        <w:pStyle w:val="FootnoteText"/>
      </w:pPr>
      <w:r>
        <w:rPr>
          <w:rStyle w:val="FootnoteReference"/>
        </w:rPr>
        <w:footnoteRef/>
      </w:r>
      <w:r>
        <w:t xml:space="preserve"> </w:t>
      </w:r>
      <w:r>
        <w:tab/>
      </w:r>
      <w:r w:rsidRPr="004E28F4">
        <w:t>http://www.aihw.gov.au/WorkArea/DownloadAsset.aspx?id=6442456266</w:t>
      </w:r>
    </w:p>
  </w:footnote>
  <w:footnote w:id="23">
    <w:p w14:paraId="5C48B6D3" w14:textId="77777777" w:rsidR="008E20C1" w:rsidRPr="00866B4A" w:rsidRDefault="008E20C1" w:rsidP="002A73FA">
      <w:pPr>
        <w:pStyle w:val="FootnoteText"/>
        <w:rPr>
          <w:lang w:val="en-US"/>
        </w:rPr>
      </w:pPr>
      <w:r w:rsidRPr="00866B4A">
        <w:footnoteRef/>
      </w:r>
      <w:r>
        <w:rPr>
          <w:lang w:val="en-US"/>
        </w:rPr>
        <w:t>.</w:t>
      </w:r>
      <w:r>
        <w:rPr>
          <w:lang w:val="en-US"/>
        </w:rPr>
        <w:tab/>
        <w:t>Data provided by AChSHM.</w:t>
      </w:r>
    </w:p>
  </w:footnote>
  <w:footnote w:id="24">
    <w:p w14:paraId="6C9A967E" w14:textId="77777777" w:rsidR="008E20C1" w:rsidRPr="00D25D84" w:rsidRDefault="008E20C1" w:rsidP="001C4C87">
      <w:pPr>
        <w:pStyle w:val="FootnoteText"/>
        <w:rPr>
          <w:lang w:val="en-US"/>
        </w:rPr>
      </w:pPr>
      <w:r w:rsidRPr="00D25D84">
        <w:footnoteRef/>
      </w:r>
      <w:r>
        <w:rPr>
          <w:lang w:val="en-US"/>
        </w:rPr>
        <w:t>.</w:t>
      </w:r>
      <w:r>
        <w:rPr>
          <w:lang w:val="en-US"/>
        </w:rPr>
        <w:tab/>
        <w:t>Ideally, a comparison sample of general practitioner perceptions would be sought.  However, this was beyond the time available to conduct the current project.</w:t>
      </w:r>
    </w:p>
  </w:footnote>
  <w:footnote w:id="25">
    <w:p w14:paraId="3847C298" w14:textId="1DD3FC60" w:rsidR="008E20C1" w:rsidRPr="00870548" w:rsidRDefault="008E20C1">
      <w:pPr>
        <w:pStyle w:val="FootnoteText"/>
      </w:pPr>
      <w:r w:rsidRPr="00F333A1">
        <w:footnoteRef/>
      </w:r>
      <w:r>
        <w:t>.</w:t>
      </w:r>
      <w:r>
        <w:tab/>
        <w:t>This an the following bulleted criterion also relate to all trainees (not just overseas trained specialists).</w:t>
      </w:r>
    </w:p>
  </w:footnote>
  <w:footnote w:id="26">
    <w:p w14:paraId="018C4874" w14:textId="77777777" w:rsidR="008E20C1" w:rsidRPr="009B59EB" w:rsidRDefault="008E20C1">
      <w:pPr>
        <w:pStyle w:val="FootnoteText"/>
        <w:rPr>
          <w:lang w:val="en-US"/>
        </w:rPr>
      </w:pPr>
      <w:r w:rsidRPr="009B59EB">
        <w:footnoteRef/>
      </w:r>
      <w:r>
        <w:rPr>
          <w:lang w:val="en-US"/>
        </w:rPr>
        <w:t>.</w:t>
      </w:r>
      <w:r>
        <w:rPr>
          <w:lang w:val="en-US"/>
        </w:rPr>
        <w:tab/>
        <w:t>Calculations are based upon n=58 cases (response rate 94% of targeted sample 58/62; 52% of all sexual health medicine fellows), Binomial confidence intervals are applied.</w:t>
      </w:r>
    </w:p>
  </w:footnote>
  <w:footnote w:id="27">
    <w:p w14:paraId="7DC4342C" w14:textId="77777777" w:rsidR="008E20C1" w:rsidRPr="0058734B" w:rsidRDefault="008E20C1">
      <w:pPr>
        <w:pStyle w:val="FootnoteText"/>
        <w:rPr>
          <w:lang w:val="en-US"/>
        </w:rPr>
      </w:pPr>
      <w:r w:rsidRPr="0058734B">
        <w:footnoteRef/>
      </w:r>
      <w:r>
        <w:rPr>
          <w:lang w:val="en-US"/>
        </w:rPr>
        <w:t>.</w:t>
      </w:r>
      <w:r>
        <w:rPr>
          <w:lang w:val="en-US"/>
        </w:rPr>
        <w:tab/>
        <w:t>Sample response rate = 97% (110/113 non-retired fellows &lt; 66 years of age, at 31 December, 2012 who did not opt out to have their MBS item numbers submitted for extraction of billing data to the MBS).</w:t>
      </w:r>
    </w:p>
  </w:footnote>
  <w:footnote w:id="28">
    <w:p w14:paraId="6B12785D" w14:textId="77777777" w:rsidR="008E20C1" w:rsidRPr="00055488" w:rsidRDefault="008E20C1">
      <w:pPr>
        <w:pStyle w:val="FootnoteText"/>
        <w:rPr>
          <w:lang w:val="en-US"/>
        </w:rPr>
      </w:pPr>
      <w:r w:rsidRPr="00055488">
        <w:footnoteRef/>
      </w:r>
      <w:r>
        <w:rPr>
          <w:lang w:val="en-US"/>
        </w:rPr>
        <w:t>.</w:t>
      </w:r>
      <w:r>
        <w:rPr>
          <w:lang w:val="en-US"/>
        </w:rPr>
        <w:tab/>
        <w:t>Estimated from 53 fellows divided by .97 response rate = 55/113 fellows = 49%.</w:t>
      </w:r>
    </w:p>
  </w:footnote>
  <w:footnote w:id="29">
    <w:p w14:paraId="3EA0813F" w14:textId="77777777" w:rsidR="008E20C1" w:rsidRPr="00DA77BC" w:rsidRDefault="008E20C1">
      <w:pPr>
        <w:pStyle w:val="FootnoteText"/>
        <w:rPr>
          <w:lang w:val="en-US"/>
        </w:rPr>
      </w:pPr>
      <w:r w:rsidRPr="00DA77BC">
        <w:footnoteRef/>
      </w:r>
      <w:r>
        <w:rPr>
          <w:lang w:val="en-US"/>
        </w:rPr>
        <w:t>.</w:t>
      </w:r>
      <w:r>
        <w:rPr>
          <w:lang w:val="en-US"/>
        </w:rPr>
        <w:tab/>
        <w:t>From current registration data supplied by the Australasian Chapter of Sexual Health Medicine (January 2013).</w:t>
      </w:r>
    </w:p>
  </w:footnote>
  <w:footnote w:id="30">
    <w:p w14:paraId="2E8B124C" w14:textId="77777777" w:rsidR="008E20C1" w:rsidRPr="003C2C06" w:rsidRDefault="008E20C1">
      <w:pPr>
        <w:pStyle w:val="FootnoteText"/>
        <w:rPr>
          <w:lang w:val="en-US"/>
        </w:rPr>
      </w:pPr>
      <w:r w:rsidRPr="003C2C06">
        <w:footnoteRef/>
      </w:r>
      <w:r>
        <w:rPr>
          <w:lang w:val="en-US"/>
        </w:rPr>
        <w:t>.</w:t>
      </w:r>
      <w:r>
        <w:rPr>
          <w:lang w:val="en-US"/>
        </w:rPr>
        <w:tab/>
        <w:t>As at February 2013.</w:t>
      </w:r>
    </w:p>
  </w:footnote>
  <w:footnote w:id="31">
    <w:p w14:paraId="3086C32F" w14:textId="77777777" w:rsidR="008E20C1" w:rsidRPr="00104DE9" w:rsidRDefault="008E20C1">
      <w:pPr>
        <w:pStyle w:val="FootnoteText"/>
        <w:rPr>
          <w:lang w:val="en-US"/>
        </w:rPr>
      </w:pPr>
      <w:r w:rsidRPr="00104DE9">
        <w:footnoteRef/>
      </w:r>
      <w:r>
        <w:rPr>
          <w:lang w:val="en-US"/>
        </w:rPr>
        <w:t>.</w:t>
      </w:r>
      <w:r>
        <w:rPr>
          <w:lang w:val="en-US"/>
        </w:rPr>
        <w:tab/>
        <w:t>Home and residential care facility visits, although not currently commonplace for this group of specialists, were seen as important to address the future needs of patients – particularly those who are ageing with HIV.</w:t>
      </w:r>
    </w:p>
  </w:footnote>
  <w:footnote w:id="32">
    <w:p w14:paraId="3CFAB83E" w14:textId="77777777" w:rsidR="008E20C1" w:rsidRPr="00D025D6" w:rsidRDefault="008E20C1" w:rsidP="00EC76C7">
      <w:pPr>
        <w:pStyle w:val="FootnoteText"/>
        <w:rPr>
          <w:lang w:val="en-US"/>
        </w:rPr>
      </w:pPr>
      <w:r>
        <w:rPr>
          <w:rStyle w:val="FootnoteReference"/>
        </w:rPr>
        <w:footnoteRef/>
      </w:r>
      <w:r>
        <w:t xml:space="preserve"> </w:t>
      </w:r>
      <w:r>
        <w:rPr>
          <w:lang w:val="en-US"/>
        </w:rPr>
        <w:t>This means that the actions are independent but not mutually exclusive.</w:t>
      </w:r>
    </w:p>
  </w:footnote>
  <w:footnote w:id="33">
    <w:p w14:paraId="797AF803" w14:textId="77777777" w:rsidR="008E20C1" w:rsidRPr="006C700D" w:rsidRDefault="008E20C1" w:rsidP="003211BF">
      <w:pPr>
        <w:pStyle w:val="FootnoteText"/>
        <w:jc w:val="both"/>
        <w:rPr>
          <w:lang w:val="en-US"/>
        </w:rPr>
      </w:pPr>
      <w:r w:rsidRPr="006C700D">
        <w:footnoteRef/>
      </w:r>
      <w:r>
        <w:rPr>
          <w:lang w:val="en-US"/>
        </w:rPr>
        <w:t>.</w:t>
      </w:r>
      <w:r>
        <w:rPr>
          <w:lang w:val="en-US"/>
        </w:rPr>
        <w:tab/>
        <w:t>This approach was preferred given the limited data points available for estimation.  Linear prediction was considered to be more conservative (and reduce the risks of over fitting the available data. Calculation of prediction intervals was considered to provide a more transparent picture of the degree of variability associated with future estimations. The data series was not projected beyond the number of observations available for analysis.</w:t>
      </w:r>
    </w:p>
  </w:footnote>
  <w:footnote w:id="34">
    <w:p w14:paraId="7D8994F4" w14:textId="77777777" w:rsidR="008E20C1" w:rsidRPr="00DF1415" w:rsidRDefault="008E20C1" w:rsidP="000106D7">
      <w:pPr>
        <w:pStyle w:val="FootnoteText"/>
        <w:rPr>
          <w:lang w:val="en-US"/>
        </w:rPr>
      </w:pPr>
      <w:r w:rsidRPr="00DF1415">
        <w:footnoteRef/>
      </w:r>
      <w:r>
        <w:rPr>
          <w:lang w:val="en-US"/>
        </w:rPr>
        <w:t>.</w:t>
      </w:r>
      <w:r>
        <w:rPr>
          <w:lang w:val="en-US"/>
        </w:rPr>
        <w:tab/>
        <w:t>Detailed classification is presented in Appendix 8.</w:t>
      </w:r>
    </w:p>
  </w:footnote>
  <w:footnote w:id="35">
    <w:p w14:paraId="22245D3D" w14:textId="77777777" w:rsidR="008E20C1" w:rsidRPr="006C700D" w:rsidRDefault="008E20C1" w:rsidP="00CE4316">
      <w:pPr>
        <w:pStyle w:val="FootnoteText"/>
        <w:jc w:val="both"/>
        <w:rPr>
          <w:lang w:val="en-US"/>
        </w:rPr>
      </w:pPr>
      <w:r w:rsidRPr="006C700D">
        <w:footnoteRef/>
      </w:r>
      <w:r>
        <w:rPr>
          <w:lang w:val="en-US"/>
        </w:rPr>
        <w:t>.</w:t>
      </w:r>
      <w:r>
        <w:rPr>
          <w:lang w:val="en-US"/>
        </w:rPr>
        <w:tab/>
        <w:t>This approach was preferred given the limited data points available for estimation.  Linear prediction was considered to be more conservative (and reduce the risks of over fitting the available data. Calculation of prediction intervals was considered to provide a more transparent picture of the degree of variability associated with future estimations. The data series was not projected beyond the number of observations available for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0F667" w14:textId="4B5F0938" w:rsidR="008E20C1" w:rsidRPr="000926B1" w:rsidRDefault="008E20C1" w:rsidP="00A31053">
    <w:pPr>
      <w:pStyle w:val="header-details"/>
      <w:spacing w:before="0"/>
      <w:jc w:val="center"/>
      <w:rPr>
        <w:lang w:val="fr-FR"/>
      </w:rPr>
    </w:pPr>
    <w:r>
      <w:rPr>
        <w:lang w:val="en-AU" w:eastAsia="en-AU"/>
      </w:rPr>
      <w:drawing>
        <wp:inline distT="0" distB="0" distL="0" distR="0" wp14:anchorId="56E1D47F" wp14:editId="3918F8BB">
          <wp:extent cx="2000250" cy="1609725"/>
          <wp:effectExtent l="0" t="0" r="0" b="9525"/>
          <wp:docPr id="2" name="Picture 4" descr="ASPEX_Logo.png " title="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X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w="9525">
                    <a:noFill/>
                    <a:miter lim="800000"/>
                    <a:headEnd/>
                    <a:tailEnd/>
                  </a:ln>
                </pic:spPr>
              </pic:pic>
            </a:graphicData>
          </a:graphic>
        </wp:inline>
      </w:drawing>
    </w:r>
  </w:p>
  <w:p w14:paraId="40C9AF59" w14:textId="77777777" w:rsidR="008E20C1" w:rsidRPr="000926B1" w:rsidRDefault="008E20C1" w:rsidP="009B56BF">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1A70B" w14:textId="77777777" w:rsidR="008E20C1" w:rsidRDefault="008E20C1">
    <w:pPr>
      <w:pStyle w:val="Header"/>
    </w:pPr>
    <w:r>
      <w:rPr>
        <w:noProof/>
        <w:lang w:eastAsia="en-AU"/>
      </w:rPr>
      <w:drawing>
        <wp:inline distT="0" distB="0" distL="0" distR="0" wp14:anchorId="493EA3D3" wp14:editId="031FA681">
          <wp:extent cx="2000250" cy="1609725"/>
          <wp:effectExtent l="0" t="0" r="0" b="9525"/>
          <wp:docPr id="25" name="Picture 4" descr="ASPEX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X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9BA28" w14:textId="6DEA6B6C" w:rsidR="008E20C1" w:rsidRPr="000926B1" w:rsidRDefault="008E6665" w:rsidP="009B56BF">
    <w:pPr>
      <w:pStyle w:val="header-details"/>
      <w:spacing w:before="0"/>
      <w:rPr>
        <w:lang w:val="fr-FR"/>
      </w:rPr>
    </w:pPr>
    <w:r>
      <w:fldChar w:fldCharType="begin"/>
    </w:r>
    <w:r>
      <w:instrText xml:space="preserve"> DOCPROPERTY  xClient  \* MERGEFORMAT </w:instrText>
    </w:r>
    <w:r>
      <w:fldChar w:fldCharType="separate"/>
    </w:r>
    <w:r w:rsidRPr="008E6665">
      <w:rPr>
        <w:lang w:val="fr-FR"/>
      </w:rPr>
      <w:t>Department of</w:t>
    </w:r>
    <w:r>
      <w:t xml:space="preserve"> Health and Ageing</w:t>
    </w:r>
    <w:r>
      <w:fldChar w:fldCharType="end"/>
    </w:r>
  </w:p>
  <w:p w14:paraId="3C9762A7" w14:textId="77777777" w:rsidR="008E20C1" w:rsidRDefault="008E20C1" w:rsidP="00B13054">
    <w:pPr>
      <w:pStyle w:val="header-details"/>
      <w:spacing w:before="0"/>
    </w:pPr>
    <w:r w:rsidRPr="000926B1">
      <w:rPr>
        <w:lang w:val="fr-FR"/>
      </w:rPr>
      <w:tab/>
    </w:r>
    <w:r>
      <w:t>Analysis of proposed MBS items for Sexual Health Medicine</w:t>
    </w:r>
  </w:p>
  <w:p w14:paraId="16B07D82" w14:textId="414D8CFD" w:rsidR="008E20C1" w:rsidRPr="000926B1" w:rsidRDefault="008E20C1" w:rsidP="00B13054">
    <w:pPr>
      <w:pStyle w:val="header-details"/>
      <w:spacing w:before="0"/>
      <w:rPr>
        <w:lang w:val="fr-FR"/>
      </w:rPr>
    </w:pPr>
    <w:r>
      <w:t>Consultant Report</w:t>
    </w:r>
  </w:p>
  <w:p w14:paraId="0BCB99BB" w14:textId="4D9E7A28" w:rsidR="008E20C1" w:rsidRPr="000926B1" w:rsidRDefault="008E20C1" w:rsidP="009B56BF">
    <w:pPr>
      <w:pStyle w:val="header-details"/>
      <w:spacing w:before="0"/>
      <w:rPr>
        <w:lang w:val="fr-FR"/>
      </w:rPr>
    </w:pPr>
    <w:r w:rsidRPr="000926B1">
      <w:rPr>
        <w:lang w:val="fr-FR"/>
      </w:rPr>
      <w:tab/>
    </w:r>
    <w:r w:rsidR="008E6665">
      <w:fldChar w:fldCharType="begin"/>
    </w:r>
    <w:r w:rsidR="008E6665">
      <w:instrText xml:space="preserve"> DOCPROPERTY  xDate  \* MERGEFORMAT </w:instrText>
    </w:r>
    <w:r w:rsidR="008E6665">
      <w:fldChar w:fldCharType="separate"/>
    </w:r>
    <w:r w:rsidR="008E6665" w:rsidRPr="008E6665">
      <w:rPr>
        <w:lang w:val="fr-FR"/>
      </w:rPr>
      <w:t>12 March</w:t>
    </w:r>
    <w:r w:rsidR="008E6665">
      <w:t xml:space="preserve"> 2013</w:t>
    </w:r>
    <w:r w:rsidR="008E6665">
      <w:fldChar w:fldCharType="end"/>
    </w:r>
  </w:p>
  <w:p w14:paraId="1CD54293" w14:textId="77777777" w:rsidR="008E20C1" w:rsidRPr="000926B1" w:rsidRDefault="008E20C1" w:rsidP="009B56BF">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B4B9E" w14:textId="4980DA81" w:rsidR="008E20C1" w:rsidRPr="000926B1" w:rsidRDefault="008E6665" w:rsidP="003D50DD">
    <w:pPr>
      <w:pStyle w:val="header-details"/>
      <w:spacing w:before="0"/>
      <w:ind w:right="-1448"/>
      <w:rPr>
        <w:lang w:val="fr-FR"/>
      </w:rPr>
    </w:pPr>
    <w:r>
      <w:fldChar w:fldCharType="begin"/>
    </w:r>
    <w:r>
      <w:instrText xml:space="preserve"> DOCPROPERTY  xClient  \* MERGEFORMAT </w:instrText>
    </w:r>
    <w:r>
      <w:fldChar w:fldCharType="separate"/>
    </w:r>
    <w:r w:rsidRPr="008E6665">
      <w:rPr>
        <w:lang w:val="fr-FR"/>
      </w:rPr>
      <w:t>Department of</w:t>
    </w:r>
    <w:r>
      <w:t xml:space="preserve"> Health and Ageing</w:t>
    </w:r>
    <w:r>
      <w:fldChar w:fldCharType="end"/>
    </w:r>
  </w:p>
  <w:p w14:paraId="3F60A545" w14:textId="77777777" w:rsidR="008E20C1" w:rsidRDefault="008E20C1" w:rsidP="003D50DD">
    <w:pPr>
      <w:pStyle w:val="header-details"/>
      <w:spacing w:before="0"/>
      <w:ind w:right="-1448"/>
    </w:pPr>
    <w:r w:rsidRPr="000926B1">
      <w:rPr>
        <w:lang w:val="fr-FR"/>
      </w:rPr>
      <w:tab/>
    </w:r>
    <w:r>
      <w:t>Analysis of proposed MBS items for Sexual Health Medicine</w:t>
    </w:r>
  </w:p>
  <w:p w14:paraId="79B11CBB" w14:textId="20039510" w:rsidR="008E20C1" w:rsidRPr="000926B1" w:rsidRDefault="008E20C1" w:rsidP="003D50DD">
    <w:pPr>
      <w:pStyle w:val="header-details"/>
      <w:spacing w:before="0"/>
      <w:ind w:right="-1448"/>
      <w:rPr>
        <w:lang w:val="fr-FR"/>
      </w:rPr>
    </w:pPr>
    <w:r>
      <w:t>Consultant Report</w:t>
    </w:r>
  </w:p>
  <w:p w14:paraId="1AA83BE1" w14:textId="6616A4D5" w:rsidR="008E20C1" w:rsidRPr="000926B1" w:rsidRDefault="008E20C1" w:rsidP="003D50DD">
    <w:pPr>
      <w:pStyle w:val="header-details"/>
      <w:spacing w:before="0"/>
      <w:ind w:right="-1448"/>
      <w:rPr>
        <w:lang w:val="fr-FR"/>
      </w:rPr>
    </w:pPr>
    <w:r w:rsidRPr="000926B1">
      <w:rPr>
        <w:lang w:val="fr-FR"/>
      </w:rPr>
      <w:tab/>
    </w:r>
    <w:r w:rsidR="008E6665">
      <w:fldChar w:fldCharType="begin"/>
    </w:r>
    <w:r w:rsidR="008E6665">
      <w:instrText xml:space="preserve"> DOCPROPERTY  xDate  \* MERGEFORMAT </w:instrText>
    </w:r>
    <w:r w:rsidR="008E6665">
      <w:fldChar w:fldCharType="separate"/>
    </w:r>
    <w:r w:rsidR="008E6665" w:rsidRPr="008E6665">
      <w:rPr>
        <w:lang w:val="fr-FR"/>
      </w:rPr>
      <w:t>12 March</w:t>
    </w:r>
    <w:r w:rsidR="008E6665">
      <w:t xml:space="preserve"> 2013</w:t>
    </w:r>
    <w:r w:rsidR="008E6665">
      <w:fldChar w:fldCharType="end"/>
    </w:r>
  </w:p>
  <w:p w14:paraId="430DE9A6" w14:textId="77777777" w:rsidR="008E20C1" w:rsidRPr="000926B1" w:rsidRDefault="008E20C1" w:rsidP="009B56BF">
    <w:pPr>
      <w:pStyle w:val="Header"/>
      <w:rPr>
        <w:lang w:val="fr-FR"/>
      </w:rPr>
    </w:pPr>
  </w:p>
  <w:p w14:paraId="07C96704" w14:textId="77777777" w:rsidR="008E20C1" w:rsidRPr="000926B1" w:rsidRDefault="008E20C1" w:rsidP="009B56BF">
    <w:pPr>
      <w:pStyle w:val="Heade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0073" w14:textId="6D20348E" w:rsidR="008E20C1" w:rsidRPr="000926B1" w:rsidRDefault="008E6665" w:rsidP="00265697">
    <w:pPr>
      <w:pStyle w:val="header-details"/>
      <w:spacing w:before="0"/>
      <w:ind w:right="-58"/>
      <w:rPr>
        <w:lang w:val="fr-FR"/>
      </w:rPr>
    </w:pPr>
    <w:r>
      <w:fldChar w:fldCharType="begin"/>
    </w:r>
    <w:r>
      <w:instrText xml:space="preserve"> DOCPROPERTY  xClient  \* MERGEFORMAT </w:instrText>
    </w:r>
    <w:r>
      <w:fldChar w:fldCharType="separate"/>
    </w:r>
    <w:r w:rsidRPr="008E6665">
      <w:rPr>
        <w:lang w:val="fr-FR"/>
      </w:rPr>
      <w:t>Department of</w:t>
    </w:r>
    <w:r>
      <w:t xml:space="preserve"> Health and Ageing</w:t>
    </w:r>
    <w:r>
      <w:fldChar w:fldCharType="end"/>
    </w:r>
  </w:p>
  <w:p w14:paraId="513CE49D" w14:textId="77777777" w:rsidR="008E20C1" w:rsidRDefault="008E20C1" w:rsidP="00265697">
    <w:pPr>
      <w:pStyle w:val="header-details"/>
      <w:spacing w:before="0"/>
      <w:ind w:right="-58"/>
    </w:pPr>
    <w:r w:rsidRPr="000926B1">
      <w:rPr>
        <w:lang w:val="fr-FR"/>
      </w:rPr>
      <w:tab/>
    </w:r>
    <w:r>
      <w:t>Analysis of proposed MBS items for Sexual Health Medicine</w:t>
    </w:r>
  </w:p>
  <w:p w14:paraId="281B34A7" w14:textId="03221AE7" w:rsidR="008E20C1" w:rsidRPr="000926B1" w:rsidRDefault="008E20C1" w:rsidP="00265697">
    <w:pPr>
      <w:pStyle w:val="header-details"/>
      <w:spacing w:before="0"/>
      <w:ind w:right="-58"/>
      <w:rPr>
        <w:lang w:val="fr-FR"/>
      </w:rPr>
    </w:pPr>
    <w:r>
      <w:t>Consultant Report</w:t>
    </w:r>
  </w:p>
  <w:p w14:paraId="36BFA770" w14:textId="5074D5F3" w:rsidR="008E20C1" w:rsidRPr="000926B1" w:rsidRDefault="008E20C1" w:rsidP="00265697">
    <w:pPr>
      <w:pStyle w:val="header-details"/>
      <w:spacing w:before="0"/>
      <w:ind w:right="-58"/>
      <w:rPr>
        <w:lang w:val="fr-FR"/>
      </w:rPr>
    </w:pPr>
    <w:r w:rsidRPr="000926B1">
      <w:rPr>
        <w:lang w:val="fr-FR"/>
      </w:rPr>
      <w:tab/>
    </w:r>
    <w:r w:rsidR="008E6665">
      <w:fldChar w:fldCharType="begin"/>
    </w:r>
    <w:r w:rsidR="008E6665">
      <w:instrText xml:space="preserve"> DOCPROPERTY  xDate  \* MERGEFORMAT </w:instrText>
    </w:r>
    <w:r w:rsidR="008E6665">
      <w:fldChar w:fldCharType="separate"/>
    </w:r>
    <w:r w:rsidR="008E6665" w:rsidRPr="008E6665">
      <w:rPr>
        <w:lang w:val="fr-FR"/>
      </w:rPr>
      <w:t>12 March</w:t>
    </w:r>
    <w:r w:rsidR="008E6665">
      <w:t xml:space="preserve"> 2013</w:t>
    </w:r>
    <w:r w:rsidR="008E6665">
      <w:fldChar w:fldCharType="end"/>
    </w:r>
  </w:p>
  <w:p w14:paraId="71873313" w14:textId="77777777" w:rsidR="008E20C1" w:rsidRPr="000926B1" w:rsidRDefault="008E20C1" w:rsidP="00265697">
    <w:pPr>
      <w:pStyle w:val="Header"/>
      <w:ind w:right="-58"/>
      <w:rPr>
        <w:lang w:val="fr-FR"/>
      </w:rPr>
    </w:pPr>
  </w:p>
  <w:p w14:paraId="6ABF535D" w14:textId="77777777" w:rsidR="008E20C1" w:rsidRPr="000926B1" w:rsidRDefault="008E20C1" w:rsidP="009B56BF">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132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381021"/>
    <w:multiLevelType w:val="hybridMultilevel"/>
    <w:tmpl w:val="DB26BE6C"/>
    <w:lvl w:ilvl="0" w:tplc="AC62BE54">
      <w:start w:val="1"/>
      <w:numFmt w:val="decimal"/>
      <w:pStyle w:val="AspexTableNumberedBullets"/>
      <w:lvlText w:val="%1."/>
      <w:lvlJc w:val="left"/>
      <w:pPr>
        <w:ind w:left="284" w:hanging="284"/>
      </w:pPr>
      <w:rPr>
        <w:rFonts w:hint="default"/>
        <w:color w:val="3B98D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F5392"/>
    <w:multiLevelType w:val="multilevel"/>
    <w:tmpl w:val="C998434E"/>
    <w:styleLink w:val="AspexTableText-NarrowBulletList"/>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 w:ilvl="1">
      <w:start w:val="1"/>
      <w:numFmt w:val="bullet"/>
      <w:pStyle w:val="AspexTableText-NarrowBullet2"/>
      <w:lvlText w:val=""/>
      <w:lvlJc w:val="left"/>
      <w:pPr>
        <w:tabs>
          <w:tab w:val="num" w:pos="567"/>
        </w:tabs>
        <w:ind w:left="567" w:hanging="283"/>
      </w:pPr>
      <w:rPr>
        <w:rFonts w:ascii="Webdings" w:hAnsi="Webdings" w:hint="default"/>
        <w:color w:val="3B98D3"/>
      </w:rPr>
    </w:lvl>
    <w:lvl w:ilvl="2">
      <w:start w:val="1"/>
      <w:numFmt w:val="bullet"/>
      <w:pStyle w:val="AspexTableText-NarrowBullet3"/>
      <w:lvlText w:val=""/>
      <w:lvlJc w:val="left"/>
      <w:pPr>
        <w:tabs>
          <w:tab w:val="num" w:pos="1418"/>
        </w:tabs>
        <w:ind w:left="1418" w:hanging="567"/>
      </w:pPr>
      <w:rPr>
        <w:rFonts w:ascii="Symbol" w:hAnsi="Symbol" w:hint="default"/>
        <w:color w:val="3B98D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76778E9"/>
    <w:multiLevelType w:val="multilevel"/>
    <w:tmpl w:val="53DEF270"/>
    <w:styleLink w:val="AspexBulletList"/>
    <w:lvl w:ilvl="0">
      <w:start w:val="1"/>
      <w:numFmt w:val="bullet"/>
      <w:lvlText w:val=""/>
      <w:lvlJc w:val="left"/>
      <w:pPr>
        <w:tabs>
          <w:tab w:val="num" w:pos="340"/>
        </w:tabs>
        <w:ind w:left="340" w:hanging="340"/>
      </w:pPr>
      <w:rPr>
        <w:rFonts w:ascii="Wingdings" w:hAnsi="Wingdings" w:hint="default"/>
        <w:color w:val="3B98D3"/>
        <w:sz w:val="26"/>
      </w:rPr>
    </w:lvl>
    <w:lvl w:ilvl="1">
      <w:start w:val="1"/>
      <w:numFmt w:val="bullet"/>
      <w:lvlText w:val=""/>
      <w:lvlJc w:val="left"/>
      <w:pPr>
        <w:tabs>
          <w:tab w:val="num" w:pos="284"/>
        </w:tabs>
        <w:ind w:left="284" w:firstLine="0"/>
      </w:pPr>
      <w:rPr>
        <w:rFonts w:ascii="Webdings" w:hAnsi="Webdings" w:hint="default"/>
        <w:color w:val="3B98D3"/>
      </w:rPr>
    </w:lvl>
    <w:lvl w:ilvl="2">
      <w:start w:val="1"/>
      <w:numFmt w:val="bullet"/>
      <w:lvlText w:val=""/>
      <w:lvlJc w:val="left"/>
      <w:pPr>
        <w:tabs>
          <w:tab w:val="num" w:pos="1021"/>
        </w:tabs>
        <w:ind w:left="1021" w:hanging="341"/>
      </w:pPr>
      <w:rPr>
        <w:rFonts w:ascii="Symbol" w:hAnsi="Symbol" w:hint="default"/>
        <w:color w:val="3B98D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7F2511D"/>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259661E"/>
    <w:multiLevelType w:val="multilevel"/>
    <w:tmpl w:val="1A9E7818"/>
    <w:name w:val="Aspex Appendix"/>
    <w:lvl w:ilvl="0">
      <w:start w:val="1"/>
      <w:numFmt w:val="decimal"/>
      <w:pStyle w:val="AspexAppendixlevel1"/>
      <w:lvlText w:val="Appendix %1"/>
      <w:lvlJc w:val="left"/>
      <w:pPr>
        <w:tabs>
          <w:tab w:val="num" w:pos="964"/>
        </w:tabs>
        <w:ind w:left="964" w:hanging="839"/>
      </w:pPr>
      <w:rPr>
        <w:rFonts w:hint="default"/>
      </w:rPr>
    </w:lvl>
    <w:lvl w:ilvl="1">
      <w:start w:val="1"/>
      <w:numFmt w:val="decimal"/>
      <w:pStyle w:val="AspexAppendixLevel2"/>
      <w:lvlText w:val="%1.%2"/>
      <w:lvlJc w:val="left"/>
      <w:pPr>
        <w:ind w:left="964" w:hanging="964"/>
      </w:pPr>
      <w:rPr>
        <w:rFonts w:hint="default"/>
      </w:rPr>
    </w:lvl>
    <w:lvl w:ilvl="2">
      <w:start w:val="1"/>
      <w:numFmt w:val="decimal"/>
      <w:pStyle w:val="AspexAppendixLevel3"/>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4FC2082"/>
    <w:multiLevelType w:val="multilevel"/>
    <w:tmpl w:val="D44A9D50"/>
    <w:name w:val="AspexBullets"/>
    <w:lvl w:ilvl="0">
      <w:start w:val="1"/>
      <w:numFmt w:val="bullet"/>
      <w:pStyle w:val="AspexBullet1"/>
      <w:lvlText w:val=""/>
      <w:lvlJc w:val="left"/>
      <w:pPr>
        <w:tabs>
          <w:tab w:val="num" w:pos="1060"/>
        </w:tabs>
        <w:ind w:left="284" w:hanging="284"/>
      </w:pPr>
      <w:rPr>
        <w:rFonts w:ascii="Wingdings" w:hAnsi="Wingdings" w:hint="default"/>
        <w:color w:val="3B98D3"/>
        <w:sz w:val="26"/>
      </w:rPr>
    </w:lvl>
    <w:lvl w:ilvl="1">
      <w:start w:val="1"/>
      <w:numFmt w:val="bullet"/>
      <w:pStyle w:val="AspexBullet2"/>
      <w:lvlText w:val=""/>
      <w:lvlJc w:val="left"/>
      <w:pPr>
        <w:tabs>
          <w:tab w:val="num" w:pos="1117"/>
        </w:tabs>
        <w:ind w:left="624" w:hanging="340"/>
      </w:pPr>
      <w:rPr>
        <w:rFonts w:ascii="Webdings" w:hAnsi="Webdings" w:hint="default"/>
        <w:color w:val="3B98D3"/>
      </w:rPr>
    </w:lvl>
    <w:lvl w:ilvl="2">
      <w:start w:val="1"/>
      <w:numFmt w:val="bullet"/>
      <w:pStyle w:val="AspexBullet3"/>
      <w:lvlText w:val=""/>
      <w:lvlJc w:val="left"/>
      <w:pPr>
        <w:tabs>
          <w:tab w:val="num" w:pos="1741"/>
        </w:tabs>
        <w:ind w:left="851" w:hanging="284"/>
      </w:pPr>
      <w:rPr>
        <w:rFonts w:ascii="Symbol" w:hAnsi="Symbol" w:hint="default"/>
        <w:color w:val="3B98D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nsid w:val="2BE067AF"/>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C130AFF"/>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5F949D0"/>
    <w:multiLevelType w:val="hybridMultilevel"/>
    <w:tmpl w:val="FDC635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3B60EA"/>
    <w:multiLevelType w:val="multilevel"/>
    <w:tmpl w:val="371694BA"/>
    <w:lvl w:ilvl="0">
      <w:start w:val="1"/>
      <w:numFmt w:val="decimal"/>
      <w:lvlText w:val=" %1"/>
      <w:lvlJc w:val="left"/>
      <w:pPr>
        <w:tabs>
          <w:tab w:val="num" w:pos="964"/>
        </w:tabs>
        <w:ind w:left="964" w:hanging="964"/>
      </w:pPr>
      <w:rPr>
        <w:rFonts w:hint="default"/>
      </w:rPr>
    </w:lvl>
    <w:lvl w:ilvl="1">
      <w:start w:val="1"/>
      <w:numFmt w:val="decimal"/>
      <w:lvlText w:val="%1.%2"/>
      <w:lvlJc w:val="left"/>
      <w:pPr>
        <w:tabs>
          <w:tab w:val="num" w:pos="1390"/>
        </w:tabs>
        <w:ind w:left="1390"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84"/>
        </w:tabs>
        <w:ind w:left="907" w:hanging="907"/>
      </w:pPr>
      <w:rPr>
        <w:rFonts w:hint="default"/>
      </w:rPr>
    </w:lvl>
    <w:lvl w:ilvl="4">
      <w:start w:val="1"/>
      <w:numFmt w:val="decimal"/>
      <w:lvlText w:val="%1.%2.%3.%4.%5"/>
      <w:lvlJc w:val="left"/>
      <w:pPr>
        <w:tabs>
          <w:tab w:val="num" w:pos="1972"/>
        </w:tabs>
        <w:ind w:left="1972" w:hanging="1008"/>
      </w:pPr>
      <w:rPr>
        <w:rFonts w:hint="default"/>
      </w:rPr>
    </w:lvl>
    <w:lvl w:ilvl="5">
      <w:start w:val="1"/>
      <w:numFmt w:val="decimal"/>
      <w:lvlText w:val="%1.%2.%3.%4.%5.%6"/>
      <w:lvlJc w:val="left"/>
      <w:pPr>
        <w:tabs>
          <w:tab w:val="num" w:pos="2116"/>
        </w:tabs>
        <w:ind w:left="2116" w:hanging="1152"/>
      </w:pPr>
      <w:rPr>
        <w:rFonts w:hint="default"/>
      </w:rPr>
    </w:lvl>
    <w:lvl w:ilvl="6">
      <w:start w:val="1"/>
      <w:numFmt w:val="decimal"/>
      <w:lvlText w:val="%1.%2.%3.%4.%5.%6.%7"/>
      <w:lvlJc w:val="left"/>
      <w:pPr>
        <w:tabs>
          <w:tab w:val="num" w:pos="2260"/>
        </w:tabs>
        <w:ind w:left="2260" w:hanging="1296"/>
      </w:pPr>
      <w:rPr>
        <w:rFonts w:hint="default"/>
      </w:rPr>
    </w:lvl>
    <w:lvl w:ilvl="7">
      <w:start w:val="1"/>
      <w:numFmt w:val="decimal"/>
      <w:lvlText w:val="%1.%2.%3.%4.%5.%6.%7.%8"/>
      <w:lvlJc w:val="left"/>
      <w:pPr>
        <w:tabs>
          <w:tab w:val="num" w:pos="2404"/>
        </w:tabs>
        <w:ind w:left="2404" w:hanging="1440"/>
      </w:pPr>
      <w:rPr>
        <w:rFonts w:hint="default"/>
      </w:rPr>
    </w:lvl>
    <w:lvl w:ilvl="8">
      <w:start w:val="1"/>
      <w:numFmt w:val="decimal"/>
      <w:lvlText w:val="%1.%2.%3.%4.%5.%6.%7.%8.%9"/>
      <w:lvlJc w:val="left"/>
      <w:pPr>
        <w:tabs>
          <w:tab w:val="num" w:pos="2548"/>
        </w:tabs>
        <w:ind w:left="2548" w:hanging="1584"/>
      </w:pPr>
      <w:rPr>
        <w:rFonts w:hint="default"/>
      </w:rPr>
    </w:lvl>
  </w:abstractNum>
  <w:abstractNum w:abstractNumId="11">
    <w:nsid w:val="3FC23BE0"/>
    <w:multiLevelType w:val="hybridMultilevel"/>
    <w:tmpl w:val="EF346702"/>
    <w:lvl w:ilvl="0" w:tplc="33303B44">
      <w:numFmt w:val="bullet"/>
      <w:lvlText w:val=""/>
      <w:lvlJc w:val="left"/>
      <w:pPr>
        <w:ind w:left="720" w:hanging="360"/>
      </w:pPr>
      <w:rPr>
        <w:rFonts w:ascii="Symbol" w:eastAsia="Times New Roman" w:hAnsi="Symbol"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B9D067E"/>
    <w:multiLevelType w:val="hybridMultilevel"/>
    <w:tmpl w:val="1A7C88D4"/>
    <w:lvl w:ilvl="0" w:tplc="B61CBEA2">
      <w:start w:val="1"/>
      <w:numFmt w:val="bullet"/>
      <w:pStyle w:val="AspexTableText-Bullet"/>
      <w:lvlText w:val=""/>
      <w:lvlJc w:val="left"/>
      <w:pPr>
        <w:ind w:left="1440" w:hanging="360"/>
      </w:pPr>
      <w:rPr>
        <w:rFonts w:ascii="Wingdings" w:hAnsi="Wingdings" w:hint="default"/>
        <w:color w:val="3B98D3"/>
        <w:position w:val="-2"/>
        <w:sz w:val="32"/>
      </w:rPr>
    </w:lvl>
    <w:lvl w:ilvl="1" w:tplc="B6569434">
      <w:start w:val="1"/>
      <w:numFmt w:val="bullet"/>
      <w:lvlText w:val="o"/>
      <w:lvlJc w:val="left"/>
      <w:pPr>
        <w:ind w:left="1440" w:hanging="360"/>
      </w:pPr>
      <w:rPr>
        <w:rFonts w:ascii="Courier New" w:hAnsi="Courier New" w:hint="default"/>
      </w:rPr>
    </w:lvl>
    <w:lvl w:ilvl="2" w:tplc="376EBEF2" w:tentative="1">
      <w:start w:val="1"/>
      <w:numFmt w:val="bullet"/>
      <w:lvlText w:val=""/>
      <w:lvlJc w:val="left"/>
      <w:pPr>
        <w:ind w:left="2160" w:hanging="360"/>
      </w:pPr>
      <w:rPr>
        <w:rFonts w:ascii="Wingdings" w:hAnsi="Wingdings" w:hint="default"/>
      </w:rPr>
    </w:lvl>
    <w:lvl w:ilvl="3" w:tplc="E6200D5A" w:tentative="1">
      <w:start w:val="1"/>
      <w:numFmt w:val="bullet"/>
      <w:lvlText w:val=""/>
      <w:lvlJc w:val="left"/>
      <w:pPr>
        <w:ind w:left="2880" w:hanging="360"/>
      </w:pPr>
      <w:rPr>
        <w:rFonts w:ascii="Symbol" w:hAnsi="Symbol" w:hint="default"/>
      </w:rPr>
    </w:lvl>
    <w:lvl w:ilvl="4" w:tplc="81202BB2" w:tentative="1">
      <w:start w:val="1"/>
      <w:numFmt w:val="bullet"/>
      <w:lvlText w:val="o"/>
      <w:lvlJc w:val="left"/>
      <w:pPr>
        <w:ind w:left="3600" w:hanging="360"/>
      </w:pPr>
      <w:rPr>
        <w:rFonts w:ascii="Courier New" w:hAnsi="Courier New" w:hint="default"/>
      </w:rPr>
    </w:lvl>
    <w:lvl w:ilvl="5" w:tplc="C7E4047E" w:tentative="1">
      <w:start w:val="1"/>
      <w:numFmt w:val="bullet"/>
      <w:lvlText w:val=""/>
      <w:lvlJc w:val="left"/>
      <w:pPr>
        <w:ind w:left="4320" w:hanging="360"/>
      </w:pPr>
      <w:rPr>
        <w:rFonts w:ascii="Wingdings" w:hAnsi="Wingdings" w:hint="default"/>
      </w:rPr>
    </w:lvl>
    <w:lvl w:ilvl="6" w:tplc="CC0C9DE8" w:tentative="1">
      <w:start w:val="1"/>
      <w:numFmt w:val="bullet"/>
      <w:lvlText w:val=""/>
      <w:lvlJc w:val="left"/>
      <w:pPr>
        <w:ind w:left="5040" w:hanging="360"/>
      </w:pPr>
      <w:rPr>
        <w:rFonts w:ascii="Symbol" w:hAnsi="Symbol" w:hint="default"/>
      </w:rPr>
    </w:lvl>
    <w:lvl w:ilvl="7" w:tplc="49FCD154" w:tentative="1">
      <w:start w:val="1"/>
      <w:numFmt w:val="bullet"/>
      <w:lvlText w:val="o"/>
      <w:lvlJc w:val="left"/>
      <w:pPr>
        <w:ind w:left="5760" w:hanging="360"/>
      </w:pPr>
      <w:rPr>
        <w:rFonts w:ascii="Courier New" w:hAnsi="Courier New" w:hint="default"/>
      </w:rPr>
    </w:lvl>
    <w:lvl w:ilvl="8" w:tplc="4456E31E" w:tentative="1">
      <w:start w:val="1"/>
      <w:numFmt w:val="bullet"/>
      <w:lvlText w:val=""/>
      <w:lvlJc w:val="left"/>
      <w:pPr>
        <w:ind w:left="6480" w:hanging="360"/>
      </w:pPr>
      <w:rPr>
        <w:rFonts w:ascii="Wingdings" w:hAnsi="Wingdings" w:hint="default"/>
      </w:rPr>
    </w:lvl>
  </w:abstractNum>
  <w:abstractNum w:abstractNumId="13">
    <w:nsid w:val="4F622EAC"/>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01B6FC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5C06835"/>
    <w:multiLevelType w:val="hybridMultilevel"/>
    <w:tmpl w:val="F858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85458DB"/>
    <w:multiLevelType w:val="hybridMultilevel"/>
    <w:tmpl w:val="05387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773F9F"/>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1624114"/>
    <w:multiLevelType w:val="hybridMultilevel"/>
    <w:tmpl w:val="FDC635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2F347B2"/>
    <w:multiLevelType w:val="hybridMultilevel"/>
    <w:tmpl w:val="7A2661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41E2C64"/>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4502113"/>
    <w:multiLevelType w:val="hybridMultilevel"/>
    <w:tmpl w:val="138EADAC"/>
    <w:lvl w:ilvl="0" w:tplc="CB421BFA">
      <w:start w:val="1"/>
      <w:numFmt w:val="bullet"/>
      <w:lvlText w:val=""/>
      <w:lvlJc w:val="left"/>
      <w:pPr>
        <w:ind w:left="1296" w:hanging="360"/>
      </w:pPr>
      <w:rPr>
        <w:rFonts w:ascii="Webdings" w:hAnsi="Webdings" w:hint="default"/>
        <w:color w:val="548DD4" w:themeColor="text2" w:themeTint="99"/>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nsid w:val="65DB4B4D"/>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6D00A56"/>
    <w:multiLevelType w:val="hybridMultilevel"/>
    <w:tmpl w:val="2E664EF2"/>
    <w:lvl w:ilvl="0" w:tplc="6FD6ED32">
      <w:numFmt w:val="bullet"/>
      <w:lvlText w:val=""/>
      <w:lvlJc w:val="left"/>
      <w:pPr>
        <w:ind w:left="720" w:hanging="360"/>
      </w:pPr>
      <w:rPr>
        <w:rFonts w:ascii="Symbol" w:eastAsia="Times New Roman" w:hAnsi="Symbol"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CA26021"/>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D1C0826"/>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2015640"/>
    <w:multiLevelType w:val="hybridMultilevel"/>
    <w:tmpl w:val="40D4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2C94F76"/>
    <w:multiLevelType w:val="multilevel"/>
    <w:tmpl w:val="C998434E"/>
    <w:numStyleLink w:val="AspexTableText-NarrowBulletList"/>
  </w:abstractNum>
  <w:abstractNum w:abstractNumId="28">
    <w:nsid w:val="74524209"/>
    <w:multiLevelType w:val="hybridMultilevel"/>
    <w:tmpl w:val="10A85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C416AA"/>
    <w:multiLevelType w:val="multilevel"/>
    <w:tmpl w:val="E9A4B5A8"/>
    <w:styleLink w:val="AspexnumberedbulletList"/>
    <w:lvl w:ilvl="0">
      <w:start w:val="1"/>
      <w:numFmt w:val="decimal"/>
      <w:pStyle w:val="AspexNumberedbullet1"/>
      <w:lvlText w:val="%1."/>
      <w:lvlJc w:val="left"/>
      <w:pPr>
        <w:tabs>
          <w:tab w:val="num" w:pos="340"/>
        </w:tabs>
        <w:ind w:left="340" w:hanging="340"/>
      </w:pPr>
      <w:rPr>
        <w:rFonts w:hint="default"/>
      </w:rPr>
    </w:lvl>
    <w:lvl w:ilvl="1">
      <w:start w:val="1"/>
      <w:numFmt w:val="lowerLetter"/>
      <w:pStyle w:val="AspexNumberedBullet2"/>
      <w:lvlText w:val="%2."/>
      <w:lvlJc w:val="left"/>
      <w:pPr>
        <w:tabs>
          <w:tab w:val="num" w:pos="397"/>
        </w:tabs>
        <w:ind w:left="680" w:hanging="340"/>
      </w:pPr>
      <w:rPr>
        <w:rFonts w:hint="default"/>
      </w:rPr>
    </w:lvl>
    <w:lvl w:ilvl="2">
      <w:start w:val="1"/>
      <w:numFmt w:val="lowerRoman"/>
      <w:pStyle w:val="AspexNumberedBullet3"/>
      <w:lvlText w:val="%3."/>
      <w:lvlJc w:val="left"/>
      <w:pPr>
        <w:tabs>
          <w:tab w:val="num" w:pos="964"/>
        </w:tabs>
        <w:ind w:left="964" w:hanging="284"/>
      </w:pPr>
      <w:rPr>
        <w:rFonts w:hint="default"/>
      </w:rPr>
    </w:lvl>
    <w:lvl w:ilvl="3">
      <w:start w:val="1"/>
      <w:numFmt w:val="none"/>
      <w:lvlText w:val="%4."/>
      <w:lvlJc w:val="left"/>
      <w:pPr>
        <w:tabs>
          <w:tab w:val="num" w:pos="1021"/>
        </w:tabs>
        <w:ind w:left="1021"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7CB446EA"/>
    <w:multiLevelType w:val="multilevel"/>
    <w:tmpl w:val="CA56EB5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1"/>
    <w:lvlOverride w:ilvl="0">
      <w:startOverride w:val="1"/>
    </w:lvlOverride>
  </w:num>
  <w:num w:numId="3">
    <w:abstractNumId w:val="2"/>
  </w:num>
  <w:num w:numId="4">
    <w:abstractNumId w:val="10"/>
  </w:num>
  <w:num w:numId="5">
    <w:abstractNumId w:val="29"/>
  </w:num>
  <w:num w:numId="6">
    <w:abstractNumId w:val="6"/>
  </w:num>
  <w:num w:numId="7">
    <w:abstractNumId w:val="12"/>
  </w:num>
  <w:num w:numId="8">
    <w:abstractNumId w:val="27"/>
    <w:lvlOverride w:ilvl="0">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Override>
    <w:lvlOverride w:ilvl="1">
      <w:lvl w:ilvl="1">
        <w:start w:val="1"/>
        <w:numFmt w:val="bullet"/>
        <w:pStyle w:val="AspexTableText-NarrowBullet2"/>
        <w:lvlText w:val=""/>
        <w:lvlJc w:val="left"/>
        <w:pPr>
          <w:tabs>
            <w:tab w:val="num" w:pos="567"/>
          </w:tabs>
          <w:ind w:left="567" w:hanging="283"/>
        </w:pPr>
        <w:rPr>
          <w:rFonts w:ascii="Webdings" w:hAnsi="Webdings" w:hint="default"/>
          <w:color w:val="3B98D3"/>
        </w:rPr>
      </w:lvl>
    </w:lvlOverride>
    <w:lvlOverride w:ilvl="2">
      <w:lvl w:ilvl="2">
        <w:start w:val="1"/>
        <w:numFmt w:val="bullet"/>
        <w:pStyle w:val="AspexTableText-NarrowBullet3"/>
        <w:lvlText w:val=""/>
        <w:lvlJc w:val="left"/>
        <w:pPr>
          <w:tabs>
            <w:tab w:val="num" w:pos="1418"/>
          </w:tabs>
          <w:ind w:left="1418" w:hanging="567"/>
        </w:pPr>
        <w:rPr>
          <w:rFonts w:ascii="Symbol" w:hAnsi="Symbol" w:hint="default"/>
          <w:color w:val="3B98D3"/>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9">
    <w:abstractNumId w:val="5"/>
  </w:num>
  <w:num w:numId="10">
    <w:abstractNumId w:val="0"/>
  </w:num>
  <w:num w:numId="11">
    <w:abstractNumId w:val="2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4"/>
  </w:num>
  <w:num w:numId="16">
    <w:abstractNumId w:val="24"/>
  </w:num>
  <w:num w:numId="17">
    <w:abstractNumId w:val="25"/>
  </w:num>
  <w:num w:numId="18">
    <w:abstractNumId w:val="13"/>
  </w:num>
  <w:num w:numId="19">
    <w:abstractNumId w:val="8"/>
  </w:num>
  <w:num w:numId="20">
    <w:abstractNumId w:val="22"/>
  </w:num>
  <w:num w:numId="21">
    <w:abstractNumId w:val="19"/>
  </w:num>
  <w:num w:numId="22">
    <w:abstractNumId w:val="17"/>
  </w:num>
  <w:num w:numId="23">
    <w:abstractNumId w:val="28"/>
  </w:num>
  <w:num w:numId="24">
    <w:abstractNumId w:val="20"/>
  </w:num>
  <w:num w:numId="25">
    <w:abstractNumId w:val="15"/>
  </w:num>
  <w:num w:numId="26">
    <w:abstractNumId w:val="16"/>
  </w:num>
  <w:num w:numId="27">
    <w:abstractNumId w:val="4"/>
  </w:num>
  <w:num w:numId="28">
    <w:abstractNumId w:val="9"/>
  </w:num>
  <w:num w:numId="29">
    <w:abstractNumId w:val="18"/>
  </w:num>
  <w:num w:numId="30">
    <w:abstractNumId w:val="7"/>
  </w:num>
  <w:num w:numId="31">
    <w:abstractNumId w:val="30"/>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6"/>
  </w:num>
  <w:num w:numId="43">
    <w:abstractNumId w:val="29"/>
  </w:num>
  <w:num w:numId="44">
    <w:abstractNumId w:val="6"/>
  </w:num>
  <w:num w:numId="45">
    <w:abstractNumId w:val="6"/>
  </w:num>
  <w:num w:numId="46">
    <w:abstractNumId w:val="6"/>
  </w:num>
  <w:num w:numId="47">
    <w:abstractNumId w:val="11"/>
  </w:num>
  <w:num w:numId="48">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08"/>
  <w:drawingGridVerticalSpacing w:val="181"/>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2A9"/>
    <w:rsid w:val="000036C0"/>
    <w:rsid w:val="00005A4A"/>
    <w:rsid w:val="00005DC8"/>
    <w:rsid w:val="0000630F"/>
    <w:rsid w:val="00006500"/>
    <w:rsid w:val="000106D7"/>
    <w:rsid w:val="000108D5"/>
    <w:rsid w:val="00010B3E"/>
    <w:rsid w:val="0001146B"/>
    <w:rsid w:val="00011973"/>
    <w:rsid w:val="000151EF"/>
    <w:rsid w:val="00017202"/>
    <w:rsid w:val="00017F71"/>
    <w:rsid w:val="000214CF"/>
    <w:rsid w:val="00023227"/>
    <w:rsid w:val="00024A00"/>
    <w:rsid w:val="00027BA4"/>
    <w:rsid w:val="00027D52"/>
    <w:rsid w:val="00030F03"/>
    <w:rsid w:val="000318B7"/>
    <w:rsid w:val="0003306C"/>
    <w:rsid w:val="00035AD3"/>
    <w:rsid w:val="00036A49"/>
    <w:rsid w:val="00037AA6"/>
    <w:rsid w:val="000416D8"/>
    <w:rsid w:val="00042424"/>
    <w:rsid w:val="000461E9"/>
    <w:rsid w:val="00046EB9"/>
    <w:rsid w:val="00050912"/>
    <w:rsid w:val="00051FEF"/>
    <w:rsid w:val="00052019"/>
    <w:rsid w:val="00055488"/>
    <w:rsid w:val="00061022"/>
    <w:rsid w:val="0006323C"/>
    <w:rsid w:val="000634D4"/>
    <w:rsid w:val="00064602"/>
    <w:rsid w:val="000678CE"/>
    <w:rsid w:val="00075E34"/>
    <w:rsid w:val="0008013C"/>
    <w:rsid w:val="00081F58"/>
    <w:rsid w:val="0008323D"/>
    <w:rsid w:val="00083873"/>
    <w:rsid w:val="00087752"/>
    <w:rsid w:val="00090540"/>
    <w:rsid w:val="00091A78"/>
    <w:rsid w:val="000926B1"/>
    <w:rsid w:val="00093590"/>
    <w:rsid w:val="00094A27"/>
    <w:rsid w:val="00095618"/>
    <w:rsid w:val="00095ACD"/>
    <w:rsid w:val="000A01DE"/>
    <w:rsid w:val="000A3ED6"/>
    <w:rsid w:val="000A5368"/>
    <w:rsid w:val="000A5C71"/>
    <w:rsid w:val="000A777E"/>
    <w:rsid w:val="000B6567"/>
    <w:rsid w:val="000C1378"/>
    <w:rsid w:val="000C1473"/>
    <w:rsid w:val="000C2145"/>
    <w:rsid w:val="000C2451"/>
    <w:rsid w:val="000C2746"/>
    <w:rsid w:val="000C61A6"/>
    <w:rsid w:val="000C7F68"/>
    <w:rsid w:val="000D001F"/>
    <w:rsid w:val="000D011C"/>
    <w:rsid w:val="000D031F"/>
    <w:rsid w:val="000D1ACB"/>
    <w:rsid w:val="000D224A"/>
    <w:rsid w:val="000D48E1"/>
    <w:rsid w:val="000D5396"/>
    <w:rsid w:val="000D79E9"/>
    <w:rsid w:val="000E0221"/>
    <w:rsid w:val="000E0A8E"/>
    <w:rsid w:val="000E2752"/>
    <w:rsid w:val="000E5D0D"/>
    <w:rsid w:val="000E693D"/>
    <w:rsid w:val="000E76A8"/>
    <w:rsid w:val="000E7721"/>
    <w:rsid w:val="000F00F2"/>
    <w:rsid w:val="000F138B"/>
    <w:rsid w:val="000F46BE"/>
    <w:rsid w:val="000F69C2"/>
    <w:rsid w:val="000F7AC9"/>
    <w:rsid w:val="000F7E5D"/>
    <w:rsid w:val="00104DE9"/>
    <w:rsid w:val="00105298"/>
    <w:rsid w:val="00111AE1"/>
    <w:rsid w:val="00112A24"/>
    <w:rsid w:val="0011383D"/>
    <w:rsid w:val="00116234"/>
    <w:rsid w:val="00117910"/>
    <w:rsid w:val="001204BC"/>
    <w:rsid w:val="00121D35"/>
    <w:rsid w:val="00122209"/>
    <w:rsid w:val="0012271E"/>
    <w:rsid w:val="00123CA1"/>
    <w:rsid w:val="00125415"/>
    <w:rsid w:val="00125E3E"/>
    <w:rsid w:val="00130567"/>
    <w:rsid w:val="00130FEA"/>
    <w:rsid w:val="00132242"/>
    <w:rsid w:val="00132A15"/>
    <w:rsid w:val="00134CF0"/>
    <w:rsid w:val="00136EC0"/>
    <w:rsid w:val="0013794C"/>
    <w:rsid w:val="0014099F"/>
    <w:rsid w:val="00141284"/>
    <w:rsid w:val="00147714"/>
    <w:rsid w:val="0014785D"/>
    <w:rsid w:val="001510C7"/>
    <w:rsid w:val="00152F38"/>
    <w:rsid w:val="00153850"/>
    <w:rsid w:val="0016061E"/>
    <w:rsid w:val="0016312B"/>
    <w:rsid w:val="00163D98"/>
    <w:rsid w:val="001649E4"/>
    <w:rsid w:val="00166109"/>
    <w:rsid w:val="001701B7"/>
    <w:rsid w:val="00170A91"/>
    <w:rsid w:val="001732CF"/>
    <w:rsid w:val="00173946"/>
    <w:rsid w:val="00174C8E"/>
    <w:rsid w:val="00180873"/>
    <w:rsid w:val="00181AA6"/>
    <w:rsid w:val="00182CA1"/>
    <w:rsid w:val="001830BA"/>
    <w:rsid w:val="001850F2"/>
    <w:rsid w:val="00186B8B"/>
    <w:rsid w:val="00186EF4"/>
    <w:rsid w:val="00187CE0"/>
    <w:rsid w:val="001905EE"/>
    <w:rsid w:val="00192A1F"/>
    <w:rsid w:val="00195D7D"/>
    <w:rsid w:val="0019779C"/>
    <w:rsid w:val="001A2113"/>
    <w:rsid w:val="001A2FB1"/>
    <w:rsid w:val="001B2B34"/>
    <w:rsid w:val="001B4B5C"/>
    <w:rsid w:val="001B5B0A"/>
    <w:rsid w:val="001B5CAD"/>
    <w:rsid w:val="001B6ADA"/>
    <w:rsid w:val="001B7E02"/>
    <w:rsid w:val="001C0D64"/>
    <w:rsid w:val="001C1681"/>
    <w:rsid w:val="001C2243"/>
    <w:rsid w:val="001C4C87"/>
    <w:rsid w:val="001C51A8"/>
    <w:rsid w:val="001C65D3"/>
    <w:rsid w:val="001D0AE4"/>
    <w:rsid w:val="001D1ABC"/>
    <w:rsid w:val="001D2169"/>
    <w:rsid w:val="001D3CFE"/>
    <w:rsid w:val="001D3D56"/>
    <w:rsid w:val="001D6561"/>
    <w:rsid w:val="001E2E0D"/>
    <w:rsid w:val="001F259D"/>
    <w:rsid w:val="001F3D50"/>
    <w:rsid w:val="001F52B9"/>
    <w:rsid w:val="001F54A9"/>
    <w:rsid w:val="001F739C"/>
    <w:rsid w:val="001F7625"/>
    <w:rsid w:val="001F7B12"/>
    <w:rsid w:val="002010BF"/>
    <w:rsid w:val="0020285C"/>
    <w:rsid w:val="00203310"/>
    <w:rsid w:val="00205A94"/>
    <w:rsid w:val="002111AD"/>
    <w:rsid w:val="00220584"/>
    <w:rsid w:val="00220DCF"/>
    <w:rsid w:val="00227A5A"/>
    <w:rsid w:val="0023019A"/>
    <w:rsid w:val="002304F1"/>
    <w:rsid w:val="00235CF5"/>
    <w:rsid w:val="002379AE"/>
    <w:rsid w:val="00242060"/>
    <w:rsid w:val="0024209A"/>
    <w:rsid w:val="0024380B"/>
    <w:rsid w:val="0024578D"/>
    <w:rsid w:val="00245D4C"/>
    <w:rsid w:val="00250348"/>
    <w:rsid w:val="00254DB2"/>
    <w:rsid w:val="002571F1"/>
    <w:rsid w:val="002578E6"/>
    <w:rsid w:val="00265697"/>
    <w:rsid w:val="00266DC0"/>
    <w:rsid w:val="00273B1C"/>
    <w:rsid w:val="00273DAF"/>
    <w:rsid w:val="002743FF"/>
    <w:rsid w:val="00275CFD"/>
    <w:rsid w:val="00280F78"/>
    <w:rsid w:val="002814F5"/>
    <w:rsid w:val="002825E0"/>
    <w:rsid w:val="00284217"/>
    <w:rsid w:val="00284D9A"/>
    <w:rsid w:val="0028556E"/>
    <w:rsid w:val="00287F5A"/>
    <w:rsid w:val="00290346"/>
    <w:rsid w:val="00290886"/>
    <w:rsid w:val="002956DC"/>
    <w:rsid w:val="00295864"/>
    <w:rsid w:val="00295AF1"/>
    <w:rsid w:val="002963FA"/>
    <w:rsid w:val="002A00F7"/>
    <w:rsid w:val="002A546A"/>
    <w:rsid w:val="002A5ADF"/>
    <w:rsid w:val="002A6572"/>
    <w:rsid w:val="002A73FA"/>
    <w:rsid w:val="002B2681"/>
    <w:rsid w:val="002B332C"/>
    <w:rsid w:val="002B531B"/>
    <w:rsid w:val="002C0139"/>
    <w:rsid w:val="002C14D4"/>
    <w:rsid w:val="002C2D03"/>
    <w:rsid w:val="002C4063"/>
    <w:rsid w:val="002C45E9"/>
    <w:rsid w:val="002C461C"/>
    <w:rsid w:val="002C4E97"/>
    <w:rsid w:val="002C7986"/>
    <w:rsid w:val="002D1F7B"/>
    <w:rsid w:val="002D3389"/>
    <w:rsid w:val="002D615D"/>
    <w:rsid w:val="002D643B"/>
    <w:rsid w:val="002E329F"/>
    <w:rsid w:val="002F154E"/>
    <w:rsid w:val="002F3FAC"/>
    <w:rsid w:val="002F40B4"/>
    <w:rsid w:val="002F4DA3"/>
    <w:rsid w:val="002F5A05"/>
    <w:rsid w:val="002F6E55"/>
    <w:rsid w:val="00300189"/>
    <w:rsid w:val="003008F2"/>
    <w:rsid w:val="00306098"/>
    <w:rsid w:val="00306545"/>
    <w:rsid w:val="003070E8"/>
    <w:rsid w:val="00307A1B"/>
    <w:rsid w:val="00307D56"/>
    <w:rsid w:val="00310E29"/>
    <w:rsid w:val="00311534"/>
    <w:rsid w:val="00311A6A"/>
    <w:rsid w:val="00312330"/>
    <w:rsid w:val="00313061"/>
    <w:rsid w:val="00313647"/>
    <w:rsid w:val="00314A01"/>
    <w:rsid w:val="00314D7A"/>
    <w:rsid w:val="0031712B"/>
    <w:rsid w:val="003211BF"/>
    <w:rsid w:val="00321674"/>
    <w:rsid w:val="0032285F"/>
    <w:rsid w:val="00325762"/>
    <w:rsid w:val="00327D87"/>
    <w:rsid w:val="00327F42"/>
    <w:rsid w:val="00330543"/>
    <w:rsid w:val="0033254C"/>
    <w:rsid w:val="00332D47"/>
    <w:rsid w:val="00335E90"/>
    <w:rsid w:val="00337469"/>
    <w:rsid w:val="00337D61"/>
    <w:rsid w:val="0034185C"/>
    <w:rsid w:val="00341F3A"/>
    <w:rsid w:val="00344D25"/>
    <w:rsid w:val="003452D3"/>
    <w:rsid w:val="00345565"/>
    <w:rsid w:val="003511B9"/>
    <w:rsid w:val="003548FA"/>
    <w:rsid w:val="00354FBF"/>
    <w:rsid w:val="0035616B"/>
    <w:rsid w:val="003567D2"/>
    <w:rsid w:val="00366B06"/>
    <w:rsid w:val="00370431"/>
    <w:rsid w:val="00371C4D"/>
    <w:rsid w:val="00377163"/>
    <w:rsid w:val="00380BFD"/>
    <w:rsid w:val="00381700"/>
    <w:rsid w:val="0038257A"/>
    <w:rsid w:val="00382EAE"/>
    <w:rsid w:val="00385333"/>
    <w:rsid w:val="003853CF"/>
    <w:rsid w:val="00385BEB"/>
    <w:rsid w:val="00390FC0"/>
    <w:rsid w:val="00393DFE"/>
    <w:rsid w:val="00394E4D"/>
    <w:rsid w:val="00395621"/>
    <w:rsid w:val="00397D46"/>
    <w:rsid w:val="003A2905"/>
    <w:rsid w:val="003A2F94"/>
    <w:rsid w:val="003A485D"/>
    <w:rsid w:val="003A5D76"/>
    <w:rsid w:val="003A7608"/>
    <w:rsid w:val="003B04C3"/>
    <w:rsid w:val="003B0BA8"/>
    <w:rsid w:val="003B422E"/>
    <w:rsid w:val="003B5474"/>
    <w:rsid w:val="003B58D9"/>
    <w:rsid w:val="003B5B1D"/>
    <w:rsid w:val="003B64B8"/>
    <w:rsid w:val="003B7CD2"/>
    <w:rsid w:val="003C07BB"/>
    <w:rsid w:val="003C2C06"/>
    <w:rsid w:val="003C2C56"/>
    <w:rsid w:val="003C3A2B"/>
    <w:rsid w:val="003C44D2"/>
    <w:rsid w:val="003C7094"/>
    <w:rsid w:val="003C7577"/>
    <w:rsid w:val="003C7AD0"/>
    <w:rsid w:val="003D0FA5"/>
    <w:rsid w:val="003D18C8"/>
    <w:rsid w:val="003D50DD"/>
    <w:rsid w:val="003D6FE7"/>
    <w:rsid w:val="003D7575"/>
    <w:rsid w:val="003E0A13"/>
    <w:rsid w:val="003E1CB1"/>
    <w:rsid w:val="003E30A8"/>
    <w:rsid w:val="003E3BDA"/>
    <w:rsid w:val="003E4A9F"/>
    <w:rsid w:val="003E5A4F"/>
    <w:rsid w:val="003E6994"/>
    <w:rsid w:val="003F0101"/>
    <w:rsid w:val="003F1AB6"/>
    <w:rsid w:val="003F1D31"/>
    <w:rsid w:val="003F26D9"/>
    <w:rsid w:val="003F3568"/>
    <w:rsid w:val="003F4E53"/>
    <w:rsid w:val="003F7853"/>
    <w:rsid w:val="003F7EDC"/>
    <w:rsid w:val="0040000F"/>
    <w:rsid w:val="00402065"/>
    <w:rsid w:val="004027F3"/>
    <w:rsid w:val="00402B50"/>
    <w:rsid w:val="00402F6E"/>
    <w:rsid w:val="00405448"/>
    <w:rsid w:val="0040657D"/>
    <w:rsid w:val="004071B7"/>
    <w:rsid w:val="00407B0B"/>
    <w:rsid w:val="004102C0"/>
    <w:rsid w:val="00411DD8"/>
    <w:rsid w:val="00414D6F"/>
    <w:rsid w:val="0041711D"/>
    <w:rsid w:val="00424812"/>
    <w:rsid w:val="00426C33"/>
    <w:rsid w:val="0043083E"/>
    <w:rsid w:val="00431822"/>
    <w:rsid w:val="00433E42"/>
    <w:rsid w:val="00436203"/>
    <w:rsid w:val="00436872"/>
    <w:rsid w:val="004370EB"/>
    <w:rsid w:val="00437CCB"/>
    <w:rsid w:val="00442DA4"/>
    <w:rsid w:val="00443B96"/>
    <w:rsid w:val="0044552C"/>
    <w:rsid w:val="00446698"/>
    <w:rsid w:val="00446C96"/>
    <w:rsid w:val="004543A9"/>
    <w:rsid w:val="00454E2D"/>
    <w:rsid w:val="00455011"/>
    <w:rsid w:val="00456176"/>
    <w:rsid w:val="00461D35"/>
    <w:rsid w:val="00462210"/>
    <w:rsid w:val="00463568"/>
    <w:rsid w:val="00465860"/>
    <w:rsid w:val="00467754"/>
    <w:rsid w:val="00470DC6"/>
    <w:rsid w:val="0047196B"/>
    <w:rsid w:val="004749AD"/>
    <w:rsid w:val="004766A9"/>
    <w:rsid w:val="00477ED7"/>
    <w:rsid w:val="00477EEB"/>
    <w:rsid w:val="0048077C"/>
    <w:rsid w:val="00486974"/>
    <w:rsid w:val="00487B56"/>
    <w:rsid w:val="0049059D"/>
    <w:rsid w:val="00490E3F"/>
    <w:rsid w:val="00491938"/>
    <w:rsid w:val="00495FFD"/>
    <w:rsid w:val="00497F35"/>
    <w:rsid w:val="004A047A"/>
    <w:rsid w:val="004A08DA"/>
    <w:rsid w:val="004A1462"/>
    <w:rsid w:val="004A205D"/>
    <w:rsid w:val="004A2AEE"/>
    <w:rsid w:val="004A434E"/>
    <w:rsid w:val="004B1BEB"/>
    <w:rsid w:val="004B25EC"/>
    <w:rsid w:val="004B666E"/>
    <w:rsid w:val="004C05EC"/>
    <w:rsid w:val="004C17D1"/>
    <w:rsid w:val="004C3001"/>
    <w:rsid w:val="004C31F2"/>
    <w:rsid w:val="004C32BC"/>
    <w:rsid w:val="004C694A"/>
    <w:rsid w:val="004C7F98"/>
    <w:rsid w:val="004D185F"/>
    <w:rsid w:val="004D5766"/>
    <w:rsid w:val="004D6089"/>
    <w:rsid w:val="004D7599"/>
    <w:rsid w:val="004D78D7"/>
    <w:rsid w:val="004D7B84"/>
    <w:rsid w:val="004E0E4E"/>
    <w:rsid w:val="004E10C4"/>
    <w:rsid w:val="004E26C2"/>
    <w:rsid w:val="004E3CC5"/>
    <w:rsid w:val="004F168B"/>
    <w:rsid w:val="004F1A6F"/>
    <w:rsid w:val="004F4531"/>
    <w:rsid w:val="004F4E67"/>
    <w:rsid w:val="004F5376"/>
    <w:rsid w:val="004F6070"/>
    <w:rsid w:val="004F61D5"/>
    <w:rsid w:val="004F667F"/>
    <w:rsid w:val="0050299C"/>
    <w:rsid w:val="00506CD3"/>
    <w:rsid w:val="005075E2"/>
    <w:rsid w:val="00507F42"/>
    <w:rsid w:val="00511616"/>
    <w:rsid w:val="005119B4"/>
    <w:rsid w:val="0051234D"/>
    <w:rsid w:val="00512EFD"/>
    <w:rsid w:val="0051572F"/>
    <w:rsid w:val="005158FF"/>
    <w:rsid w:val="00515BFC"/>
    <w:rsid w:val="00515D73"/>
    <w:rsid w:val="00515F09"/>
    <w:rsid w:val="00517577"/>
    <w:rsid w:val="00517B9F"/>
    <w:rsid w:val="00525033"/>
    <w:rsid w:val="0052681A"/>
    <w:rsid w:val="0052787A"/>
    <w:rsid w:val="005308F8"/>
    <w:rsid w:val="005313B1"/>
    <w:rsid w:val="005319E6"/>
    <w:rsid w:val="00532242"/>
    <w:rsid w:val="005322CD"/>
    <w:rsid w:val="005342BB"/>
    <w:rsid w:val="00535405"/>
    <w:rsid w:val="00543B97"/>
    <w:rsid w:val="005440A5"/>
    <w:rsid w:val="00546339"/>
    <w:rsid w:val="005468E1"/>
    <w:rsid w:val="005471AE"/>
    <w:rsid w:val="0054755A"/>
    <w:rsid w:val="00550623"/>
    <w:rsid w:val="00555ABB"/>
    <w:rsid w:val="005572D6"/>
    <w:rsid w:val="005605C6"/>
    <w:rsid w:val="0056103F"/>
    <w:rsid w:val="005624E5"/>
    <w:rsid w:val="005637B8"/>
    <w:rsid w:val="0056387D"/>
    <w:rsid w:val="00564639"/>
    <w:rsid w:val="00566A30"/>
    <w:rsid w:val="00570F29"/>
    <w:rsid w:val="00573175"/>
    <w:rsid w:val="005762F0"/>
    <w:rsid w:val="0057688E"/>
    <w:rsid w:val="00576EC0"/>
    <w:rsid w:val="00580523"/>
    <w:rsid w:val="00581E20"/>
    <w:rsid w:val="0058273B"/>
    <w:rsid w:val="005832EB"/>
    <w:rsid w:val="0058481C"/>
    <w:rsid w:val="005850D3"/>
    <w:rsid w:val="00586F91"/>
    <w:rsid w:val="0058734B"/>
    <w:rsid w:val="00587506"/>
    <w:rsid w:val="005909F2"/>
    <w:rsid w:val="00593506"/>
    <w:rsid w:val="00596A72"/>
    <w:rsid w:val="005973C7"/>
    <w:rsid w:val="005A2327"/>
    <w:rsid w:val="005A54E7"/>
    <w:rsid w:val="005A58C3"/>
    <w:rsid w:val="005A7965"/>
    <w:rsid w:val="005A7CC4"/>
    <w:rsid w:val="005B44D1"/>
    <w:rsid w:val="005B5497"/>
    <w:rsid w:val="005B785B"/>
    <w:rsid w:val="005C1CF4"/>
    <w:rsid w:val="005C3CDD"/>
    <w:rsid w:val="005D0526"/>
    <w:rsid w:val="005D2191"/>
    <w:rsid w:val="005D2D4E"/>
    <w:rsid w:val="005D3562"/>
    <w:rsid w:val="005D372F"/>
    <w:rsid w:val="005D4C11"/>
    <w:rsid w:val="005E19FF"/>
    <w:rsid w:val="005E3143"/>
    <w:rsid w:val="005E4AA3"/>
    <w:rsid w:val="005E62C0"/>
    <w:rsid w:val="005E67C6"/>
    <w:rsid w:val="005E6C07"/>
    <w:rsid w:val="005E74D0"/>
    <w:rsid w:val="005F303B"/>
    <w:rsid w:val="005F3DD9"/>
    <w:rsid w:val="005F47B7"/>
    <w:rsid w:val="005F4C6A"/>
    <w:rsid w:val="005F6172"/>
    <w:rsid w:val="005F7304"/>
    <w:rsid w:val="005F7D60"/>
    <w:rsid w:val="006011CD"/>
    <w:rsid w:val="006046EA"/>
    <w:rsid w:val="00604EC3"/>
    <w:rsid w:val="006067A4"/>
    <w:rsid w:val="00607E90"/>
    <w:rsid w:val="00612BE8"/>
    <w:rsid w:val="00613615"/>
    <w:rsid w:val="00614B19"/>
    <w:rsid w:val="00614F41"/>
    <w:rsid w:val="00615864"/>
    <w:rsid w:val="00616E28"/>
    <w:rsid w:val="00616F51"/>
    <w:rsid w:val="00616F73"/>
    <w:rsid w:val="0061726B"/>
    <w:rsid w:val="006177C5"/>
    <w:rsid w:val="00622CB5"/>
    <w:rsid w:val="00623A12"/>
    <w:rsid w:val="00624FA1"/>
    <w:rsid w:val="00626A6F"/>
    <w:rsid w:val="006301B9"/>
    <w:rsid w:val="00631158"/>
    <w:rsid w:val="0063123E"/>
    <w:rsid w:val="00631D43"/>
    <w:rsid w:val="00632F42"/>
    <w:rsid w:val="0063346F"/>
    <w:rsid w:val="0063359F"/>
    <w:rsid w:val="00635B85"/>
    <w:rsid w:val="00635D68"/>
    <w:rsid w:val="00636096"/>
    <w:rsid w:val="0063622B"/>
    <w:rsid w:val="00636532"/>
    <w:rsid w:val="006410C8"/>
    <w:rsid w:val="00643C75"/>
    <w:rsid w:val="006463E5"/>
    <w:rsid w:val="00647650"/>
    <w:rsid w:val="006478D9"/>
    <w:rsid w:val="0065337B"/>
    <w:rsid w:val="00653B0F"/>
    <w:rsid w:val="006574C4"/>
    <w:rsid w:val="00657BB1"/>
    <w:rsid w:val="00661FB3"/>
    <w:rsid w:val="00662249"/>
    <w:rsid w:val="0067099E"/>
    <w:rsid w:val="00671DB8"/>
    <w:rsid w:val="00675145"/>
    <w:rsid w:val="00677F43"/>
    <w:rsid w:val="00681AD5"/>
    <w:rsid w:val="00683882"/>
    <w:rsid w:val="00685A58"/>
    <w:rsid w:val="00691683"/>
    <w:rsid w:val="0069639B"/>
    <w:rsid w:val="006976C9"/>
    <w:rsid w:val="006A0BEA"/>
    <w:rsid w:val="006A2990"/>
    <w:rsid w:val="006A5B54"/>
    <w:rsid w:val="006A7150"/>
    <w:rsid w:val="006A71BC"/>
    <w:rsid w:val="006B7F6F"/>
    <w:rsid w:val="006C0209"/>
    <w:rsid w:val="006C2599"/>
    <w:rsid w:val="006C2B46"/>
    <w:rsid w:val="006C2F22"/>
    <w:rsid w:val="006C3B49"/>
    <w:rsid w:val="006C700D"/>
    <w:rsid w:val="006D1613"/>
    <w:rsid w:val="006D269A"/>
    <w:rsid w:val="006D3B82"/>
    <w:rsid w:val="006D3F72"/>
    <w:rsid w:val="006D4C10"/>
    <w:rsid w:val="006D4C5F"/>
    <w:rsid w:val="006D4EAC"/>
    <w:rsid w:val="006D5111"/>
    <w:rsid w:val="006D53F3"/>
    <w:rsid w:val="006D6B61"/>
    <w:rsid w:val="006D7C26"/>
    <w:rsid w:val="006D7C7A"/>
    <w:rsid w:val="006D7D91"/>
    <w:rsid w:val="006E1133"/>
    <w:rsid w:val="006E253A"/>
    <w:rsid w:val="006E566A"/>
    <w:rsid w:val="006E5A57"/>
    <w:rsid w:val="006E65AF"/>
    <w:rsid w:val="006E69EE"/>
    <w:rsid w:val="006E70DF"/>
    <w:rsid w:val="006F1E72"/>
    <w:rsid w:val="0070149D"/>
    <w:rsid w:val="007015E7"/>
    <w:rsid w:val="00701F9C"/>
    <w:rsid w:val="00704FE8"/>
    <w:rsid w:val="00705504"/>
    <w:rsid w:val="00707C24"/>
    <w:rsid w:val="00710213"/>
    <w:rsid w:val="00712CC1"/>
    <w:rsid w:val="007142D4"/>
    <w:rsid w:val="0071542D"/>
    <w:rsid w:val="00715940"/>
    <w:rsid w:val="00716203"/>
    <w:rsid w:val="00717E03"/>
    <w:rsid w:val="00720CE0"/>
    <w:rsid w:val="00720E20"/>
    <w:rsid w:val="0072199B"/>
    <w:rsid w:val="00723826"/>
    <w:rsid w:val="00727446"/>
    <w:rsid w:val="00727769"/>
    <w:rsid w:val="00727CCA"/>
    <w:rsid w:val="00730921"/>
    <w:rsid w:val="00731253"/>
    <w:rsid w:val="00732EE8"/>
    <w:rsid w:val="007333CE"/>
    <w:rsid w:val="00734189"/>
    <w:rsid w:val="007345A9"/>
    <w:rsid w:val="007347CE"/>
    <w:rsid w:val="00734EBC"/>
    <w:rsid w:val="00736AFB"/>
    <w:rsid w:val="0073708C"/>
    <w:rsid w:val="007371E1"/>
    <w:rsid w:val="00737695"/>
    <w:rsid w:val="00741479"/>
    <w:rsid w:val="00743482"/>
    <w:rsid w:val="00743919"/>
    <w:rsid w:val="007461F7"/>
    <w:rsid w:val="0075009F"/>
    <w:rsid w:val="007501E1"/>
    <w:rsid w:val="00750630"/>
    <w:rsid w:val="0075265D"/>
    <w:rsid w:val="00752673"/>
    <w:rsid w:val="007527A3"/>
    <w:rsid w:val="00752B7F"/>
    <w:rsid w:val="00756259"/>
    <w:rsid w:val="00756C2A"/>
    <w:rsid w:val="007572DC"/>
    <w:rsid w:val="00760C3D"/>
    <w:rsid w:val="00760E2D"/>
    <w:rsid w:val="0076272C"/>
    <w:rsid w:val="00765439"/>
    <w:rsid w:val="00765AD7"/>
    <w:rsid w:val="00766F10"/>
    <w:rsid w:val="0076777F"/>
    <w:rsid w:val="00767E40"/>
    <w:rsid w:val="00773057"/>
    <w:rsid w:val="00774704"/>
    <w:rsid w:val="00776E86"/>
    <w:rsid w:val="00781590"/>
    <w:rsid w:val="00781A2F"/>
    <w:rsid w:val="00783F0E"/>
    <w:rsid w:val="0078455B"/>
    <w:rsid w:val="007866F0"/>
    <w:rsid w:val="00786822"/>
    <w:rsid w:val="0079120C"/>
    <w:rsid w:val="00791644"/>
    <w:rsid w:val="007933E0"/>
    <w:rsid w:val="0079641B"/>
    <w:rsid w:val="007A21D4"/>
    <w:rsid w:val="007B00D1"/>
    <w:rsid w:val="007B3E66"/>
    <w:rsid w:val="007B624A"/>
    <w:rsid w:val="007B67A2"/>
    <w:rsid w:val="007B67B1"/>
    <w:rsid w:val="007B7082"/>
    <w:rsid w:val="007B771B"/>
    <w:rsid w:val="007C1C92"/>
    <w:rsid w:val="007C25FF"/>
    <w:rsid w:val="007C2B4C"/>
    <w:rsid w:val="007C48E1"/>
    <w:rsid w:val="007D08D8"/>
    <w:rsid w:val="007D12FC"/>
    <w:rsid w:val="007D155B"/>
    <w:rsid w:val="007D1707"/>
    <w:rsid w:val="007D4F10"/>
    <w:rsid w:val="007D5535"/>
    <w:rsid w:val="007D699E"/>
    <w:rsid w:val="007D75BB"/>
    <w:rsid w:val="007D7613"/>
    <w:rsid w:val="007E02CC"/>
    <w:rsid w:val="007E1390"/>
    <w:rsid w:val="007E178A"/>
    <w:rsid w:val="007E34C7"/>
    <w:rsid w:val="007E5B9A"/>
    <w:rsid w:val="007E6156"/>
    <w:rsid w:val="007E64B9"/>
    <w:rsid w:val="007F0E27"/>
    <w:rsid w:val="007F2097"/>
    <w:rsid w:val="007F22A9"/>
    <w:rsid w:val="007F3846"/>
    <w:rsid w:val="007F4AD8"/>
    <w:rsid w:val="007F789B"/>
    <w:rsid w:val="0080005C"/>
    <w:rsid w:val="008023A9"/>
    <w:rsid w:val="00807D47"/>
    <w:rsid w:val="00807E65"/>
    <w:rsid w:val="00811645"/>
    <w:rsid w:val="008126D4"/>
    <w:rsid w:val="00816016"/>
    <w:rsid w:val="00816904"/>
    <w:rsid w:val="00816AF8"/>
    <w:rsid w:val="00820A18"/>
    <w:rsid w:val="00822945"/>
    <w:rsid w:val="00825B88"/>
    <w:rsid w:val="008267F5"/>
    <w:rsid w:val="0083060A"/>
    <w:rsid w:val="008318A8"/>
    <w:rsid w:val="0083287D"/>
    <w:rsid w:val="00833C35"/>
    <w:rsid w:val="008347AE"/>
    <w:rsid w:val="00836AA4"/>
    <w:rsid w:val="008419D0"/>
    <w:rsid w:val="00845266"/>
    <w:rsid w:val="00851C78"/>
    <w:rsid w:val="00851E9B"/>
    <w:rsid w:val="008525CD"/>
    <w:rsid w:val="00852C8D"/>
    <w:rsid w:val="00852EA3"/>
    <w:rsid w:val="008531D5"/>
    <w:rsid w:val="00854545"/>
    <w:rsid w:val="00860DB5"/>
    <w:rsid w:val="008614DC"/>
    <w:rsid w:val="00861513"/>
    <w:rsid w:val="00862D08"/>
    <w:rsid w:val="008635AE"/>
    <w:rsid w:val="00864322"/>
    <w:rsid w:val="008660D0"/>
    <w:rsid w:val="00866B4A"/>
    <w:rsid w:val="00867BFB"/>
    <w:rsid w:val="00867EDD"/>
    <w:rsid w:val="00870548"/>
    <w:rsid w:val="00871E3E"/>
    <w:rsid w:val="00872C56"/>
    <w:rsid w:val="00872DAC"/>
    <w:rsid w:val="0087419D"/>
    <w:rsid w:val="00875C1F"/>
    <w:rsid w:val="00875D9E"/>
    <w:rsid w:val="00877BBE"/>
    <w:rsid w:val="00881C11"/>
    <w:rsid w:val="0088244A"/>
    <w:rsid w:val="008829B5"/>
    <w:rsid w:val="0089010C"/>
    <w:rsid w:val="00893BAA"/>
    <w:rsid w:val="00895BCF"/>
    <w:rsid w:val="00895CC3"/>
    <w:rsid w:val="0089619C"/>
    <w:rsid w:val="0089737E"/>
    <w:rsid w:val="008975C9"/>
    <w:rsid w:val="008A6385"/>
    <w:rsid w:val="008B34A8"/>
    <w:rsid w:val="008B3825"/>
    <w:rsid w:val="008B5B83"/>
    <w:rsid w:val="008B5CE2"/>
    <w:rsid w:val="008B7575"/>
    <w:rsid w:val="008B79DF"/>
    <w:rsid w:val="008C29C6"/>
    <w:rsid w:val="008C3FA8"/>
    <w:rsid w:val="008C633C"/>
    <w:rsid w:val="008C6646"/>
    <w:rsid w:val="008C6B9A"/>
    <w:rsid w:val="008C7535"/>
    <w:rsid w:val="008D403B"/>
    <w:rsid w:val="008D5402"/>
    <w:rsid w:val="008D6A99"/>
    <w:rsid w:val="008E0062"/>
    <w:rsid w:val="008E0C49"/>
    <w:rsid w:val="008E20C1"/>
    <w:rsid w:val="008E4F3D"/>
    <w:rsid w:val="008E6665"/>
    <w:rsid w:val="008F0663"/>
    <w:rsid w:val="008F0BC5"/>
    <w:rsid w:val="008F1E7B"/>
    <w:rsid w:val="008F3879"/>
    <w:rsid w:val="008F441A"/>
    <w:rsid w:val="008F52CD"/>
    <w:rsid w:val="008F61BB"/>
    <w:rsid w:val="008F78F9"/>
    <w:rsid w:val="0090045C"/>
    <w:rsid w:val="00900CE3"/>
    <w:rsid w:val="00904123"/>
    <w:rsid w:val="0090668D"/>
    <w:rsid w:val="0091262F"/>
    <w:rsid w:val="00913430"/>
    <w:rsid w:val="00913BF4"/>
    <w:rsid w:val="00914A76"/>
    <w:rsid w:val="009154FE"/>
    <w:rsid w:val="009159CF"/>
    <w:rsid w:val="00916AC7"/>
    <w:rsid w:val="009179B2"/>
    <w:rsid w:val="009218A4"/>
    <w:rsid w:val="009273C5"/>
    <w:rsid w:val="0092756A"/>
    <w:rsid w:val="009300B2"/>
    <w:rsid w:val="00930931"/>
    <w:rsid w:val="00934F1E"/>
    <w:rsid w:val="00940C33"/>
    <w:rsid w:val="00941A9A"/>
    <w:rsid w:val="00942929"/>
    <w:rsid w:val="00942D1F"/>
    <w:rsid w:val="009449A5"/>
    <w:rsid w:val="00946DDB"/>
    <w:rsid w:val="00953D1A"/>
    <w:rsid w:val="0095649B"/>
    <w:rsid w:val="00956797"/>
    <w:rsid w:val="009574C5"/>
    <w:rsid w:val="0096104A"/>
    <w:rsid w:val="0096399F"/>
    <w:rsid w:val="00964276"/>
    <w:rsid w:val="00967041"/>
    <w:rsid w:val="009764B8"/>
    <w:rsid w:val="009821DF"/>
    <w:rsid w:val="009830BA"/>
    <w:rsid w:val="00992E30"/>
    <w:rsid w:val="00995309"/>
    <w:rsid w:val="00997440"/>
    <w:rsid w:val="009A0500"/>
    <w:rsid w:val="009A081A"/>
    <w:rsid w:val="009A1707"/>
    <w:rsid w:val="009A2C1C"/>
    <w:rsid w:val="009A3E29"/>
    <w:rsid w:val="009A6C62"/>
    <w:rsid w:val="009A7AD6"/>
    <w:rsid w:val="009B56BF"/>
    <w:rsid w:val="009B59EB"/>
    <w:rsid w:val="009B7CA6"/>
    <w:rsid w:val="009C0F8F"/>
    <w:rsid w:val="009C147C"/>
    <w:rsid w:val="009C1DC5"/>
    <w:rsid w:val="009C26FF"/>
    <w:rsid w:val="009C3C50"/>
    <w:rsid w:val="009C4047"/>
    <w:rsid w:val="009C5566"/>
    <w:rsid w:val="009C58C7"/>
    <w:rsid w:val="009C5C55"/>
    <w:rsid w:val="009D0692"/>
    <w:rsid w:val="009D0DCE"/>
    <w:rsid w:val="009D25E6"/>
    <w:rsid w:val="009D5FB4"/>
    <w:rsid w:val="009D64BB"/>
    <w:rsid w:val="009D6B9D"/>
    <w:rsid w:val="009E1449"/>
    <w:rsid w:val="009E3373"/>
    <w:rsid w:val="009E3E36"/>
    <w:rsid w:val="009F0355"/>
    <w:rsid w:val="009F3545"/>
    <w:rsid w:val="009F5356"/>
    <w:rsid w:val="009F6F27"/>
    <w:rsid w:val="009F7475"/>
    <w:rsid w:val="00A02401"/>
    <w:rsid w:val="00A03ACC"/>
    <w:rsid w:val="00A04331"/>
    <w:rsid w:val="00A04EB1"/>
    <w:rsid w:val="00A071B4"/>
    <w:rsid w:val="00A077F0"/>
    <w:rsid w:val="00A10470"/>
    <w:rsid w:val="00A10698"/>
    <w:rsid w:val="00A10F4A"/>
    <w:rsid w:val="00A119C3"/>
    <w:rsid w:val="00A130C4"/>
    <w:rsid w:val="00A13450"/>
    <w:rsid w:val="00A13F84"/>
    <w:rsid w:val="00A16731"/>
    <w:rsid w:val="00A17479"/>
    <w:rsid w:val="00A20029"/>
    <w:rsid w:val="00A21432"/>
    <w:rsid w:val="00A21CE2"/>
    <w:rsid w:val="00A30DB2"/>
    <w:rsid w:val="00A31053"/>
    <w:rsid w:val="00A313EE"/>
    <w:rsid w:val="00A3151D"/>
    <w:rsid w:val="00A31A6F"/>
    <w:rsid w:val="00A32217"/>
    <w:rsid w:val="00A35344"/>
    <w:rsid w:val="00A363CE"/>
    <w:rsid w:val="00A41516"/>
    <w:rsid w:val="00A415D5"/>
    <w:rsid w:val="00A42CFB"/>
    <w:rsid w:val="00A456A6"/>
    <w:rsid w:val="00A47028"/>
    <w:rsid w:val="00A47688"/>
    <w:rsid w:val="00A5073D"/>
    <w:rsid w:val="00A544F3"/>
    <w:rsid w:val="00A56571"/>
    <w:rsid w:val="00A60D98"/>
    <w:rsid w:val="00A62190"/>
    <w:rsid w:val="00A65347"/>
    <w:rsid w:val="00A65B73"/>
    <w:rsid w:val="00A66B66"/>
    <w:rsid w:val="00A66DB1"/>
    <w:rsid w:val="00A66FCA"/>
    <w:rsid w:val="00A70364"/>
    <w:rsid w:val="00A75F5B"/>
    <w:rsid w:val="00A76FD5"/>
    <w:rsid w:val="00A77EAE"/>
    <w:rsid w:val="00A82BEE"/>
    <w:rsid w:val="00A83039"/>
    <w:rsid w:val="00A851E4"/>
    <w:rsid w:val="00A863BF"/>
    <w:rsid w:val="00A90E17"/>
    <w:rsid w:val="00A9574F"/>
    <w:rsid w:val="00A96446"/>
    <w:rsid w:val="00AA2069"/>
    <w:rsid w:val="00AA2DB1"/>
    <w:rsid w:val="00AA3587"/>
    <w:rsid w:val="00AA636B"/>
    <w:rsid w:val="00AB0FD3"/>
    <w:rsid w:val="00AB1490"/>
    <w:rsid w:val="00AB41CD"/>
    <w:rsid w:val="00AB4D72"/>
    <w:rsid w:val="00AB5316"/>
    <w:rsid w:val="00AB5A6A"/>
    <w:rsid w:val="00AB7558"/>
    <w:rsid w:val="00AC06DD"/>
    <w:rsid w:val="00AC0C4A"/>
    <w:rsid w:val="00AC1D92"/>
    <w:rsid w:val="00AC3155"/>
    <w:rsid w:val="00AC392A"/>
    <w:rsid w:val="00AC42A1"/>
    <w:rsid w:val="00AC53E0"/>
    <w:rsid w:val="00AC78D8"/>
    <w:rsid w:val="00AD1D22"/>
    <w:rsid w:val="00AD31DE"/>
    <w:rsid w:val="00AD3220"/>
    <w:rsid w:val="00AD43FE"/>
    <w:rsid w:val="00AD5D3F"/>
    <w:rsid w:val="00AD7152"/>
    <w:rsid w:val="00AD7978"/>
    <w:rsid w:val="00AD79A8"/>
    <w:rsid w:val="00AE167B"/>
    <w:rsid w:val="00AE3430"/>
    <w:rsid w:val="00AE56DE"/>
    <w:rsid w:val="00AE5FD4"/>
    <w:rsid w:val="00AE66EA"/>
    <w:rsid w:val="00AF0661"/>
    <w:rsid w:val="00AF1E95"/>
    <w:rsid w:val="00AF7AFD"/>
    <w:rsid w:val="00B000B7"/>
    <w:rsid w:val="00B0022E"/>
    <w:rsid w:val="00B007C6"/>
    <w:rsid w:val="00B01619"/>
    <w:rsid w:val="00B0172E"/>
    <w:rsid w:val="00B02845"/>
    <w:rsid w:val="00B05A21"/>
    <w:rsid w:val="00B0654F"/>
    <w:rsid w:val="00B11C11"/>
    <w:rsid w:val="00B13054"/>
    <w:rsid w:val="00B13CF3"/>
    <w:rsid w:val="00B168A4"/>
    <w:rsid w:val="00B2135D"/>
    <w:rsid w:val="00B21AE9"/>
    <w:rsid w:val="00B21E6B"/>
    <w:rsid w:val="00B222F1"/>
    <w:rsid w:val="00B248E7"/>
    <w:rsid w:val="00B260DD"/>
    <w:rsid w:val="00B3082B"/>
    <w:rsid w:val="00B308B7"/>
    <w:rsid w:val="00B32975"/>
    <w:rsid w:val="00B3431C"/>
    <w:rsid w:val="00B34648"/>
    <w:rsid w:val="00B427C8"/>
    <w:rsid w:val="00B437BD"/>
    <w:rsid w:val="00B438F8"/>
    <w:rsid w:val="00B43AD8"/>
    <w:rsid w:val="00B454C6"/>
    <w:rsid w:val="00B45789"/>
    <w:rsid w:val="00B477DD"/>
    <w:rsid w:val="00B50567"/>
    <w:rsid w:val="00B525F2"/>
    <w:rsid w:val="00B53145"/>
    <w:rsid w:val="00B53799"/>
    <w:rsid w:val="00B542C8"/>
    <w:rsid w:val="00B54671"/>
    <w:rsid w:val="00B5658C"/>
    <w:rsid w:val="00B578FC"/>
    <w:rsid w:val="00B60630"/>
    <w:rsid w:val="00B60FF0"/>
    <w:rsid w:val="00B62BA9"/>
    <w:rsid w:val="00B64666"/>
    <w:rsid w:val="00B64D1E"/>
    <w:rsid w:val="00B6602E"/>
    <w:rsid w:val="00B669B4"/>
    <w:rsid w:val="00B71B9B"/>
    <w:rsid w:val="00B72DE3"/>
    <w:rsid w:val="00B75211"/>
    <w:rsid w:val="00B75239"/>
    <w:rsid w:val="00B7556D"/>
    <w:rsid w:val="00B7664C"/>
    <w:rsid w:val="00B8176C"/>
    <w:rsid w:val="00B81D6E"/>
    <w:rsid w:val="00B82FE2"/>
    <w:rsid w:val="00B84776"/>
    <w:rsid w:val="00B84834"/>
    <w:rsid w:val="00B848B2"/>
    <w:rsid w:val="00B84ACE"/>
    <w:rsid w:val="00B86629"/>
    <w:rsid w:val="00B86A82"/>
    <w:rsid w:val="00B8708F"/>
    <w:rsid w:val="00B8732D"/>
    <w:rsid w:val="00B87C0D"/>
    <w:rsid w:val="00B9005F"/>
    <w:rsid w:val="00B93BA3"/>
    <w:rsid w:val="00B95BF1"/>
    <w:rsid w:val="00B9612B"/>
    <w:rsid w:val="00B964A9"/>
    <w:rsid w:val="00BA6B3A"/>
    <w:rsid w:val="00BB0962"/>
    <w:rsid w:val="00BB2303"/>
    <w:rsid w:val="00BB38B6"/>
    <w:rsid w:val="00BB4810"/>
    <w:rsid w:val="00BB4ECE"/>
    <w:rsid w:val="00BC09F9"/>
    <w:rsid w:val="00BC2DA2"/>
    <w:rsid w:val="00BC386D"/>
    <w:rsid w:val="00BC768A"/>
    <w:rsid w:val="00BD06CC"/>
    <w:rsid w:val="00BD188C"/>
    <w:rsid w:val="00BD5F9A"/>
    <w:rsid w:val="00BD6598"/>
    <w:rsid w:val="00BD749C"/>
    <w:rsid w:val="00BE0C25"/>
    <w:rsid w:val="00BE26D0"/>
    <w:rsid w:val="00BE3BAB"/>
    <w:rsid w:val="00BE4C49"/>
    <w:rsid w:val="00BE5DFE"/>
    <w:rsid w:val="00BF04FD"/>
    <w:rsid w:val="00BF05ED"/>
    <w:rsid w:val="00BF1AEA"/>
    <w:rsid w:val="00BF24A0"/>
    <w:rsid w:val="00BF2CFF"/>
    <w:rsid w:val="00BF2D0F"/>
    <w:rsid w:val="00BF3E66"/>
    <w:rsid w:val="00BF424E"/>
    <w:rsid w:val="00C000B9"/>
    <w:rsid w:val="00C0110D"/>
    <w:rsid w:val="00C0204C"/>
    <w:rsid w:val="00C028F5"/>
    <w:rsid w:val="00C058DF"/>
    <w:rsid w:val="00C0739F"/>
    <w:rsid w:val="00C10EF2"/>
    <w:rsid w:val="00C122E1"/>
    <w:rsid w:val="00C128A4"/>
    <w:rsid w:val="00C150B2"/>
    <w:rsid w:val="00C1718C"/>
    <w:rsid w:val="00C1729B"/>
    <w:rsid w:val="00C1754D"/>
    <w:rsid w:val="00C202A9"/>
    <w:rsid w:val="00C22E2F"/>
    <w:rsid w:val="00C230FE"/>
    <w:rsid w:val="00C24334"/>
    <w:rsid w:val="00C2481D"/>
    <w:rsid w:val="00C26758"/>
    <w:rsid w:val="00C30FE7"/>
    <w:rsid w:val="00C32C3D"/>
    <w:rsid w:val="00C32D0A"/>
    <w:rsid w:val="00C32F8C"/>
    <w:rsid w:val="00C32FEF"/>
    <w:rsid w:val="00C33501"/>
    <w:rsid w:val="00C34C76"/>
    <w:rsid w:val="00C363B5"/>
    <w:rsid w:val="00C3659E"/>
    <w:rsid w:val="00C4261E"/>
    <w:rsid w:val="00C427D3"/>
    <w:rsid w:val="00C433CB"/>
    <w:rsid w:val="00C478FE"/>
    <w:rsid w:val="00C47A88"/>
    <w:rsid w:val="00C51617"/>
    <w:rsid w:val="00C5427C"/>
    <w:rsid w:val="00C54297"/>
    <w:rsid w:val="00C6181D"/>
    <w:rsid w:val="00C62FBB"/>
    <w:rsid w:val="00C6434A"/>
    <w:rsid w:val="00C64F26"/>
    <w:rsid w:val="00C65EBF"/>
    <w:rsid w:val="00C66AFE"/>
    <w:rsid w:val="00C6718A"/>
    <w:rsid w:val="00C705C0"/>
    <w:rsid w:val="00C7060B"/>
    <w:rsid w:val="00C71D6F"/>
    <w:rsid w:val="00C73B5C"/>
    <w:rsid w:val="00C76F8E"/>
    <w:rsid w:val="00C77590"/>
    <w:rsid w:val="00C8389B"/>
    <w:rsid w:val="00C840F4"/>
    <w:rsid w:val="00C8473C"/>
    <w:rsid w:val="00C85899"/>
    <w:rsid w:val="00C86176"/>
    <w:rsid w:val="00C875BE"/>
    <w:rsid w:val="00C90BD6"/>
    <w:rsid w:val="00C93CBD"/>
    <w:rsid w:val="00C93DE3"/>
    <w:rsid w:val="00C95251"/>
    <w:rsid w:val="00C97070"/>
    <w:rsid w:val="00C97ABA"/>
    <w:rsid w:val="00CA21F2"/>
    <w:rsid w:val="00CA43F0"/>
    <w:rsid w:val="00CA5901"/>
    <w:rsid w:val="00CA5E75"/>
    <w:rsid w:val="00CA680E"/>
    <w:rsid w:val="00CB6CBD"/>
    <w:rsid w:val="00CC1998"/>
    <w:rsid w:val="00CC728F"/>
    <w:rsid w:val="00CC79FB"/>
    <w:rsid w:val="00CD0119"/>
    <w:rsid w:val="00CD1C41"/>
    <w:rsid w:val="00CD2D61"/>
    <w:rsid w:val="00CD5790"/>
    <w:rsid w:val="00CD586F"/>
    <w:rsid w:val="00CD59CE"/>
    <w:rsid w:val="00CD63F4"/>
    <w:rsid w:val="00CE1407"/>
    <w:rsid w:val="00CE4316"/>
    <w:rsid w:val="00CE462C"/>
    <w:rsid w:val="00CE501A"/>
    <w:rsid w:val="00CE788B"/>
    <w:rsid w:val="00CE7E0C"/>
    <w:rsid w:val="00CF0FD4"/>
    <w:rsid w:val="00CF1DB5"/>
    <w:rsid w:val="00CF2406"/>
    <w:rsid w:val="00CF3A3C"/>
    <w:rsid w:val="00CF69FF"/>
    <w:rsid w:val="00CF709A"/>
    <w:rsid w:val="00D00AAE"/>
    <w:rsid w:val="00D01BBA"/>
    <w:rsid w:val="00D028D1"/>
    <w:rsid w:val="00D044B2"/>
    <w:rsid w:val="00D05CCA"/>
    <w:rsid w:val="00D066CE"/>
    <w:rsid w:val="00D07F5F"/>
    <w:rsid w:val="00D1030B"/>
    <w:rsid w:val="00D1038A"/>
    <w:rsid w:val="00D10D05"/>
    <w:rsid w:val="00D11EC6"/>
    <w:rsid w:val="00D12576"/>
    <w:rsid w:val="00D135B7"/>
    <w:rsid w:val="00D15362"/>
    <w:rsid w:val="00D15433"/>
    <w:rsid w:val="00D16D93"/>
    <w:rsid w:val="00D23F77"/>
    <w:rsid w:val="00D23FB1"/>
    <w:rsid w:val="00D25D84"/>
    <w:rsid w:val="00D270B7"/>
    <w:rsid w:val="00D27339"/>
    <w:rsid w:val="00D30323"/>
    <w:rsid w:val="00D30560"/>
    <w:rsid w:val="00D339E0"/>
    <w:rsid w:val="00D340A8"/>
    <w:rsid w:val="00D34C31"/>
    <w:rsid w:val="00D37E3F"/>
    <w:rsid w:val="00D42FE0"/>
    <w:rsid w:val="00D43AA4"/>
    <w:rsid w:val="00D43B3A"/>
    <w:rsid w:val="00D46B1E"/>
    <w:rsid w:val="00D47B0D"/>
    <w:rsid w:val="00D53028"/>
    <w:rsid w:val="00D535BE"/>
    <w:rsid w:val="00D543BE"/>
    <w:rsid w:val="00D54691"/>
    <w:rsid w:val="00D54E36"/>
    <w:rsid w:val="00D55EEE"/>
    <w:rsid w:val="00D5666A"/>
    <w:rsid w:val="00D569C9"/>
    <w:rsid w:val="00D57451"/>
    <w:rsid w:val="00D61705"/>
    <w:rsid w:val="00D62356"/>
    <w:rsid w:val="00D65EE7"/>
    <w:rsid w:val="00D701B5"/>
    <w:rsid w:val="00D72754"/>
    <w:rsid w:val="00D72965"/>
    <w:rsid w:val="00D72A26"/>
    <w:rsid w:val="00D72CC9"/>
    <w:rsid w:val="00D7514B"/>
    <w:rsid w:val="00D7572B"/>
    <w:rsid w:val="00D772E5"/>
    <w:rsid w:val="00D823E9"/>
    <w:rsid w:val="00D84BFA"/>
    <w:rsid w:val="00D84DB0"/>
    <w:rsid w:val="00D85115"/>
    <w:rsid w:val="00D8662E"/>
    <w:rsid w:val="00D87963"/>
    <w:rsid w:val="00D87A07"/>
    <w:rsid w:val="00D87E7E"/>
    <w:rsid w:val="00D9087C"/>
    <w:rsid w:val="00D9100F"/>
    <w:rsid w:val="00D922F7"/>
    <w:rsid w:val="00D927D0"/>
    <w:rsid w:val="00D93AA2"/>
    <w:rsid w:val="00D94521"/>
    <w:rsid w:val="00D94FF2"/>
    <w:rsid w:val="00D9556A"/>
    <w:rsid w:val="00D97D26"/>
    <w:rsid w:val="00DA0FB0"/>
    <w:rsid w:val="00DA1601"/>
    <w:rsid w:val="00DA4099"/>
    <w:rsid w:val="00DA77BC"/>
    <w:rsid w:val="00DB1174"/>
    <w:rsid w:val="00DB31F1"/>
    <w:rsid w:val="00DB3323"/>
    <w:rsid w:val="00DB47DD"/>
    <w:rsid w:val="00DB4B2C"/>
    <w:rsid w:val="00DB570B"/>
    <w:rsid w:val="00DB58A1"/>
    <w:rsid w:val="00DB7A81"/>
    <w:rsid w:val="00DC0B5C"/>
    <w:rsid w:val="00DC1A02"/>
    <w:rsid w:val="00DC31A0"/>
    <w:rsid w:val="00DC4A27"/>
    <w:rsid w:val="00DC530B"/>
    <w:rsid w:val="00DD10E9"/>
    <w:rsid w:val="00DD4FF8"/>
    <w:rsid w:val="00DD676E"/>
    <w:rsid w:val="00DD7BCD"/>
    <w:rsid w:val="00DE04C1"/>
    <w:rsid w:val="00DE134B"/>
    <w:rsid w:val="00DE1E54"/>
    <w:rsid w:val="00DE385F"/>
    <w:rsid w:val="00DE6572"/>
    <w:rsid w:val="00DF07CA"/>
    <w:rsid w:val="00DF1415"/>
    <w:rsid w:val="00DF2B72"/>
    <w:rsid w:val="00DF3827"/>
    <w:rsid w:val="00DF3B78"/>
    <w:rsid w:val="00DF7AA5"/>
    <w:rsid w:val="00E007FD"/>
    <w:rsid w:val="00E01221"/>
    <w:rsid w:val="00E0260D"/>
    <w:rsid w:val="00E032A3"/>
    <w:rsid w:val="00E05AB9"/>
    <w:rsid w:val="00E10A15"/>
    <w:rsid w:val="00E11452"/>
    <w:rsid w:val="00E11DF0"/>
    <w:rsid w:val="00E14513"/>
    <w:rsid w:val="00E15EEF"/>
    <w:rsid w:val="00E1682E"/>
    <w:rsid w:val="00E178A4"/>
    <w:rsid w:val="00E22D5C"/>
    <w:rsid w:val="00E230BD"/>
    <w:rsid w:val="00E23D7D"/>
    <w:rsid w:val="00E25164"/>
    <w:rsid w:val="00E25CB7"/>
    <w:rsid w:val="00E26AEA"/>
    <w:rsid w:val="00E26EEC"/>
    <w:rsid w:val="00E275E0"/>
    <w:rsid w:val="00E30479"/>
    <w:rsid w:val="00E32D5F"/>
    <w:rsid w:val="00E40488"/>
    <w:rsid w:val="00E416F0"/>
    <w:rsid w:val="00E41BB5"/>
    <w:rsid w:val="00E42502"/>
    <w:rsid w:val="00E44324"/>
    <w:rsid w:val="00E44FE5"/>
    <w:rsid w:val="00E45475"/>
    <w:rsid w:val="00E45CD1"/>
    <w:rsid w:val="00E46F0C"/>
    <w:rsid w:val="00E4737F"/>
    <w:rsid w:val="00E4774F"/>
    <w:rsid w:val="00E52F93"/>
    <w:rsid w:val="00E52FE2"/>
    <w:rsid w:val="00E57B01"/>
    <w:rsid w:val="00E57F41"/>
    <w:rsid w:val="00E60FDF"/>
    <w:rsid w:val="00E62E59"/>
    <w:rsid w:val="00E70452"/>
    <w:rsid w:val="00E716D4"/>
    <w:rsid w:val="00E7483D"/>
    <w:rsid w:val="00E74933"/>
    <w:rsid w:val="00E752A7"/>
    <w:rsid w:val="00E7628A"/>
    <w:rsid w:val="00E769C1"/>
    <w:rsid w:val="00E779BC"/>
    <w:rsid w:val="00E80ED2"/>
    <w:rsid w:val="00E816B5"/>
    <w:rsid w:val="00E82071"/>
    <w:rsid w:val="00E82E5C"/>
    <w:rsid w:val="00E853E7"/>
    <w:rsid w:val="00E86463"/>
    <w:rsid w:val="00E86EE4"/>
    <w:rsid w:val="00E871A2"/>
    <w:rsid w:val="00E877EA"/>
    <w:rsid w:val="00E91094"/>
    <w:rsid w:val="00E918FF"/>
    <w:rsid w:val="00E9225E"/>
    <w:rsid w:val="00E953AF"/>
    <w:rsid w:val="00E9643C"/>
    <w:rsid w:val="00EA050E"/>
    <w:rsid w:val="00EA4F59"/>
    <w:rsid w:val="00EA75CA"/>
    <w:rsid w:val="00EA761C"/>
    <w:rsid w:val="00EB2D56"/>
    <w:rsid w:val="00EC0C1C"/>
    <w:rsid w:val="00EC1773"/>
    <w:rsid w:val="00EC4E0A"/>
    <w:rsid w:val="00EC5CFE"/>
    <w:rsid w:val="00EC6025"/>
    <w:rsid w:val="00EC76C7"/>
    <w:rsid w:val="00EC7746"/>
    <w:rsid w:val="00EC77B7"/>
    <w:rsid w:val="00ED17FA"/>
    <w:rsid w:val="00ED6B6C"/>
    <w:rsid w:val="00ED7199"/>
    <w:rsid w:val="00EE1430"/>
    <w:rsid w:val="00EE292A"/>
    <w:rsid w:val="00EE29A8"/>
    <w:rsid w:val="00EE2A75"/>
    <w:rsid w:val="00EE2A93"/>
    <w:rsid w:val="00EE7774"/>
    <w:rsid w:val="00EF2196"/>
    <w:rsid w:val="00EF4CA3"/>
    <w:rsid w:val="00EF5083"/>
    <w:rsid w:val="00EF6B28"/>
    <w:rsid w:val="00F004D9"/>
    <w:rsid w:val="00F02279"/>
    <w:rsid w:val="00F07AC3"/>
    <w:rsid w:val="00F102A2"/>
    <w:rsid w:val="00F10826"/>
    <w:rsid w:val="00F114B1"/>
    <w:rsid w:val="00F12D2A"/>
    <w:rsid w:val="00F1312F"/>
    <w:rsid w:val="00F13F03"/>
    <w:rsid w:val="00F14482"/>
    <w:rsid w:val="00F14724"/>
    <w:rsid w:val="00F14CBC"/>
    <w:rsid w:val="00F176FC"/>
    <w:rsid w:val="00F17D6A"/>
    <w:rsid w:val="00F24ADB"/>
    <w:rsid w:val="00F3118B"/>
    <w:rsid w:val="00F31BD3"/>
    <w:rsid w:val="00F333A1"/>
    <w:rsid w:val="00F3564A"/>
    <w:rsid w:val="00F3760D"/>
    <w:rsid w:val="00F40F3A"/>
    <w:rsid w:val="00F4201F"/>
    <w:rsid w:val="00F4226E"/>
    <w:rsid w:val="00F4268C"/>
    <w:rsid w:val="00F42B24"/>
    <w:rsid w:val="00F42EDB"/>
    <w:rsid w:val="00F43638"/>
    <w:rsid w:val="00F44503"/>
    <w:rsid w:val="00F4528A"/>
    <w:rsid w:val="00F53D6E"/>
    <w:rsid w:val="00F5518E"/>
    <w:rsid w:val="00F55206"/>
    <w:rsid w:val="00F558A9"/>
    <w:rsid w:val="00F55B72"/>
    <w:rsid w:val="00F57FA6"/>
    <w:rsid w:val="00F6039D"/>
    <w:rsid w:val="00F6046C"/>
    <w:rsid w:val="00F614B7"/>
    <w:rsid w:val="00F614DD"/>
    <w:rsid w:val="00F6371F"/>
    <w:rsid w:val="00F63DE5"/>
    <w:rsid w:val="00F66339"/>
    <w:rsid w:val="00F67222"/>
    <w:rsid w:val="00F70268"/>
    <w:rsid w:val="00F74490"/>
    <w:rsid w:val="00F7699B"/>
    <w:rsid w:val="00F77086"/>
    <w:rsid w:val="00F777BB"/>
    <w:rsid w:val="00F80C24"/>
    <w:rsid w:val="00F81DD2"/>
    <w:rsid w:val="00F81FAF"/>
    <w:rsid w:val="00F83A82"/>
    <w:rsid w:val="00F83F09"/>
    <w:rsid w:val="00F84EEB"/>
    <w:rsid w:val="00F86829"/>
    <w:rsid w:val="00F95F12"/>
    <w:rsid w:val="00F97688"/>
    <w:rsid w:val="00F97A5D"/>
    <w:rsid w:val="00F97D11"/>
    <w:rsid w:val="00FA0A96"/>
    <w:rsid w:val="00FA4789"/>
    <w:rsid w:val="00FA5461"/>
    <w:rsid w:val="00FA595E"/>
    <w:rsid w:val="00FB23E1"/>
    <w:rsid w:val="00FB4F04"/>
    <w:rsid w:val="00FB66FA"/>
    <w:rsid w:val="00FB7393"/>
    <w:rsid w:val="00FB75FA"/>
    <w:rsid w:val="00FC1B9B"/>
    <w:rsid w:val="00FC21C4"/>
    <w:rsid w:val="00FC334F"/>
    <w:rsid w:val="00FC4F49"/>
    <w:rsid w:val="00FC7EF9"/>
    <w:rsid w:val="00FD07F7"/>
    <w:rsid w:val="00FD0870"/>
    <w:rsid w:val="00FD1C5D"/>
    <w:rsid w:val="00FD1EAC"/>
    <w:rsid w:val="00FD228E"/>
    <w:rsid w:val="00FD2623"/>
    <w:rsid w:val="00FD30FA"/>
    <w:rsid w:val="00FD38E8"/>
    <w:rsid w:val="00FD6F03"/>
    <w:rsid w:val="00FD7EA9"/>
    <w:rsid w:val="00FE4339"/>
    <w:rsid w:val="00FE683C"/>
    <w:rsid w:val="00FE73C6"/>
    <w:rsid w:val="00FF05D1"/>
    <w:rsid w:val="00FF19B1"/>
    <w:rsid w:val="00FF351B"/>
    <w:rsid w:val="00FF62C3"/>
    <w:rsid w:val="00FF712E"/>
    <w:rsid w:val="00FF76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DB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uiPriority="99" w:qFormat="1"/>
    <w:lsdException w:name="heading 7" w:semiHidden="0" w:uiPriority="99" w:qFormat="1"/>
    <w:lsdException w:name="heading 8" w:semiHidden="0" w:uiPriority="99" w:qFormat="1"/>
    <w:lsdException w:name="heading 9" w:semiHidden="0" w:uiPriority="99" w:qFormat="1"/>
    <w:lsdException w:name="index 1"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iPriority="99" w:unhideWhenUsed="1" w:qFormat="1"/>
    <w:lsdException w:name="table of figures" w:uiPriority="99"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Hyperlink" w:semiHidden="0" w:uiPriority="99"/>
    <w:lsdException w:name="FollowedHyperlink" w:semiHidden="0" w:uiPriority="99"/>
    <w:lsdException w:name="Strong" w:uiPriority="22"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4"/>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next w:val="AspexBodyStandard"/>
    <w:qFormat/>
    <w:rsid w:val="00CD2D61"/>
    <w:pPr>
      <w:spacing w:before="120" w:after="240" w:line="260" w:lineRule="atLeast"/>
    </w:pPr>
    <w:rPr>
      <w:sz w:val="22"/>
      <w:lang w:eastAsia="en-US"/>
    </w:rPr>
  </w:style>
  <w:style w:type="paragraph" w:styleId="Heading1">
    <w:name w:val="heading 1"/>
    <w:basedOn w:val="Normal"/>
    <w:next w:val="AspexBodyStandard"/>
    <w:link w:val="Heading1Char"/>
    <w:autoRedefine/>
    <w:qFormat/>
    <w:rsid w:val="007333CE"/>
    <w:pPr>
      <w:pageBreakBefore/>
      <w:numPr>
        <w:numId w:val="31"/>
      </w:numPr>
      <w:pBdr>
        <w:bottom w:val="single" w:sz="24" w:space="1" w:color="3B98D3"/>
      </w:pBdr>
      <w:shd w:val="clear" w:color="auto" w:fill="3B98D3"/>
      <w:spacing w:before="0" w:line="500" w:lineRule="exact"/>
      <w:ind w:left="851" w:hanging="851"/>
      <w:outlineLvl w:val="0"/>
    </w:pPr>
    <w:rPr>
      <w:color w:val="FFFFFF"/>
      <w:sz w:val="32"/>
    </w:rPr>
  </w:style>
  <w:style w:type="paragraph" w:styleId="Heading2">
    <w:name w:val="heading 2"/>
    <w:next w:val="AspexBodyStandard"/>
    <w:link w:val="Heading2Char"/>
    <w:qFormat/>
    <w:rsid w:val="007333CE"/>
    <w:pPr>
      <w:keepNext/>
      <w:numPr>
        <w:ilvl w:val="1"/>
        <w:numId w:val="31"/>
      </w:numPr>
      <w:spacing w:before="480" w:after="240" w:line="320" w:lineRule="exact"/>
      <w:ind w:left="851" w:hanging="851"/>
      <w:outlineLvl w:val="1"/>
    </w:pPr>
    <w:rPr>
      <w:b/>
      <w:color w:val="000000"/>
      <w:sz w:val="28"/>
      <w:lang w:eastAsia="en-US"/>
    </w:rPr>
  </w:style>
  <w:style w:type="paragraph" w:styleId="Heading3">
    <w:name w:val="heading 3"/>
    <w:basedOn w:val="Heading4"/>
    <w:next w:val="AspexBodyStandard"/>
    <w:link w:val="Heading3Char"/>
    <w:qFormat/>
    <w:rsid w:val="004C32BC"/>
    <w:pPr>
      <w:numPr>
        <w:ilvl w:val="2"/>
        <w:numId w:val="31"/>
      </w:numPr>
      <w:spacing w:after="160"/>
      <w:outlineLvl w:val="2"/>
    </w:pPr>
    <w:rPr>
      <w:b w:val="0"/>
      <w:caps/>
      <w:color w:val="000000"/>
    </w:rPr>
  </w:style>
  <w:style w:type="paragraph" w:styleId="Heading4">
    <w:name w:val="heading 4"/>
    <w:next w:val="AspexBodyStandard"/>
    <w:link w:val="Heading4Char"/>
    <w:qFormat/>
    <w:rsid w:val="00F44503"/>
    <w:pPr>
      <w:spacing w:before="360" w:after="120" w:line="280" w:lineRule="exact"/>
      <w:ind w:hanging="13"/>
      <w:outlineLvl w:val="3"/>
    </w:pPr>
    <w:rPr>
      <w:b/>
      <w:sz w:val="22"/>
    </w:rPr>
  </w:style>
  <w:style w:type="paragraph" w:styleId="Heading5">
    <w:name w:val="heading 5"/>
    <w:basedOn w:val="Heading4"/>
    <w:next w:val="AspexBodyStandard"/>
    <w:link w:val="Heading5Char"/>
    <w:qFormat/>
    <w:rsid w:val="004C32BC"/>
    <w:pPr>
      <w:numPr>
        <w:ilvl w:val="4"/>
        <w:numId w:val="31"/>
      </w:numPr>
      <w:outlineLvl w:val="4"/>
    </w:pPr>
    <w:rPr>
      <w:rFonts w:ascii="Arial Bold" w:hAnsi="Arial Bold"/>
      <w:i/>
    </w:rPr>
  </w:style>
  <w:style w:type="paragraph" w:styleId="Heading6">
    <w:name w:val="heading 6"/>
    <w:basedOn w:val="Normal"/>
    <w:next w:val="Normal"/>
    <w:link w:val="Heading6Char"/>
    <w:uiPriority w:val="99"/>
    <w:qFormat/>
    <w:rsid w:val="004C32BC"/>
    <w:pPr>
      <w:numPr>
        <w:ilvl w:val="5"/>
        <w:numId w:val="31"/>
      </w:numPr>
      <w:outlineLvl w:val="5"/>
    </w:pPr>
  </w:style>
  <w:style w:type="paragraph" w:styleId="Heading7">
    <w:name w:val="heading 7"/>
    <w:basedOn w:val="Normal"/>
    <w:next w:val="Normal"/>
    <w:link w:val="Heading7Char"/>
    <w:uiPriority w:val="99"/>
    <w:qFormat/>
    <w:rsid w:val="004C32BC"/>
    <w:pPr>
      <w:numPr>
        <w:ilvl w:val="6"/>
        <w:numId w:val="31"/>
      </w:numPr>
      <w:outlineLvl w:val="6"/>
    </w:pPr>
  </w:style>
  <w:style w:type="paragraph" w:styleId="Heading8">
    <w:name w:val="heading 8"/>
    <w:basedOn w:val="Normal"/>
    <w:next w:val="Normal"/>
    <w:link w:val="Heading8Char"/>
    <w:uiPriority w:val="99"/>
    <w:qFormat/>
    <w:rsid w:val="004C32BC"/>
    <w:pPr>
      <w:numPr>
        <w:ilvl w:val="7"/>
        <w:numId w:val="31"/>
      </w:numPr>
      <w:outlineLvl w:val="7"/>
    </w:pPr>
  </w:style>
  <w:style w:type="paragraph" w:styleId="Heading9">
    <w:name w:val="heading 9"/>
    <w:basedOn w:val="Normal"/>
    <w:next w:val="Normal"/>
    <w:link w:val="Heading9Char"/>
    <w:uiPriority w:val="99"/>
    <w:qFormat/>
    <w:rsid w:val="004C32BC"/>
    <w:pPr>
      <w:numPr>
        <w:ilvl w:val="8"/>
        <w:numId w:val="3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2372B3"/>
    <w:pPr>
      <w:ind w:left="880"/>
    </w:pPr>
  </w:style>
  <w:style w:type="paragraph" w:customStyle="1" w:styleId="AspexBodyStandard">
    <w:name w:val="Aspex Body Standard"/>
    <w:link w:val="AspexBodyStandardChar"/>
    <w:qFormat/>
    <w:rsid w:val="00052019"/>
    <w:pPr>
      <w:spacing w:before="240" w:after="120"/>
      <w:jc w:val="both"/>
    </w:pPr>
    <w:rPr>
      <w:sz w:val="22"/>
      <w:lang w:eastAsia="en-US"/>
    </w:rPr>
  </w:style>
  <w:style w:type="paragraph" w:customStyle="1" w:styleId="AspexNumberedbullet1">
    <w:name w:val="Aspex Numbered bullet 1"/>
    <w:basedOn w:val="AspexBodyStandard"/>
    <w:uiPriority w:val="1"/>
    <w:qFormat/>
    <w:rsid w:val="00242060"/>
    <w:pPr>
      <w:numPr>
        <w:numId w:val="5"/>
      </w:numPr>
      <w:spacing w:before="120"/>
    </w:pPr>
    <w:rPr>
      <w:rFonts w:cs="Arial"/>
      <w:lang w:val="en-US" w:eastAsia="en-AU"/>
    </w:rPr>
  </w:style>
  <w:style w:type="paragraph" w:customStyle="1" w:styleId="AspexBullet1">
    <w:name w:val="Aspex Bullet 1"/>
    <w:basedOn w:val="AspexBodyStandard"/>
    <w:uiPriority w:val="1"/>
    <w:qFormat/>
    <w:rsid w:val="00052019"/>
    <w:pPr>
      <w:numPr>
        <w:numId w:val="6"/>
      </w:numPr>
      <w:spacing w:before="120"/>
    </w:pPr>
  </w:style>
  <w:style w:type="paragraph" w:customStyle="1" w:styleId="AspexBullet2">
    <w:name w:val="Aspex Bullet 2"/>
    <w:basedOn w:val="AspexBodyStandard"/>
    <w:uiPriority w:val="1"/>
    <w:qFormat/>
    <w:rsid w:val="00052019"/>
    <w:pPr>
      <w:numPr>
        <w:ilvl w:val="1"/>
        <w:numId w:val="6"/>
      </w:numPr>
      <w:tabs>
        <w:tab w:val="clear" w:pos="1117"/>
        <w:tab w:val="num" w:pos="1060"/>
      </w:tabs>
      <w:spacing w:before="60" w:after="60"/>
      <w:ind w:left="567"/>
    </w:pPr>
  </w:style>
  <w:style w:type="paragraph" w:customStyle="1" w:styleId="AspexBullet3">
    <w:name w:val="Aspex Bullet 3"/>
    <w:basedOn w:val="AspexBodyStandard"/>
    <w:uiPriority w:val="1"/>
    <w:qFormat/>
    <w:rsid w:val="00631158"/>
    <w:pPr>
      <w:numPr>
        <w:ilvl w:val="2"/>
        <w:numId w:val="6"/>
      </w:numPr>
      <w:spacing w:before="60" w:after="60"/>
    </w:pPr>
  </w:style>
  <w:style w:type="paragraph" w:styleId="FootnoteText">
    <w:name w:val="footnote text"/>
    <w:basedOn w:val="AspexBodyStandard"/>
    <w:link w:val="FootnoteTextChar"/>
    <w:semiHidden/>
    <w:rsid w:val="00B8732D"/>
    <w:pPr>
      <w:spacing w:before="0" w:after="0"/>
      <w:ind w:left="426" w:hanging="426"/>
      <w:jc w:val="left"/>
    </w:pPr>
    <w:rPr>
      <w:sz w:val="16"/>
    </w:rPr>
  </w:style>
  <w:style w:type="character" w:customStyle="1" w:styleId="FootnoteTextChar">
    <w:name w:val="Footnote Text Char"/>
    <w:basedOn w:val="DefaultParagraphFont"/>
    <w:link w:val="FootnoteText"/>
    <w:semiHidden/>
    <w:rsid w:val="00B8732D"/>
    <w:rPr>
      <w:rFonts w:cs="Times New Roman"/>
      <w:sz w:val="16"/>
      <w:szCs w:val="20"/>
    </w:rPr>
  </w:style>
  <w:style w:type="paragraph" w:customStyle="1" w:styleId="AspexAbbreviationsheading">
    <w:name w:val="Aspex Abbreviations heading"/>
    <w:basedOn w:val="Heading2"/>
    <w:next w:val="AspexBodyStandard"/>
    <w:uiPriority w:val="3"/>
    <w:rsid w:val="00550623"/>
    <w:pPr>
      <w:pageBreakBefore/>
    </w:pPr>
  </w:style>
  <w:style w:type="paragraph" w:customStyle="1" w:styleId="AspexNumberedBullet2">
    <w:name w:val="Aspex Numbered Bullet 2"/>
    <w:basedOn w:val="AspexBodyStandard"/>
    <w:uiPriority w:val="1"/>
    <w:qFormat/>
    <w:rsid w:val="00242060"/>
    <w:pPr>
      <w:numPr>
        <w:ilvl w:val="1"/>
        <w:numId w:val="11"/>
      </w:numPr>
      <w:spacing w:before="60" w:after="60"/>
    </w:pPr>
    <w:rPr>
      <w:rFonts w:cs="Arial"/>
      <w:lang w:val="en-US" w:eastAsia="en-AU"/>
    </w:rPr>
  </w:style>
  <w:style w:type="paragraph" w:customStyle="1" w:styleId="AspexNumberedBullet3">
    <w:name w:val="Aspex Numbered Bullet 3"/>
    <w:basedOn w:val="AspexBodyStandard"/>
    <w:uiPriority w:val="1"/>
    <w:qFormat/>
    <w:rsid w:val="00242060"/>
    <w:pPr>
      <w:numPr>
        <w:ilvl w:val="2"/>
        <w:numId w:val="11"/>
      </w:numPr>
      <w:spacing w:before="60" w:after="60"/>
    </w:pPr>
  </w:style>
  <w:style w:type="table" w:customStyle="1" w:styleId="AspexTable1">
    <w:name w:val="Aspex Table 1"/>
    <w:basedOn w:val="TableNormal"/>
    <w:qFormat/>
    <w:rsid w:val="00B8732D"/>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table" w:customStyle="1" w:styleId="AspexTable2">
    <w:name w:val="Aspex Table 2"/>
    <w:basedOn w:val="TableNormal"/>
    <w:qFormat/>
    <w:rsid w:val="00B8732D"/>
    <w:pPr>
      <w:spacing w:line="260" w:lineRule="atLeast"/>
    </w:pPr>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val="0"/>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spexTable3">
    <w:name w:val="Aspex Table 3"/>
    <w:basedOn w:val="TableNormal"/>
    <w:qFormat/>
    <w:rsid w:val="00497F35"/>
    <w:pPr>
      <w:spacing w:before="60" w:after="60"/>
    </w:pPr>
    <w:tblPr>
      <w:tblStyleRowBandSize w:val="1"/>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0" w:beforeAutospacing="0" w:afterLines="0" w:afterAutospacing="0"/>
      </w:pPr>
      <w:rPr>
        <w:rFonts w:ascii="Arial" w:hAnsi="Arial"/>
        <w:b/>
        <w:i w:val="0"/>
        <w:caps/>
        <w:smallCaps w:val="0"/>
        <w:color w:val="D9D9D9"/>
        <w:sz w:val="20"/>
      </w:rPr>
      <w:tblPr/>
      <w:tcPr>
        <w:tcBorders>
          <w:top w:val="single" w:sz="2" w:space="0" w:color="000000"/>
          <w:left w:val="single" w:sz="2" w:space="0" w:color="000000"/>
          <w:bottom w:val="nil"/>
          <w:right w:val="single" w:sz="2" w:space="0" w:color="000000"/>
          <w:insideH w:val="nil"/>
          <w:insideV w:val="single" w:sz="2" w:space="0" w:color="000000"/>
          <w:tl2br w:val="nil"/>
          <w:tr2bl w:val="nil"/>
        </w:tcBorders>
        <w:shd w:val="clear" w:color="auto" w:fill="3B98D3"/>
      </w:tcPr>
    </w:tblStylePr>
    <w:tblStylePr w:type="band2Horz">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E6E6E6"/>
      </w:tcPr>
    </w:tblStylePr>
  </w:style>
  <w:style w:type="paragraph" w:customStyle="1" w:styleId="AspexTableHeadertext">
    <w:name w:val="Aspex Table Header text"/>
    <w:uiPriority w:val="1"/>
    <w:qFormat/>
    <w:rsid w:val="002372B3"/>
    <w:pPr>
      <w:spacing w:beforeLines="60" w:afterLines="60"/>
    </w:pPr>
    <w:rPr>
      <w:bCs/>
      <w:snapToGrid w:val="0"/>
      <w:color w:val="D9D9D9"/>
      <w:szCs w:val="22"/>
      <w:lang w:eastAsia="en-US"/>
    </w:rPr>
  </w:style>
  <w:style w:type="paragraph" w:customStyle="1" w:styleId="AspexTableHeadertext-Narrow">
    <w:name w:val="Aspex Table Header text - Narrow"/>
    <w:basedOn w:val="AspexTableHeadertext"/>
    <w:uiPriority w:val="1"/>
    <w:qFormat/>
    <w:rsid w:val="002372B3"/>
    <w:pPr>
      <w:spacing w:before="144" w:after="144"/>
    </w:pPr>
    <w:rPr>
      <w:rFonts w:ascii="Arial Narrow" w:hAnsi="Arial Narrow"/>
    </w:rPr>
  </w:style>
  <w:style w:type="paragraph" w:customStyle="1" w:styleId="AspexTableNumberedbullets0">
    <w:name w:val="Aspex Table Numbered bullets"/>
    <w:basedOn w:val="Normal"/>
    <w:autoRedefine/>
    <w:uiPriority w:val="1"/>
    <w:qFormat/>
    <w:rsid w:val="002372B3"/>
    <w:pPr>
      <w:spacing w:line="240" w:lineRule="auto"/>
      <w:ind w:left="284" w:right="284" w:hanging="284"/>
      <w:jc w:val="both"/>
    </w:pPr>
  </w:style>
  <w:style w:type="paragraph" w:customStyle="1" w:styleId="AspexTableText">
    <w:name w:val="Aspex Table Text"/>
    <w:basedOn w:val="AspexBodyStandard"/>
    <w:uiPriority w:val="1"/>
    <w:qFormat/>
    <w:rsid w:val="00F81FAF"/>
    <w:pPr>
      <w:spacing w:before="60" w:after="60"/>
      <w:jc w:val="left"/>
    </w:pPr>
    <w:rPr>
      <w:sz w:val="20"/>
    </w:rPr>
  </w:style>
  <w:style w:type="paragraph" w:customStyle="1" w:styleId="AspexTableText-Narrow">
    <w:name w:val="Aspex Table Text - Narrow"/>
    <w:uiPriority w:val="1"/>
    <w:qFormat/>
    <w:rsid w:val="00F81FAF"/>
    <w:pPr>
      <w:spacing w:before="60" w:after="60"/>
    </w:pPr>
    <w:rPr>
      <w:rFonts w:ascii="Arial Narrow" w:hAnsi="Arial Narrow"/>
      <w:lang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AspexBodyStandard"/>
    <w:uiPriority w:val="99"/>
    <w:qFormat/>
    <w:rsid w:val="00CF3A3C"/>
    <w:pPr>
      <w:tabs>
        <w:tab w:val="left" w:pos="1418"/>
      </w:tabs>
      <w:spacing w:before="240" w:after="120"/>
      <w:ind w:left="1418" w:hanging="1418"/>
    </w:pPr>
    <w:rPr>
      <w:b/>
      <w:bCs/>
    </w:rPr>
  </w:style>
  <w:style w:type="character" w:styleId="Emphasis">
    <w:name w:val="Emphasis"/>
    <w:qFormat/>
    <w:rsid w:val="002372B3"/>
    <w:rPr>
      <w:i/>
    </w:rPr>
  </w:style>
  <w:style w:type="character" w:styleId="FollowedHyperlink">
    <w:name w:val="FollowedHyperlink"/>
    <w:basedOn w:val="DefaultParagraphFont"/>
    <w:uiPriority w:val="99"/>
    <w:semiHidden/>
    <w:rsid w:val="002372B3"/>
    <w:rPr>
      <w:rFonts w:ascii="Arial" w:hAnsi="Arial"/>
      <w:color w:val="800080"/>
      <w:u w:val="single"/>
    </w:rPr>
  </w:style>
  <w:style w:type="paragraph" w:styleId="Footer">
    <w:name w:val="footer"/>
    <w:basedOn w:val="Normal"/>
    <w:link w:val="FooterChar"/>
    <w:uiPriority w:val="99"/>
    <w:rsid w:val="00E230BD"/>
    <w:pPr>
      <w:tabs>
        <w:tab w:val="right" w:pos="8222"/>
      </w:tabs>
      <w:spacing w:before="0" w:after="0"/>
      <w:jc w:val="right"/>
    </w:pPr>
    <w:rPr>
      <w:color w:val="595959"/>
      <w:sz w:val="18"/>
    </w:rPr>
  </w:style>
  <w:style w:type="character" w:customStyle="1" w:styleId="FooterChar">
    <w:name w:val="Footer Char"/>
    <w:basedOn w:val="DefaultParagraphFont"/>
    <w:link w:val="Footer"/>
    <w:uiPriority w:val="99"/>
    <w:rsid w:val="00E230BD"/>
    <w:rPr>
      <w:rFonts w:ascii="Arial" w:hAnsi="Arial" w:cs="Times New Roman"/>
      <w:color w:val="595959"/>
      <w:sz w:val="18"/>
      <w:szCs w:val="20"/>
    </w:rPr>
  </w:style>
  <w:style w:type="character" w:styleId="FootnoteReference">
    <w:name w:val="footnote reference"/>
    <w:basedOn w:val="DefaultParagraphFont"/>
    <w:uiPriority w:val="99"/>
    <w:semiHidden/>
    <w:rsid w:val="002372B3"/>
    <w:rPr>
      <w:rFonts w:ascii="Arial" w:hAnsi="Arial"/>
      <w:vertAlign w:val="superscript"/>
    </w:rPr>
  </w:style>
  <w:style w:type="paragraph" w:styleId="Header">
    <w:name w:val="header"/>
    <w:basedOn w:val="Normal"/>
    <w:link w:val="HeaderChar"/>
    <w:semiHidden/>
    <w:rsid w:val="002372B3"/>
    <w:pPr>
      <w:tabs>
        <w:tab w:val="center" w:pos="4320"/>
        <w:tab w:val="right" w:pos="8640"/>
      </w:tabs>
      <w:spacing w:before="0" w:line="240" w:lineRule="auto"/>
    </w:pPr>
  </w:style>
  <w:style w:type="character" w:customStyle="1" w:styleId="HeaderChar">
    <w:name w:val="Header Char"/>
    <w:basedOn w:val="DefaultParagraphFont"/>
    <w:link w:val="Header"/>
    <w:semiHidden/>
    <w:rsid w:val="009218A4"/>
    <w:rPr>
      <w:rFonts w:ascii="Arial" w:hAnsi="Arial" w:cs="Times New Roman"/>
      <w:szCs w:val="20"/>
    </w:rPr>
  </w:style>
  <w:style w:type="character" w:styleId="Hyperlink">
    <w:name w:val="Hyperlink"/>
    <w:basedOn w:val="DefaultParagraphFont"/>
    <w:uiPriority w:val="99"/>
    <w:rsid w:val="002372B3"/>
    <w:rPr>
      <w:rFonts w:ascii="Arial" w:hAnsi="Arial" w:cs="Arial"/>
      <w:sz w:val="22"/>
      <w:szCs w:val="22"/>
    </w:rPr>
  </w:style>
  <w:style w:type="character" w:styleId="PageNumber">
    <w:name w:val="page number"/>
    <w:basedOn w:val="DefaultParagraphFont"/>
    <w:semiHidden/>
    <w:rsid w:val="002372B3"/>
    <w:rPr>
      <w:rFonts w:ascii="Arial" w:hAnsi="Arial"/>
      <w:sz w:val="22"/>
    </w:rPr>
  </w:style>
  <w:style w:type="character" w:customStyle="1" w:styleId="Heading1Char">
    <w:name w:val="Heading 1 Char"/>
    <w:basedOn w:val="DefaultParagraphFont"/>
    <w:link w:val="Heading1"/>
    <w:rsid w:val="007333CE"/>
    <w:rPr>
      <w:color w:val="FFFFFF"/>
      <w:sz w:val="32"/>
      <w:shd w:val="clear" w:color="auto" w:fill="3B98D3"/>
      <w:lang w:eastAsia="en-US"/>
    </w:rPr>
  </w:style>
  <w:style w:type="character" w:customStyle="1" w:styleId="Heading2Char">
    <w:name w:val="Heading 2 Char"/>
    <w:basedOn w:val="DefaultParagraphFont"/>
    <w:link w:val="Heading2"/>
    <w:rsid w:val="007333CE"/>
    <w:rPr>
      <w:b/>
      <w:color w:val="000000"/>
      <w:sz w:val="28"/>
      <w:lang w:eastAsia="en-US"/>
    </w:rPr>
  </w:style>
  <w:style w:type="character" w:customStyle="1" w:styleId="Heading5Char">
    <w:name w:val="Heading 5 Char"/>
    <w:basedOn w:val="DefaultParagraphFont"/>
    <w:link w:val="Heading5"/>
    <w:rsid w:val="004C32BC"/>
    <w:rPr>
      <w:rFonts w:ascii="Arial Bold" w:hAnsi="Arial Bold"/>
      <w:b/>
      <w:i/>
      <w:sz w:val="22"/>
    </w:rPr>
  </w:style>
  <w:style w:type="character" w:customStyle="1" w:styleId="Heading4Char">
    <w:name w:val="Heading 4 Char"/>
    <w:basedOn w:val="DefaultParagraphFont"/>
    <w:link w:val="Heading4"/>
    <w:rsid w:val="00F44503"/>
    <w:rPr>
      <w:b/>
      <w:sz w:val="22"/>
    </w:rPr>
  </w:style>
  <w:style w:type="character" w:customStyle="1" w:styleId="Heading3Char">
    <w:name w:val="Heading 3 Char"/>
    <w:basedOn w:val="DefaultParagraphFont"/>
    <w:link w:val="Heading3"/>
    <w:rsid w:val="004C32BC"/>
    <w:rPr>
      <w:caps/>
      <w:color w:val="000000"/>
      <w:sz w:val="22"/>
    </w:rPr>
  </w:style>
  <w:style w:type="character" w:customStyle="1" w:styleId="Heading6Char">
    <w:name w:val="Heading 6 Char"/>
    <w:basedOn w:val="DefaultParagraphFont"/>
    <w:link w:val="Heading6"/>
    <w:uiPriority w:val="99"/>
    <w:rsid w:val="004C32BC"/>
    <w:rPr>
      <w:sz w:val="22"/>
      <w:lang w:eastAsia="en-US"/>
    </w:rPr>
  </w:style>
  <w:style w:type="character" w:customStyle="1" w:styleId="Heading7Char">
    <w:name w:val="Heading 7 Char"/>
    <w:basedOn w:val="DefaultParagraphFont"/>
    <w:link w:val="Heading7"/>
    <w:uiPriority w:val="99"/>
    <w:rsid w:val="004C32BC"/>
    <w:rPr>
      <w:sz w:val="22"/>
      <w:lang w:eastAsia="en-US"/>
    </w:rPr>
  </w:style>
  <w:style w:type="character" w:customStyle="1" w:styleId="Heading8Char">
    <w:name w:val="Heading 8 Char"/>
    <w:basedOn w:val="DefaultParagraphFont"/>
    <w:link w:val="Heading8"/>
    <w:uiPriority w:val="99"/>
    <w:rsid w:val="004C32BC"/>
    <w:rPr>
      <w:sz w:val="22"/>
      <w:lang w:eastAsia="en-US"/>
    </w:rPr>
  </w:style>
  <w:style w:type="character" w:customStyle="1" w:styleId="Heading9Char">
    <w:name w:val="Heading 9 Char"/>
    <w:basedOn w:val="DefaultParagraphFont"/>
    <w:link w:val="Heading9"/>
    <w:uiPriority w:val="99"/>
    <w:rsid w:val="004C32BC"/>
    <w:rPr>
      <w:sz w:val="22"/>
      <w:lang w:eastAsia="en-US"/>
    </w:rPr>
  </w:style>
  <w:style w:type="paragraph" w:styleId="Quote">
    <w:name w:val="Quote"/>
    <w:basedOn w:val="Normal"/>
    <w:next w:val="Normal"/>
    <w:link w:val="QuoteChar"/>
    <w:semiHidden/>
    <w:qFormat/>
    <w:rsid w:val="002372B3"/>
    <w:pPr>
      <w:spacing w:after="200"/>
      <w:ind w:left="567"/>
    </w:pPr>
    <w:rPr>
      <w:i/>
      <w:iCs/>
      <w:color w:val="000000"/>
      <w:sz w:val="20"/>
    </w:rPr>
  </w:style>
  <w:style w:type="character" w:customStyle="1" w:styleId="QuoteChar">
    <w:name w:val="Quote Char"/>
    <w:basedOn w:val="DefaultParagraphFont"/>
    <w:link w:val="Quote"/>
    <w:semiHidden/>
    <w:rsid w:val="00CD2D61"/>
    <w:rPr>
      <w:i/>
      <w:iCs/>
      <w:color w:val="000000"/>
      <w:lang w:eastAsia="en-US"/>
    </w:rPr>
  </w:style>
  <w:style w:type="table" w:styleId="TableGrid">
    <w:name w:val="Table Grid"/>
    <w:basedOn w:val="TableNormal"/>
    <w:rsid w:val="002372B3"/>
    <w:rPr>
      <w:rFonts w:ascii="Tms Rmn" w:hAnsi="Tms Rm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rFonts w:ascii="Arial" w:hAnsi="Arial"/>
        <w:sz w:val="20"/>
      </w:rPr>
    </w:tblStylePr>
  </w:style>
  <w:style w:type="paragraph" w:styleId="TableofFigures">
    <w:name w:val="table of figures"/>
    <w:basedOn w:val="AspexBodyStandard"/>
    <w:next w:val="AspexBodyStandard"/>
    <w:uiPriority w:val="99"/>
    <w:rsid w:val="002372B3"/>
    <w:pPr>
      <w:tabs>
        <w:tab w:val="left" w:leader="dot" w:pos="8051"/>
      </w:tabs>
      <w:spacing w:line="280" w:lineRule="atLeast"/>
      <w:ind w:left="851" w:right="1418" w:hanging="851"/>
      <w:jc w:val="left"/>
    </w:pPr>
    <w:rPr>
      <w:noProof/>
      <w:color w:val="595959"/>
    </w:rPr>
  </w:style>
  <w:style w:type="paragraph" w:styleId="TOC1">
    <w:name w:val="toc 1"/>
    <w:basedOn w:val="AspexBodyStandard"/>
    <w:uiPriority w:val="39"/>
    <w:qFormat/>
    <w:rsid w:val="00836AA4"/>
    <w:pPr>
      <w:tabs>
        <w:tab w:val="left" w:pos="567"/>
        <w:tab w:val="left" w:leader="dot" w:pos="8108"/>
      </w:tabs>
      <w:spacing w:before="260"/>
      <w:ind w:left="567" w:right="1191" w:hanging="567"/>
      <w:jc w:val="left"/>
    </w:pPr>
    <w:rPr>
      <w:noProof/>
      <w:sz w:val="24"/>
    </w:rPr>
  </w:style>
  <w:style w:type="paragraph" w:styleId="TOC2">
    <w:name w:val="toc 2"/>
    <w:basedOn w:val="TOC1"/>
    <w:next w:val="TOC1"/>
    <w:uiPriority w:val="39"/>
    <w:qFormat/>
    <w:rsid w:val="00836AA4"/>
    <w:pPr>
      <w:spacing w:before="0"/>
      <w:ind w:firstLine="0"/>
    </w:pPr>
    <w:rPr>
      <w:color w:val="595959"/>
    </w:rPr>
  </w:style>
  <w:style w:type="paragraph" w:styleId="TOC3">
    <w:name w:val="toc 3"/>
    <w:basedOn w:val="TOC2"/>
    <w:uiPriority w:val="39"/>
    <w:rsid w:val="002372B3"/>
    <w:pPr>
      <w:tabs>
        <w:tab w:val="left" w:pos="1418"/>
      </w:tabs>
    </w:pPr>
    <w:rPr>
      <w:sz w:val="22"/>
    </w:rPr>
  </w:style>
  <w:style w:type="paragraph" w:styleId="TOC4">
    <w:name w:val="toc 4"/>
    <w:basedOn w:val="TOC3"/>
    <w:semiHidden/>
    <w:rsid w:val="002372B3"/>
  </w:style>
  <w:style w:type="paragraph" w:styleId="TOCHeading">
    <w:name w:val="TOC Heading"/>
    <w:next w:val="AspexBodyStandard"/>
    <w:uiPriority w:val="39"/>
    <w:qFormat/>
    <w:rsid w:val="002372B3"/>
    <w:pPr>
      <w:keepNext/>
      <w:keepLines/>
      <w:spacing w:before="280" w:after="240"/>
    </w:pPr>
    <w:rPr>
      <w:bCs/>
      <w:caps/>
      <w:color w:val="3B98D3"/>
      <w:sz w:val="28"/>
      <w:szCs w:val="28"/>
      <w:lang w:val="en-US" w:eastAsia="en-US"/>
    </w:rPr>
  </w:style>
  <w:style w:type="character" w:customStyle="1" w:styleId="AspexBodyStandardChar">
    <w:name w:val="Aspex Body Standard Char"/>
    <w:basedOn w:val="DefaultParagraphFont"/>
    <w:link w:val="AspexBodyStandard"/>
    <w:rsid w:val="00052019"/>
    <w:rPr>
      <w:sz w:val="22"/>
      <w:lang w:eastAsia="en-US"/>
    </w:rPr>
  </w:style>
  <w:style w:type="paragraph" w:styleId="BalloonText">
    <w:name w:val="Balloon Text"/>
    <w:basedOn w:val="Normal"/>
    <w:link w:val="BalloonTextChar"/>
    <w:semiHidden/>
    <w:unhideWhenUsed/>
    <w:rsid w:val="002420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420D1"/>
    <w:rPr>
      <w:rFonts w:ascii="Tahoma" w:hAnsi="Tahoma" w:cs="Tahoma"/>
      <w:sz w:val="16"/>
      <w:szCs w:val="16"/>
    </w:rPr>
  </w:style>
  <w:style w:type="paragraph" w:styleId="PlainText">
    <w:name w:val="Plain Text"/>
    <w:basedOn w:val="Normal"/>
    <w:link w:val="PlainTextChar"/>
    <w:uiPriority w:val="99"/>
    <w:semiHidden/>
    <w:unhideWhenUsed/>
    <w:rsid w:val="002372B3"/>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E04128"/>
    <w:rPr>
      <w:rFonts w:ascii="Consolas" w:eastAsia="Calibri" w:hAnsi="Consolas"/>
      <w:sz w:val="21"/>
      <w:szCs w:val="21"/>
    </w:rPr>
  </w:style>
  <w:style w:type="numbering" w:customStyle="1" w:styleId="AspexBulletList">
    <w:name w:val="Aspex Bullet List"/>
    <w:basedOn w:val="NoList"/>
    <w:rsid w:val="002372B3"/>
    <w:pPr>
      <w:numPr>
        <w:numId w:val="1"/>
      </w:numPr>
    </w:pPr>
  </w:style>
  <w:style w:type="paragraph" w:customStyle="1" w:styleId="header-details">
    <w:name w:val="header-details"/>
    <w:semiHidden/>
    <w:qFormat/>
    <w:rsid w:val="002372B3"/>
    <w:pPr>
      <w:spacing w:before="120"/>
      <w:jc w:val="right"/>
    </w:pPr>
    <w:rPr>
      <w:noProof/>
      <w:sz w:val="18"/>
      <w:lang w:val="en-US" w:eastAsia="en-US"/>
    </w:rPr>
  </w:style>
  <w:style w:type="paragraph" w:styleId="ListParagraph">
    <w:name w:val="List Paragraph"/>
    <w:basedOn w:val="Normal"/>
    <w:uiPriority w:val="34"/>
    <w:qFormat/>
    <w:rsid w:val="002372B3"/>
    <w:pPr>
      <w:ind w:left="720"/>
      <w:contextualSpacing/>
    </w:pPr>
  </w:style>
  <w:style w:type="paragraph" w:customStyle="1" w:styleId="AspexTableText-NarrowBullet">
    <w:name w:val="Aspex Table Text - Narrow Bullet"/>
    <w:basedOn w:val="Normal"/>
    <w:qFormat/>
    <w:rsid w:val="00F81FAF"/>
    <w:pPr>
      <w:numPr>
        <w:numId w:val="8"/>
      </w:numPr>
      <w:spacing w:before="0" w:after="60" w:line="240" w:lineRule="auto"/>
    </w:pPr>
    <w:rPr>
      <w:rFonts w:ascii="Arial Narrow" w:hAnsi="Arial Narrow"/>
      <w:sz w:val="20"/>
    </w:rPr>
  </w:style>
  <w:style w:type="paragraph" w:customStyle="1" w:styleId="AspexTableText-Bullet">
    <w:name w:val="Aspex Table Text - Bullet"/>
    <w:basedOn w:val="Normal"/>
    <w:uiPriority w:val="1"/>
    <w:qFormat/>
    <w:rsid w:val="00F81FAF"/>
    <w:pPr>
      <w:numPr>
        <w:numId w:val="7"/>
      </w:numPr>
      <w:spacing w:before="0" w:after="60" w:line="240" w:lineRule="auto"/>
    </w:pPr>
    <w:rPr>
      <w:sz w:val="20"/>
    </w:rPr>
  </w:style>
  <w:style w:type="paragraph" w:styleId="TOC6">
    <w:name w:val="toc 6"/>
    <w:basedOn w:val="Normal"/>
    <w:next w:val="Normal"/>
    <w:semiHidden/>
    <w:rsid w:val="002372B3"/>
    <w:pPr>
      <w:ind w:left="1100"/>
    </w:pPr>
  </w:style>
  <w:style w:type="paragraph" w:styleId="TOC7">
    <w:name w:val="toc 7"/>
    <w:basedOn w:val="Normal"/>
    <w:next w:val="Normal"/>
    <w:semiHidden/>
    <w:rsid w:val="002372B3"/>
    <w:pPr>
      <w:ind w:left="1320"/>
    </w:pPr>
  </w:style>
  <w:style w:type="paragraph" w:styleId="TOC8">
    <w:name w:val="toc 8"/>
    <w:basedOn w:val="Normal"/>
    <w:next w:val="Normal"/>
    <w:semiHidden/>
    <w:rsid w:val="002372B3"/>
    <w:pPr>
      <w:ind w:left="1540"/>
    </w:pPr>
  </w:style>
  <w:style w:type="paragraph" w:styleId="TOC9">
    <w:name w:val="toc 9"/>
    <w:basedOn w:val="Normal"/>
    <w:next w:val="Normal"/>
    <w:semiHidden/>
    <w:rsid w:val="002372B3"/>
    <w:pPr>
      <w:ind w:left="1760"/>
    </w:pPr>
  </w:style>
  <w:style w:type="paragraph" w:customStyle="1" w:styleId="AspexAppendixlevel1">
    <w:name w:val="Aspex Appendix level 1"/>
    <w:next w:val="AspexBodyStandard"/>
    <w:uiPriority w:val="2"/>
    <w:qFormat/>
    <w:rsid w:val="00550623"/>
    <w:pPr>
      <w:pageBreakBefore/>
      <w:numPr>
        <w:numId w:val="9"/>
      </w:numPr>
      <w:pBdr>
        <w:left w:val="single" w:sz="24" w:space="4" w:color="3B98D3"/>
        <w:bottom w:val="single" w:sz="24" w:space="1" w:color="3B98D3"/>
      </w:pBdr>
      <w:shd w:val="clear" w:color="auto" w:fill="3B98D3"/>
      <w:spacing w:before="360" w:after="240" w:line="500" w:lineRule="exact"/>
    </w:pPr>
    <w:rPr>
      <w:color w:val="FFFFFF"/>
      <w:sz w:val="32"/>
      <w:lang w:eastAsia="en-US"/>
    </w:rPr>
  </w:style>
  <w:style w:type="paragraph" w:customStyle="1" w:styleId="AspexAppendixLevel2">
    <w:name w:val="Aspex Appendix Level 2"/>
    <w:next w:val="AspexBodyStandard"/>
    <w:uiPriority w:val="2"/>
    <w:qFormat/>
    <w:rsid w:val="00CF6C19"/>
    <w:pPr>
      <w:numPr>
        <w:ilvl w:val="1"/>
        <w:numId w:val="9"/>
      </w:numPr>
      <w:spacing w:before="480" w:after="240"/>
    </w:pPr>
    <w:rPr>
      <w:b/>
      <w:color w:val="000000"/>
      <w:sz w:val="28"/>
      <w:lang w:eastAsia="en-US"/>
    </w:rPr>
  </w:style>
  <w:style w:type="paragraph" w:customStyle="1" w:styleId="AspexClientname">
    <w:name w:val="Aspex Client name"/>
    <w:basedOn w:val="Normal"/>
    <w:uiPriority w:val="3"/>
    <w:qFormat/>
    <w:rsid w:val="002372B3"/>
    <w:pPr>
      <w:ind w:left="-170"/>
      <w:jc w:val="center"/>
    </w:pPr>
    <w:rPr>
      <w:sz w:val="36"/>
      <w:szCs w:val="36"/>
    </w:rPr>
  </w:style>
  <w:style w:type="table" w:customStyle="1" w:styleId="Aspexhilightbox">
    <w:name w:val="Aspex hilight box"/>
    <w:basedOn w:val="TableGrid"/>
    <w:qFormat/>
    <w:rsid w:val="00095ACD"/>
    <w:pPr>
      <w:spacing w:before="60" w:after="60"/>
      <w:ind w:left="567" w:right="567"/>
      <w:jc w:val="center"/>
    </w:pPr>
    <w:rPr>
      <w:rFonts w:ascii="Arial" w:hAnsi="Arial"/>
      <w:color w:val="3B98D3"/>
      <w:sz w:val="22"/>
    </w:rPr>
    <w:tblPr>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108" w:type="dxa"/>
        <w:bottom w:w="57" w:type="dxa"/>
        <w:right w:w="108" w:type="dxa"/>
      </w:tblCellMar>
    </w:tblPr>
    <w:trPr>
      <w:jc w:val="center"/>
    </w:trPr>
    <w:tcPr>
      <w:shd w:val="clear" w:color="auto" w:fill="E6E6E6"/>
      <w:vAlign w:val="center"/>
    </w:tcPr>
    <w:tblStylePr w:type="firstRow">
      <w:pPr>
        <w:wordWrap/>
        <w:jc w:val="center"/>
      </w:pPr>
      <w:rPr>
        <w:rFonts w:ascii="Arial" w:hAnsi="Arial"/>
        <w:sz w:val="20"/>
      </w:rPr>
    </w:tblStylePr>
  </w:style>
  <w:style w:type="numbering" w:customStyle="1" w:styleId="AspexnumberedbulletList">
    <w:name w:val="Aspex numbered bullet List"/>
    <w:basedOn w:val="NoList"/>
    <w:rsid w:val="0037711B"/>
    <w:pPr>
      <w:numPr>
        <w:numId w:val="5"/>
      </w:numPr>
    </w:pPr>
  </w:style>
  <w:style w:type="paragraph" w:customStyle="1" w:styleId="AspexPrelimHeading">
    <w:name w:val="Aspex Prelim Heading"/>
    <w:next w:val="AspexBodyStandard"/>
    <w:uiPriority w:val="3"/>
    <w:qFormat/>
    <w:rsid w:val="002372B3"/>
    <w:pPr>
      <w:spacing w:before="120" w:after="80" w:line="400" w:lineRule="exact"/>
    </w:pPr>
    <w:rPr>
      <w:b/>
      <w:color w:val="7F7F7F"/>
      <w:lang w:eastAsia="en-US"/>
    </w:rPr>
  </w:style>
  <w:style w:type="paragraph" w:customStyle="1" w:styleId="AspexPrelimtext">
    <w:name w:val="Aspex Prelim text"/>
    <w:basedOn w:val="AspexBodyStandard"/>
    <w:uiPriority w:val="3"/>
    <w:qFormat/>
    <w:rsid w:val="002372B3"/>
    <w:rPr>
      <w:color w:val="7F7F7F"/>
      <w:sz w:val="18"/>
    </w:rPr>
  </w:style>
  <w:style w:type="table" w:customStyle="1" w:styleId="AspexTable4">
    <w:name w:val="Aspex Table 4"/>
    <w:basedOn w:val="AspexTable2"/>
    <w:qFormat/>
    <w:rsid w:val="00B8732D"/>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Arial Narrow" w:hAnsi="Arial Narrow"/>
        <w:b/>
        <w:bCs/>
        <w:i w:val="0"/>
        <w:caps/>
        <w:smallCaps w:val="0"/>
        <w:color w:val="FFFFFF"/>
        <w:sz w:val="20"/>
      </w:rPr>
      <w:tblPr/>
      <w:tcPr>
        <w:tcBorders>
          <w:tl2br w:val="none" w:sz="0" w:space="0" w:color="auto"/>
          <w:tr2bl w:val="none" w:sz="0" w:space="0" w:color="auto"/>
        </w:tcBorders>
        <w:shd w:val="clear" w:color="auto" w:fill="3B98D3"/>
      </w:tcPr>
    </w:tblStylePr>
    <w:tblStylePr w:type="lastCol">
      <w:tblPr/>
      <w:tcPr>
        <w:shd w:val="clear" w:color="auto" w:fill="D9D9D9"/>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spexTableNumberedBullets">
    <w:name w:val="Aspex Table Numbered Bullets"/>
    <w:basedOn w:val="Normal"/>
    <w:autoRedefine/>
    <w:uiPriority w:val="1"/>
    <w:qFormat/>
    <w:rsid w:val="002372B3"/>
    <w:pPr>
      <w:numPr>
        <w:numId w:val="2"/>
      </w:numPr>
      <w:spacing w:line="240" w:lineRule="auto"/>
      <w:ind w:right="284"/>
      <w:jc w:val="both"/>
    </w:pPr>
  </w:style>
  <w:style w:type="paragraph" w:customStyle="1" w:styleId="AspexTableText-NarrowBullet2">
    <w:name w:val="Aspex Table Text - Narrow Bullet 2"/>
    <w:basedOn w:val="Normal"/>
    <w:qFormat/>
    <w:rsid w:val="00F81FAF"/>
    <w:pPr>
      <w:numPr>
        <w:ilvl w:val="1"/>
        <w:numId w:val="8"/>
      </w:numPr>
      <w:spacing w:before="60" w:after="60" w:line="240" w:lineRule="auto"/>
    </w:pPr>
    <w:rPr>
      <w:rFonts w:ascii="Arial Narrow" w:hAnsi="Arial Narrow"/>
      <w:sz w:val="20"/>
    </w:rPr>
  </w:style>
  <w:style w:type="paragraph" w:customStyle="1" w:styleId="AspexTableText-NarrowBullet3">
    <w:name w:val="Aspex Table Text - Narrow Bullet 3"/>
    <w:basedOn w:val="Normal"/>
    <w:qFormat/>
    <w:rsid w:val="00F81FAF"/>
    <w:pPr>
      <w:numPr>
        <w:ilvl w:val="2"/>
        <w:numId w:val="8"/>
      </w:numPr>
      <w:spacing w:before="60" w:after="60" w:line="240" w:lineRule="auto"/>
    </w:pPr>
    <w:rPr>
      <w:rFonts w:ascii="Arial Narrow" w:hAnsi="Arial Narrow"/>
      <w:sz w:val="20"/>
    </w:rPr>
  </w:style>
  <w:style w:type="numbering" w:customStyle="1" w:styleId="AspexTableText-NarrowBulletList">
    <w:name w:val="Aspex Table Text - Narrow Bullet List"/>
    <w:basedOn w:val="NoList"/>
    <w:rsid w:val="002372B3"/>
    <w:pPr>
      <w:numPr>
        <w:numId w:val="3"/>
      </w:numPr>
    </w:pPr>
  </w:style>
  <w:style w:type="paragraph" w:customStyle="1" w:styleId="Default">
    <w:name w:val="Default"/>
    <w:basedOn w:val="AspexBodyStandard"/>
    <w:next w:val="AspexBodyStandard"/>
    <w:semiHidden/>
    <w:rsid w:val="002372B3"/>
  </w:style>
  <w:style w:type="table" w:styleId="MediumGrid1-Accent1">
    <w:name w:val="Medium Grid 1 Accent 1"/>
    <w:basedOn w:val="TableNormal"/>
    <w:uiPriority w:val="67"/>
    <w:rsid w:val="00845266"/>
    <w:rPr>
      <w:rFonts w:eastAsia="Calibri"/>
      <w:lang w:val="en-US"/>
    </w:rPr>
    <w:tblPr>
      <w:tblStyleRowBandSize w:val="1"/>
      <w:tblStyleColBandSize w:val="1"/>
      <w:tblInd w:w="0" w:type="dxa"/>
      <w:tblBorders>
        <w:top w:val="single" w:sz="8" w:space="0" w:color="C3C3C3"/>
        <w:left w:val="single" w:sz="8" w:space="0" w:color="C3C3C3"/>
        <w:bottom w:val="single" w:sz="8" w:space="0" w:color="C3C3C3"/>
        <w:right w:val="single" w:sz="8" w:space="0" w:color="C3C3C3"/>
        <w:insideH w:val="single" w:sz="8" w:space="0" w:color="C3C3C3"/>
        <w:insideV w:val="single" w:sz="8" w:space="0" w:color="C3C3C3"/>
      </w:tblBorders>
      <w:tblCellMar>
        <w:top w:w="0" w:type="dxa"/>
        <w:left w:w="108" w:type="dxa"/>
        <w:bottom w:w="0" w:type="dxa"/>
        <w:right w:w="108" w:type="dxa"/>
      </w:tblCellMar>
    </w:tblPr>
    <w:tcPr>
      <w:shd w:val="clear" w:color="auto" w:fill="EBEBEB"/>
    </w:tcPr>
    <w:tblStylePr w:type="firstRow">
      <w:rPr>
        <w:b/>
        <w:bCs/>
      </w:rPr>
    </w:tblStylePr>
    <w:tblStylePr w:type="lastRow">
      <w:rPr>
        <w:b/>
        <w:bCs/>
      </w:rPr>
      <w:tblPr/>
      <w:tcPr>
        <w:tcBorders>
          <w:top w:val="single" w:sz="18" w:space="0" w:color="C3C3C3"/>
        </w:tcBorders>
      </w:tcPr>
    </w:tblStylePr>
    <w:tblStylePr w:type="firstCol">
      <w:rPr>
        <w:b/>
        <w:bCs/>
      </w:rPr>
    </w:tblStylePr>
    <w:tblStylePr w:type="lastCol">
      <w:rPr>
        <w:b/>
        <w:bCs/>
      </w:rPr>
    </w:tblStylePr>
    <w:tblStylePr w:type="band1Vert">
      <w:tblPr/>
      <w:tcPr>
        <w:shd w:val="clear" w:color="auto" w:fill="D7D7D7"/>
      </w:tcPr>
    </w:tblStylePr>
    <w:tblStylePr w:type="band1Horz">
      <w:tblPr/>
      <w:tcPr>
        <w:shd w:val="clear" w:color="auto" w:fill="D7D7D7"/>
      </w:tcPr>
    </w:tblStylePr>
  </w:style>
  <w:style w:type="paragraph" w:customStyle="1" w:styleId="AspexReportTitle">
    <w:name w:val="Aspex Report Title"/>
    <w:next w:val="AspexVersion"/>
    <w:uiPriority w:val="3"/>
    <w:qFormat/>
    <w:rsid w:val="00836AA4"/>
    <w:pPr>
      <w:spacing w:before="120" w:after="240"/>
      <w:ind w:left="567"/>
      <w:jc w:val="center"/>
    </w:pPr>
    <w:rPr>
      <w:sz w:val="52"/>
      <w:szCs w:val="52"/>
      <w:lang w:eastAsia="en-US"/>
    </w:rPr>
  </w:style>
  <w:style w:type="paragraph" w:customStyle="1" w:styleId="AspexVersion">
    <w:name w:val="Aspex Version"/>
    <w:next w:val="AspexDate"/>
    <w:uiPriority w:val="3"/>
    <w:qFormat/>
    <w:rsid w:val="006478D9"/>
    <w:pPr>
      <w:spacing w:before="120" w:after="240"/>
      <w:ind w:left="567"/>
      <w:jc w:val="center"/>
    </w:pPr>
    <w:rPr>
      <w:sz w:val="36"/>
      <w:szCs w:val="36"/>
      <w:lang w:eastAsia="en-US"/>
    </w:rPr>
  </w:style>
  <w:style w:type="paragraph" w:customStyle="1" w:styleId="AspexDate">
    <w:name w:val="Aspex Date"/>
    <w:uiPriority w:val="3"/>
    <w:qFormat/>
    <w:rsid w:val="006478D9"/>
    <w:pPr>
      <w:spacing w:before="120" w:after="240"/>
      <w:ind w:left="567"/>
      <w:jc w:val="center"/>
    </w:pPr>
    <w:rPr>
      <w:sz w:val="22"/>
      <w:lang w:eastAsia="en-US"/>
    </w:rPr>
  </w:style>
  <w:style w:type="character" w:styleId="PlaceholderText">
    <w:name w:val="Placeholder Text"/>
    <w:basedOn w:val="DefaultParagraphFont"/>
    <w:uiPriority w:val="4"/>
    <w:rsid w:val="00152F38"/>
    <w:rPr>
      <w:color w:val="808080"/>
    </w:rPr>
  </w:style>
  <w:style w:type="paragraph" w:customStyle="1" w:styleId="AspexAbbreviations">
    <w:name w:val="Aspex Abbreviations"/>
    <w:uiPriority w:val="3"/>
    <w:rsid w:val="00A66B66"/>
    <w:pPr>
      <w:tabs>
        <w:tab w:val="left" w:pos="1418"/>
      </w:tabs>
      <w:spacing w:before="120" w:after="240"/>
    </w:pPr>
    <w:rPr>
      <w:sz w:val="22"/>
      <w:lang w:eastAsia="en-US"/>
    </w:rPr>
  </w:style>
  <w:style w:type="paragraph" w:customStyle="1" w:styleId="AspexHighlightText">
    <w:name w:val="Aspex Highlight Text"/>
    <w:uiPriority w:val="4"/>
    <w:qFormat/>
    <w:rsid w:val="00586F91"/>
    <w:pPr>
      <w:spacing w:before="120" w:after="240"/>
      <w:ind w:left="567" w:right="567"/>
      <w:jc w:val="center"/>
    </w:pPr>
    <w:rPr>
      <w:color w:val="3B98D3"/>
    </w:rPr>
  </w:style>
  <w:style w:type="paragraph" w:customStyle="1" w:styleId="AspexTOFHeading">
    <w:name w:val="Aspex TOF Heading"/>
    <w:uiPriority w:val="3"/>
    <w:qFormat/>
    <w:rsid w:val="00CE7E0C"/>
    <w:pPr>
      <w:spacing w:before="360" w:after="240"/>
    </w:pPr>
    <w:rPr>
      <w:b/>
      <w:sz w:val="22"/>
      <w:lang w:eastAsia="en-US"/>
    </w:rPr>
  </w:style>
  <w:style w:type="paragraph" w:styleId="EndnoteText">
    <w:name w:val="endnote text"/>
    <w:basedOn w:val="Normal"/>
    <w:link w:val="EndnoteTextChar"/>
    <w:semiHidden/>
    <w:rsid w:val="00811645"/>
    <w:pPr>
      <w:spacing w:before="0" w:after="0" w:line="240" w:lineRule="auto"/>
    </w:pPr>
    <w:rPr>
      <w:sz w:val="20"/>
    </w:rPr>
  </w:style>
  <w:style w:type="character" w:customStyle="1" w:styleId="EndnoteTextChar">
    <w:name w:val="Endnote Text Char"/>
    <w:basedOn w:val="DefaultParagraphFont"/>
    <w:link w:val="EndnoteText"/>
    <w:semiHidden/>
    <w:rsid w:val="00811645"/>
    <w:rPr>
      <w:rFonts w:cs="Times New Roman"/>
      <w:sz w:val="20"/>
      <w:szCs w:val="20"/>
    </w:rPr>
  </w:style>
  <w:style w:type="character" w:styleId="EndnoteReference">
    <w:name w:val="endnote reference"/>
    <w:basedOn w:val="DefaultParagraphFont"/>
    <w:semiHidden/>
    <w:rsid w:val="00811645"/>
    <w:rPr>
      <w:vertAlign w:val="superscript"/>
    </w:rPr>
  </w:style>
  <w:style w:type="paragraph" w:customStyle="1" w:styleId="AspexClientName0">
    <w:name w:val="Aspex Client Name"/>
    <w:basedOn w:val="AspexReportTitle"/>
    <w:uiPriority w:val="4"/>
    <w:qFormat/>
    <w:rsid w:val="00836AA4"/>
    <w:rPr>
      <w:sz w:val="36"/>
    </w:rPr>
  </w:style>
  <w:style w:type="paragraph" w:customStyle="1" w:styleId="AspexAppendixLevel3">
    <w:name w:val="Aspex Appendix Level 3"/>
    <w:uiPriority w:val="2"/>
    <w:qFormat/>
    <w:rsid w:val="0052681A"/>
    <w:pPr>
      <w:numPr>
        <w:ilvl w:val="2"/>
        <w:numId w:val="9"/>
      </w:numPr>
      <w:spacing w:before="360" w:after="160" w:line="280" w:lineRule="exact"/>
    </w:pPr>
    <w:rPr>
      <w:sz w:val="22"/>
      <w:lang w:eastAsia="en-US"/>
    </w:rPr>
  </w:style>
  <w:style w:type="paragraph" w:customStyle="1" w:styleId="AspexAppendixLevel4">
    <w:name w:val="Aspex Appendix Level 4"/>
    <w:uiPriority w:val="2"/>
    <w:qFormat/>
    <w:rsid w:val="0052681A"/>
    <w:pPr>
      <w:spacing w:before="360" w:after="120" w:line="280" w:lineRule="exact"/>
    </w:pPr>
    <w:rPr>
      <w:b/>
      <w:sz w:val="22"/>
      <w:lang w:eastAsia="en-US"/>
    </w:rPr>
  </w:style>
  <w:style w:type="character" w:styleId="IntenseEmphasis">
    <w:name w:val="Intense Emphasis"/>
    <w:basedOn w:val="DefaultParagraphFont"/>
    <w:uiPriority w:val="21"/>
    <w:qFormat/>
    <w:rsid w:val="00E7483D"/>
    <w:rPr>
      <w:b/>
      <w:bCs/>
      <w:i/>
      <w:iCs/>
      <w:color w:val="4F81BD" w:themeColor="accent1"/>
    </w:rPr>
  </w:style>
  <w:style w:type="paragraph" w:styleId="IntenseQuote">
    <w:name w:val="Intense Quote"/>
    <w:basedOn w:val="Normal"/>
    <w:next w:val="Normal"/>
    <w:link w:val="IntenseQuoteChar"/>
    <w:uiPriority w:val="30"/>
    <w:qFormat/>
    <w:rsid w:val="00E7483D"/>
    <w:pPr>
      <w:pBdr>
        <w:bottom w:val="single" w:sz="4" w:space="4" w:color="4F81BD" w:themeColor="accent1"/>
      </w:pBdr>
      <w:spacing w:before="360" w:after="280"/>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E7483D"/>
    <w:rPr>
      <w:b/>
      <w:bCs/>
      <w:i/>
      <w:iCs/>
      <w:color w:val="4F81BD" w:themeColor="accent1"/>
      <w:sz w:val="22"/>
      <w:lang w:eastAsia="en-US"/>
    </w:rPr>
  </w:style>
  <w:style w:type="table" w:customStyle="1" w:styleId="GridTable6Colorful1">
    <w:name w:val="Grid Table 6 Colorful1"/>
    <w:basedOn w:val="TableNormal"/>
    <w:uiPriority w:val="51"/>
    <w:rsid w:val="00EF219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ighlight">
    <w:name w:val="highlight"/>
    <w:basedOn w:val="DefaultParagraphFont"/>
    <w:rsid w:val="00EF2196"/>
  </w:style>
  <w:style w:type="paragraph" w:customStyle="1" w:styleId="xl65">
    <w:name w:val="xl65"/>
    <w:basedOn w:val="Normal"/>
    <w:rsid w:val="0040000F"/>
    <w:pPr>
      <w:spacing w:before="100" w:beforeAutospacing="1" w:after="100" w:afterAutospacing="1" w:line="240" w:lineRule="auto"/>
      <w:jc w:val="center"/>
    </w:pPr>
    <w:rPr>
      <w:rFonts w:ascii="Times" w:hAnsi="Times"/>
      <w:sz w:val="20"/>
    </w:rPr>
  </w:style>
  <w:style w:type="paragraph" w:customStyle="1" w:styleId="xl66">
    <w:name w:val="xl66"/>
    <w:basedOn w:val="Normal"/>
    <w:rsid w:val="0040000F"/>
    <w:pPr>
      <w:spacing w:before="100" w:beforeAutospacing="1" w:after="100" w:afterAutospacing="1" w:line="240" w:lineRule="auto"/>
      <w:jc w:val="center"/>
    </w:pPr>
    <w:rPr>
      <w:rFonts w:ascii="Times" w:hAnsi="Times"/>
      <w:sz w:val="20"/>
    </w:rPr>
  </w:style>
  <w:style w:type="character" w:styleId="Strong">
    <w:name w:val="Strong"/>
    <w:basedOn w:val="DefaultParagraphFont"/>
    <w:uiPriority w:val="22"/>
    <w:qFormat/>
    <w:rsid w:val="005A2327"/>
    <w:rPr>
      <w:b/>
      <w:bCs/>
    </w:rPr>
  </w:style>
  <w:style w:type="paragraph" w:styleId="NormalWeb">
    <w:name w:val="Normal (Web)"/>
    <w:basedOn w:val="Normal"/>
    <w:uiPriority w:val="99"/>
    <w:unhideWhenUsed/>
    <w:rsid w:val="009D5FB4"/>
    <w:pPr>
      <w:spacing w:before="100" w:beforeAutospacing="1" w:after="100" w:afterAutospacing="1" w:line="240" w:lineRule="auto"/>
    </w:pPr>
    <w:rPr>
      <w:rFonts w:ascii="Times New Roman" w:hAnsi="Times New Roman"/>
      <w:color w:val="000000"/>
      <w:sz w:val="24"/>
      <w:lang w:eastAsia="en-AU"/>
    </w:rPr>
  </w:style>
  <w:style w:type="character" w:styleId="CommentReference">
    <w:name w:val="annotation reference"/>
    <w:basedOn w:val="DefaultParagraphFont"/>
    <w:semiHidden/>
    <w:rsid w:val="003B7CD2"/>
    <w:rPr>
      <w:sz w:val="18"/>
      <w:szCs w:val="18"/>
    </w:rPr>
  </w:style>
  <w:style w:type="paragraph" w:styleId="CommentText">
    <w:name w:val="annotation text"/>
    <w:basedOn w:val="Normal"/>
    <w:link w:val="CommentTextChar"/>
    <w:semiHidden/>
    <w:rsid w:val="003B7CD2"/>
    <w:pPr>
      <w:spacing w:line="240" w:lineRule="auto"/>
    </w:pPr>
    <w:rPr>
      <w:sz w:val="24"/>
    </w:rPr>
  </w:style>
  <w:style w:type="character" w:customStyle="1" w:styleId="CommentTextChar">
    <w:name w:val="Comment Text Char"/>
    <w:basedOn w:val="DefaultParagraphFont"/>
    <w:link w:val="CommentText"/>
    <w:semiHidden/>
    <w:rsid w:val="003B7CD2"/>
    <w:rPr>
      <w:sz w:val="24"/>
      <w:szCs w:val="24"/>
      <w:lang w:eastAsia="en-US"/>
    </w:rPr>
  </w:style>
  <w:style w:type="paragraph" w:styleId="CommentSubject">
    <w:name w:val="annotation subject"/>
    <w:basedOn w:val="CommentText"/>
    <w:next w:val="CommentText"/>
    <w:link w:val="CommentSubjectChar"/>
    <w:semiHidden/>
    <w:rsid w:val="0058273B"/>
    <w:rPr>
      <w:b/>
      <w:bCs/>
      <w:sz w:val="20"/>
      <w:szCs w:val="20"/>
    </w:rPr>
  </w:style>
  <w:style w:type="character" w:customStyle="1" w:styleId="CommentSubjectChar">
    <w:name w:val="Comment Subject Char"/>
    <w:basedOn w:val="CommentTextChar"/>
    <w:link w:val="CommentSubject"/>
    <w:semiHidden/>
    <w:rsid w:val="0058273B"/>
    <w:rPr>
      <w:b/>
      <w:bCs/>
      <w:sz w:val="24"/>
      <w:szCs w:val="24"/>
      <w:lang w:eastAsia="en-US"/>
    </w:rPr>
  </w:style>
  <w:style w:type="character" w:customStyle="1" w:styleId="ref-journal">
    <w:name w:val="ref-journal"/>
    <w:basedOn w:val="DefaultParagraphFont"/>
    <w:rsid w:val="00C34C76"/>
  </w:style>
  <w:style w:type="character" w:customStyle="1" w:styleId="ref-vol">
    <w:name w:val="ref-vol"/>
    <w:basedOn w:val="DefaultParagraphFont"/>
    <w:rsid w:val="00C34C76"/>
  </w:style>
  <w:style w:type="paragraph" w:styleId="Revision">
    <w:name w:val="Revision"/>
    <w:hidden/>
    <w:uiPriority w:val="99"/>
    <w:semiHidden/>
    <w:rsid w:val="005A58C3"/>
    <w:rPr>
      <w:sz w:val="22"/>
      <w:lang w:eastAsia="en-US"/>
    </w:rPr>
  </w:style>
  <w:style w:type="character" w:customStyle="1" w:styleId="st">
    <w:name w:val="st"/>
    <w:basedOn w:val="DefaultParagraphFont"/>
    <w:rsid w:val="005A7965"/>
  </w:style>
  <w:style w:type="paragraph" w:styleId="DocumentMap">
    <w:name w:val="Document Map"/>
    <w:basedOn w:val="Normal"/>
    <w:link w:val="DocumentMapChar"/>
    <w:semiHidden/>
    <w:unhideWhenUsed/>
    <w:rsid w:val="00C32D0A"/>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semiHidden/>
    <w:rsid w:val="00C32D0A"/>
    <w:rPr>
      <w:rFonts w:ascii="Lucida Grande" w:hAnsi="Lucida Grande" w:cs="Lucida Grand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uiPriority="99" w:qFormat="1"/>
    <w:lsdException w:name="heading 7" w:semiHidden="0" w:uiPriority="99" w:qFormat="1"/>
    <w:lsdException w:name="heading 8" w:semiHidden="0" w:uiPriority="99" w:qFormat="1"/>
    <w:lsdException w:name="heading 9" w:semiHidden="0" w:uiPriority="99" w:qFormat="1"/>
    <w:lsdException w:name="index 1"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iPriority="99" w:unhideWhenUsed="1" w:qFormat="1"/>
    <w:lsdException w:name="table of figures" w:uiPriority="99"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Hyperlink" w:semiHidden="0" w:uiPriority="99"/>
    <w:lsdException w:name="FollowedHyperlink" w:semiHidden="0" w:uiPriority="99"/>
    <w:lsdException w:name="Strong" w:uiPriority="22"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4"/>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next w:val="AspexBodyStandard"/>
    <w:qFormat/>
    <w:rsid w:val="00CD2D61"/>
    <w:pPr>
      <w:spacing w:before="120" w:after="240" w:line="260" w:lineRule="atLeast"/>
    </w:pPr>
    <w:rPr>
      <w:sz w:val="22"/>
      <w:lang w:eastAsia="en-US"/>
    </w:rPr>
  </w:style>
  <w:style w:type="paragraph" w:styleId="Heading1">
    <w:name w:val="heading 1"/>
    <w:basedOn w:val="Normal"/>
    <w:next w:val="AspexBodyStandard"/>
    <w:link w:val="Heading1Char"/>
    <w:autoRedefine/>
    <w:qFormat/>
    <w:rsid w:val="007333CE"/>
    <w:pPr>
      <w:pageBreakBefore/>
      <w:numPr>
        <w:numId w:val="31"/>
      </w:numPr>
      <w:pBdr>
        <w:bottom w:val="single" w:sz="24" w:space="1" w:color="3B98D3"/>
      </w:pBdr>
      <w:shd w:val="clear" w:color="auto" w:fill="3B98D3"/>
      <w:spacing w:before="0" w:line="500" w:lineRule="exact"/>
      <w:ind w:left="851" w:hanging="851"/>
      <w:outlineLvl w:val="0"/>
    </w:pPr>
    <w:rPr>
      <w:color w:val="FFFFFF"/>
      <w:sz w:val="32"/>
    </w:rPr>
  </w:style>
  <w:style w:type="paragraph" w:styleId="Heading2">
    <w:name w:val="heading 2"/>
    <w:next w:val="AspexBodyStandard"/>
    <w:link w:val="Heading2Char"/>
    <w:qFormat/>
    <w:rsid w:val="007333CE"/>
    <w:pPr>
      <w:keepNext/>
      <w:numPr>
        <w:ilvl w:val="1"/>
        <w:numId w:val="31"/>
      </w:numPr>
      <w:spacing w:before="480" w:after="240" w:line="320" w:lineRule="exact"/>
      <w:ind w:left="851" w:hanging="851"/>
      <w:outlineLvl w:val="1"/>
    </w:pPr>
    <w:rPr>
      <w:b/>
      <w:color w:val="000000"/>
      <w:sz w:val="28"/>
      <w:lang w:eastAsia="en-US"/>
    </w:rPr>
  </w:style>
  <w:style w:type="paragraph" w:styleId="Heading3">
    <w:name w:val="heading 3"/>
    <w:basedOn w:val="Heading4"/>
    <w:next w:val="AspexBodyStandard"/>
    <w:link w:val="Heading3Char"/>
    <w:qFormat/>
    <w:rsid w:val="004C32BC"/>
    <w:pPr>
      <w:numPr>
        <w:ilvl w:val="2"/>
        <w:numId w:val="31"/>
      </w:numPr>
      <w:spacing w:after="160"/>
      <w:outlineLvl w:val="2"/>
    </w:pPr>
    <w:rPr>
      <w:b w:val="0"/>
      <w:caps/>
      <w:color w:val="000000"/>
    </w:rPr>
  </w:style>
  <w:style w:type="paragraph" w:styleId="Heading4">
    <w:name w:val="heading 4"/>
    <w:next w:val="AspexBodyStandard"/>
    <w:link w:val="Heading4Char"/>
    <w:qFormat/>
    <w:rsid w:val="00F44503"/>
    <w:pPr>
      <w:spacing w:before="360" w:after="120" w:line="280" w:lineRule="exact"/>
      <w:ind w:hanging="13"/>
      <w:outlineLvl w:val="3"/>
    </w:pPr>
    <w:rPr>
      <w:b/>
      <w:sz w:val="22"/>
    </w:rPr>
  </w:style>
  <w:style w:type="paragraph" w:styleId="Heading5">
    <w:name w:val="heading 5"/>
    <w:basedOn w:val="Heading4"/>
    <w:next w:val="AspexBodyStandard"/>
    <w:link w:val="Heading5Char"/>
    <w:qFormat/>
    <w:rsid w:val="004C32BC"/>
    <w:pPr>
      <w:numPr>
        <w:ilvl w:val="4"/>
        <w:numId w:val="31"/>
      </w:numPr>
      <w:outlineLvl w:val="4"/>
    </w:pPr>
    <w:rPr>
      <w:rFonts w:ascii="Arial Bold" w:hAnsi="Arial Bold"/>
      <w:i/>
    </w:rPr>
  </w:style>
  <w:style w:type="paragraph" w:styleId="Heading6">
    <w:name w:val="heading 6"/>
    <w:basedOn w:val="Normal"/>
    <w:next w:val="Normal"/>
    <w:link w:val="Heading6Char"/>
    <w:uiPriority w:val="99"/>
    <w:qFormat/>
    <w:rsid w:val="004C32BC"/>
    <w:pPr>
      <w:numPr>
        <w:ilvl w:val="5"/>
        <w:numId w:val="31"/>
      </w:numPr>
      <w:outlineLvl w:val="5"/>
    </w:pPr>
  </w:style>
  <w:style w:type="paragraph" w:styleId="Heading7">
    <w:name w:val="heading 7"/>
    <w:basedOn w:val="Normal"/>
    <w:next w:val="Normal"/>
    <w:link w:val="Heading7Char"/>
    <w:uiPriority w:val="99"/>
    <w:qFormat/>
    <w:rsid w:val="004C32BC"/>
    <w:pPr>
      <w:numPr>
        <w:ilvl w:val="6"/>
        <w:numId w:val="31"/>
      </w:numPr>
      <w:outlineLvl w:val="6"/>
    </w:pPr>
  </w:style>
  <w:style w:type="paragraph" w:styleId="Heading8">
    <w:name w:val="heading 8"/>
    <w:basedOn w:val="Normal"/>
    <w:next w:val="Normal"/>
    <w:link w:val="Heading8Char"/>
    <w:uiPriority w:val="99"/>
    <w:qFormat/>
    <w:rsid w:val="004C32BC"/>
    <w:pPr>
      <w:numPr>
        <w:ilvl w:val="7"/>
        <w:numId w:val="31"/>
      </w:numPr>
      <w:outlineLvl w:val="7"/>
    </w:pPr>
  </w:style>
  <w:style w:type="paragraph" w:styleId="Heading9">
    <w:name w:val="heading 9"/>
    <w:basedOn w:val="Normal"/>
    <w:next w:val="Normal"/>
    <w:link w:val="Heading9Char"/>
    <w:uiPriority w:val="99"/>
    <w:qFormat/>
    <w:rsid w:val="004C32BC"/>
    <w:pPr>
      <w:numPr>
        <w:ilvl w:val="8"/>
        <w:numId w:val="3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2372B3"/>
    <w:pPr>
      <w:ind w:left="880"/>
    </w:pPr>
  </w:style>
  <w:style w:type="paragraph" w:customStyle="1" w:styleId="AspexBodyStandard">
    <w:name w:val="Aspex Body Standard"/>
    <w:link w:val="AspexBodyStandardChar"/>
    <w:qFormat/>
    <w:rsid w:val="00052019"/>
    <w:pPr>
      <w:spacing w:before="240" w:after="120"/>
      <w:jc w:val="both"/>
    </w:pPr>
    <w:rPr>
      <w:sz w:val="22"/>
      <w:lang w:eastAsia="en-US"/>
    </w:rPr>
  </w:style>
  <w:style w:type="paragraph" w:customStyle="1" w:styleId="AspexNumberedbullet1">
    <w:name w:val="Aspex Numbered bullet 1"/>
    <w:basedOn w:val="AspexBodyStandard"/>
    <w:uiPriority w:val="1"/>
    <w:qFormat/>
    <w:rsid w:val="00242060"/>
    <w:pPr>
      <w:numPr>
        <w:numId w:val="5"/>
      </w:numPr>
      <w:spacing w:before="120"/>
    </w:pPr>
    <w:rPr>
      <w:rFonts w:cs="Arial"/>
      <w:lang w:val="en-US" w:eastAsia="en-AU"/>
    </w:rPr>
  </w:style>
  <w:style w:type="paragraph" w:customStyle="1" w:styleId="AspexBullet1">
    <w:name w:val="Aspex Bullet 1"/>
    <w:basedOn w:val="AspexBodyStandard"/>
    <w:uiPriority w:val="1"/>
    <w:qFormat/>
    <w:rsid w:val="00052019"/>
    <w:pPr>
      <w:numPr>
        <w:numId w:val="6"/>
      </w:numPr>
      <w:spacing w:before="120"/>
    </w:pPr>
  </w:style>
  <w:style w:type="paragraph" w:customStyle="1" w:styleId="AspexBullet2">
    <w:name w:val="Aspex Bullet 2"/>
    <w:basedOn w:val="AspexBodyStandard"/>
    <w:uiPriority w:val="1"/>
    <w:qFormat/>
    <w:rsid w:val="00052019"/>
    <w:pPr>
      <w:numPr>
        <w:ilvl w:val="1"/>
        <w:numId w:val="6"/>
      </w:numPr>
      <w:tabs>
        <w:tab w:val="clear" w:pos="1117"/>
        <w:tab w:val="num" w:pos="1060"/>
      </w:tabs>
      <w:spacing w:before="60" w:after="60"/>
      <w:ind w:left="567"/>
    </w:pPr>
  </w:style>
  <w:style w:type="paragraph" w:customStyle="1" w:styleId="AspexBullet3">
    <w:name w:val="Aspex Bullet 3"/>
    <w:basedOn w:val="AspexBodyStandard"/>
    <w:uiPriority w:val="1"/>
    <w:qFormat/>
    <w:rsid w:val="00631158"/>
    <w:pPr>
      <w:numPr>
        <w:ilvl w:val="2"/>
        <w:numId w:val="6"/>
      </w:numPr>
      <w:spacing w:before="60" w:after="60"/>
    </w:pPr>
  </w:style>
  <w:style w:type="paragraph" w:styleId="FootnoteText">
    <w:name w:val="footnote text"/>
    <w:basedOn w:val="AspexBodyStandard"/>
    <w:link w:val="FootnoteTextChar"/>
    <w:semiHidden/>
    <w:rsid w:val="00B8732D"/>
    <w:pPr>
      <w:spacing w:before="0" w:after="0"/>
      <w:ind w:left="426" w:hanging="426"/>
      <w:jc w:val="left"/>
    </w:pPr>
    <w:rPr>
      <w:sz w:val="16"/>
    </w:rPr>
  </w:style>
  <w:style w:type="character" w:customStyle="1" w:styleId="FootnoteTextChar">
    <w:name w:val="Footnote Text Char"/>
    <w:basedOn w:val="DefaultParagraphFont"/>
    <w:link w:val="FootnoteText"/>
    <w:semiHidden/>
    <w:rsid w:val="00B8732D"/>
    <w:rPr>
      <w:rFonts w:cs="Times New Roman"/>
      <w:sz w:val="16"/>
      <w:szCs w:val="20"/>
    </w:rPr>
  </w:style>
  <w:style w:type="paragraph" w:customStyle="1" w:styleId="AspexAbbreviationsheading">
    <w:name w:val="Aspex Abbreviations heading"/>
    <w:basedOn w:val="Heading2"/>
    <w:next w:val="AspexBodyStandard"/>
    <w:uiPriority w:val="3"/>
    <w:rsid w:val="00550623"/>
    <w:pPr>
      <w:pageBreakBefore/>
    </w:pPr>
  </w:style>
  <w:style w:type="paragraph" w:customStyle="1" w:styleId="AspexNumberedBullet2">
    <w:name w:val="Aspex Numbered Bullet 2"/>
    <w:basedOn w:val="AspexBodyStandard"/>
    <w:uiPriority w:val="1"/>
    <w:qFormat/>
    <w:rsid w:val="00242060"/>
    <w:pPr>
      <w:numPr>
        <w:ilvl w:val="1"/>
        <w:numId w:val="11"/>
      </w:numPr>
      <w:spacing w:before="60" w:after="60"/>
    </w:pPr>
    <w:rPr>
      <w:rFonts w:cs="Arial"/>
      <w:lang w:val="en-US" w:eastAsia="en-AU"/>
    </w:rPr>
  </w:style>
  <w:style w:type="paragraph" w:customStyle="1" w:styleId="AspexNumberedBullet3">
    <w:name w:val="Aspex Numbered Bullet 3"/>
    <w:basedOn w:val="AspexBodyStandard"/>
    <w:uiPriority w:val="1"/>
    <w:qFormat/>
    <w:rsid w:val="00242060"/>
    <w:pPr>
      <w:numPr>
        <w:ilvl w:val="2"/>
        <w:numId w:val="11"/>
      </w:numPr>
      <w:spacing w:before="60" w:after="60"/>
    </w:pPr>
  </w:style>
  <w:style w:type="table" w:customStyle="1" w:styleId="AspexTable1">
    <w:name w:val="Aspex Table 1"/>
    <w:basedOn w:val="TableNormal"/>
    <w:qFormat/>
    <w:rsid w:val="00B8732D"/>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table" w:customStyle="1" w:styleId="AspexTable2">
    <w:name w:val="Aspex Table 2"/>
    <w:basedOn w:val="TableNormal"/>
    <w:qFormat/>
    <w:rsid w:val="00B8732D"/>
    <w:pPr>
      <w:spacing w:line="260" w:lineRule="atLeast"/>
    </w:pPr>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val="0"/>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spexTable3">
    <w:name w:val="Aspex Table 3"/>
    <w:basedOn w:val="TableNormal"/>
    <w:qFormat/>
    <w:rsid w:val="00497F35"/>
    <w:pPr>
      <w:spacing w:before="60" w:after="60"/>
    </w:pPr>
    <w:tblPr>
      <w:tblStyleRowBandSize w:val="1"/>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0" w:beforeAutospacing="0" w:afterLines="0" w:afterAutospacing="0"/>
      </w:pPr>
      <w:rPr>
        <w:rFonts w:ascii="Arial" w:hAnsi="Arial"/>
        <w:b/>
        <w:i w:val="0"/>
        <w:caps/>
        <w:smallCaps w:val="0"/>
        <w:color w:val="D9D9D9"/>
        <w:sz w:val="20"/>
      </w:rPr>
      <w:tblPr/>
      <w:tcPr>
        <w:tcBorders>
          <w:top w:val="single" w:sz="2" w:space="0" w:color="000000"/>
          <w:left w:val="single" w:sz="2" w:space="0" w:color="000000"/>
          <w:bottom w:val="nil"/>
          <w:right w:val="single" w:sz="2" w:space="0" w:color="000000"/>
          <w:insideH w:val="nil"/>
          <w:insideV w:val="single" w:sz="2" w:space="0" w:color="000000"/>
          <w:tl2br w:val="nil"/>
          <w:tr2bl w:val="nil"/>
        </w:tcBorders>
        <w:shd w:val="clear" w:color="auto" w:fill="3B98D3"/>
      </w:tcPr>
    </w:tblStylePr>
    <w:tblStylePr w:type="band2Horz">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E6E6E6"/>
      </w:tcPr>
    </w:tblStylePr>
  </w:style>
  <w:style w:type="paragraph" w:customStyle="1" w:styleId="AspexTableHeadertext">
    <w:name w:val="Aspex Table Header text"/>
    <w:uiPriority w:val="1"/>
    <w:qFormat/>
    <w:rsid w:val="002372B3"/>
    <w:pPr>
      <w:spacing w:beforeLines="60" w:afterLines="60"/>
    </w:pPr>
    <w:rPr>
      <w:bCs/>
      <w:snapToGrid w:val="0"/>
      <w:color w:val="D9D9D9"/>
      <w:szCs w:val="22"/>
      <w:lang w:eastAsia="en-US"/>
    </w:rPr>
  </w:style>
  <w:style w:type="paragraph" w:customStyle="1" w:styleId="AspexTableHeadertext-Narrow">
    <w:name w:val="Aspex Table Header text - Narrow"/>
    <w:basedOn w:val="AspexTableHeadertext"/>
    <w:uiPriority w:val="1"/>
    <w:qFormat/>
    <w:rsid w:val="002372B3"/>
    <w:pPr>
      <w:spacing w:before="144" w:after="144"/>
    </w:pPr>
    <w:rPr>
      <w:rFonts w:ascii="Arial Narrow" w:hAnsi="Arial Narrow"/>
    </w:rPr>
  </w:style>
  <w:style w:type="paragraph" w:customStyle="1" w:styleId="AspexTableNumberedbullets0">
    <w:name w:val="Aspex Table Numbered bullets"/>
    <w:basedOn w:val="Normal"/>
    <w:autoRedefine/>
    <w:uiPriority w:val="1"/>
    <w:qFormat/>
    <w:rsid w:val="002372B3"/>
    <w:pPr>
      <w:spacing w:line="240" w:lineRule="auto"/>
      <w:ind w:left="284" w:right="284" w:hanging="284"/>
      <w:jc w:val="both"/>
    </w:pPr>
  </w:style>
  <w:style w:type="paragraph" w:customStyle="1" w:styleId="AspexTableText">
    <w:name w:val="Aspex Table Text"/>
    <w:basedOn w:val="AspexBodyStandard"/>
    <w:uiPriority w:val="1"/>
    <w:qFormat/>
    <w:rsid w:val="00F81FAF"/>
    <w:pPr>
      <w:spacing w:before="60" w:after="60"/>
      <w:jc w:val="left"/>
    </w:pPr>
    <w:rPr>
      <w:sz w:val="20"/>
    </w:rPr>
  </w:style>
  <w:style w:type="paragraph" w:customStyle="1" w:styleId="AspexTableText-Narrow">
    <w:name w:val="Aspex Table Text - Narrow"/>
    <w:uiPriority w:val="1"/>
    <w:qFormat/>
    <w:rsid w:val="00F81FAF"/>
    <w:pPr>
      <w:spacing w:before="60" w:after="60"/>
    </w:pPr>
    <w:rPr>
      <w:rFonts w:ascii="Arial Narrow" w:hAnsi="Arial Narrow"/>
      <w:lang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AspexBodyStandard"/>
    <w:uiPriority w:val="99"/>
    <w:qFormat/>
    <w:rsid w:val="00CF3A3C"/>
    <w:pPr>
      <w:tabs>
        <w:tab w:val="left" w:pos="1418"/>
      </w:tabs>
      <w:spacing w:before="240" w:after="120"/>
      <w:ind w:left="1418" w:hanging="1418"/>
    </w:pPr>
    <w:rPr>
      <w:b/>
      <w:bCs/>
    </w:rPr>
  </w:style>
  <w:style w:type="character" w:styleId="Emphasis">
    <w:name w:val="Emphasis"/>
    <w:qFormat/>
    <w:rsid w:val="002372B3"/>
    <w:rPr>
      <w:i/>
    </w:rPr>
  </w:style>
  <w:style w:type="character" w:styleId="FollowedHyperlink">
    <w:name w:val="FollowedHyperlink"/>
    <w:basedOn w:val="DefaultParagraphFont"/>
    <w:uiPriority w:val="99"/>
    <w:semiHidden/>
    <w:rsid w:val="002372B3"/>
    <w:rPr>
      <w:rFonts w:ascii="Arial" w:hAnsi="Arial"/>
      <w:color w:val="800080"/>
      <w:u w:val="single"/>
    </w:rPr>
  </w:style>
  <w:style w:type="paragraph" w:styleId="Footer">
    <w:name w:val="footer"/>
    <w:basedOn w:val="Normal"/>
    <w:link w:val="FooterChar"/>
    <w:uiPriority w:val="99"/>
    <w:rsid w:val="00E230BD"/>
    <w:pPr>
      <w:tabs>
        <w:tab w:val="right" w:pos="8222"/>
      </w:tabs>
      <w:spacing w:before="0" w:after="0"/>
      <w:jc w:val="right"/>
    </w:pPr>
    <w:rPr>
      <w:color w:val="595959"/>
      <w:sz w:val="18"/>
    </w:rPr>
  </w:style>
  <w:style w:type="character" w:customStyle="1" w:styleId="FooterChar">
    <w:name w:val="Footer Char"/>
    <w:basedOn w:val="DefaultParagraphFont"/>
    <w:link w:val="Footer"/>
    <w:uiPriority w:val="99"/>
    <w:rsid w:val="00E230BD"/>
    <w:rPr>
      <w:rFonts w:ascii="Arial" w:hAnsi="Arial" w:cs="Times New Roman"/>
      <w:color w:val="595959"/>
      <w:sz w:val="18"/>
      <w:szCs w:val="20"/>
    </w:rPr>
  </w:style>
  <w:style w:type="character" w:styleId="FootnoteReference">
    <w:name w:val="footnote reference"/>
    <w:basedOn w:val="DefaultParagraphFont"/>
    <w:uiPriority w:val="99"/>
    <w:semiHidden/>
    <w:rsid w:val="002372B3"/>
    <w:rPr>
      <w:rFonts w:ascii="Arial" w:hAnsi="Arial"/>
      <w:vertAlign w:val="superscript"/>
    </w:rPr>
  </w:style>
  <w:style w:type="paragraph" w:styleId="Header">
    <w:name w:val="header"/>
    <w:basedOn w:val="Normal"/>
    <w:link w:val="HeaderChar"/>
    <w:semiHidden/>
    <w:rsid w:val="002372B3"/>
    <w:pPr>
      <w:tabs>
        <w:tab w:val="center" w:pos="4320"/>
        <w:tab w:val="right" w:pos="8640"/>
      </w:tabs>
      <w:spacing w:before="0" w:line="240" w:lineRule="auto"/>
    </w:pPr>
  </w:style>
  <w:style w:type="character" w:customStyle="1" w:styleId="HeaderChar">
    <w:name w:val="Header Char"/>
    <w:basedOn w:val="DefaultParagraphFont"/>
    <w:link w:val="Header"/>
    <w:semiHidden/>
    <w:rsid w:val="009218A4"/>
    <w:rPr>
      <w:rFonts w:ascii="Arial" w:hAnsi="Arial" w:cs="Times New Roman"/>
      <w:szCs w:val="20"/>
    </w:rPr>
  </w:style>
  <w:style w:type="character" w:styleId="Hyperlink">
    <w:name w:val="Hyperlink"/>
    <w:basedOn w:val="DefaultParagraphFont"/>
    <w:uiPriority w:val="99"/>
    <w:rsid w:val="002372B3"/>
    <w:rPr>
      <w:rFonts w:ascii="Arial" w:hAnsi="Arial" w:cs="Arial"/>
      <w:sz w:val="22"/>
      <w:szCs w:val="22"/>
    </w:rPr>
  </w:style>
  <w:style w:type="character" w:styleId="PageNumber">
    <w:name w:val="page number"/>
    <w:basedOn w:val="DefaultParagraphFont"/>
    <w:semiHidden/>
    <w:rsid w:val="002372B3"/>
    <w:rPr>
      <w:rFonts w:ascii="Arial" w:hAnsi="Arial"/>
      <w:sz w:val="22"/>
    </w:rPr>
  </w:style>
  <w:style w:type="character" w:customStyle="1" w:styleId="Heading1Char">
    <w:name w:val="Heading 1 Char"/>
    <w:basedOn w:val="DefaultParagraphFont"/>
    <w:link w:val="Heading1"/>
    <w:rsid w:val="007333CE"/>
    <w:rPr>
      <w:color w:val="FFFFFF"/>
      <w:sz w:val="32"/>
      <w:shd w:val="clear" w:color="auto" w:fill="3B98D3"/>
      <w:lang w:eastAsia="en-US"/>
    </w:rPr>
  </w:style>
  <w:style w:type="character" w:customStyle="1" w:styleId="Heading2Char">
    <w:name w:val="Heading 2 Char"/>
    <w:basedOn w:val="DefaultParagraphFont"/>
    <w:link w:val="Heading2"/>
    <w:rsid w:val="007333CE"/>
    <w:rPr>
      <w:b/>
      <w:color w:val="000000"/>
      <w:sz w:val="28"/>
      <w:lang w:eastAsia="en-US"/>
    </w:rPr>
  </w:style>
  <w:style w:type="character" w:customStyle="1" w:styleId="Heading5Char">
    <w:name w:val="Heading 5 Char"/>
    <w:basedOn w:val="DefaultParagraphFont"/>
    <w:link w:val="Heading5"/>
    <w:rsid w:val="004C32BC"/>
    <w:rPr>
      <w:rFonts w:ascii="Arial Bold" w:hAnsi="Arial Bold"/>
      <w:b/>
      <w:i/>
      <w:sz w:val="22"/>
    </w:rPr>
  </w:style>
  <w:style w:type="character" w:customStyle="1" w:styleId="Heading4Char">
    <w:name w:val="Heading 4 Char"/>
    <w:basedOn w:val="DefaultParagraphFont"/>
    <w:link w:val="Heading4"/>
    <w:rsid w:val="00F44503"/>
    <w:rPr>
      <w:b/>
      <w:sz w:val="22"/>
    </w:rPr>
  </w:style>
  <w:style w:type="character" w:customStyle="1" w:styleId="Heading3Char">
    <w:name w:val="Heading 3 Char"/>
    <w:basedOn w:val="DefaultParagraphFont"/>
    <w:link w:val="Heading3"/>
    <w:rsid w:val="004C32BC"/>
    <w:rPr>
      <w:caps/>
      <w:color w:val="000000"/>
      <w:sz w:val="22"/>
    </w:rPr>
  </w:style>
  <w:style w:type="character" w:customStyle="1" w:styleId="Heading6Char">
    <w:name w:val="Heading 6 Char"/>
    <w:basedOn w:val="DefaultParagraphFont"/>
    <w:link w:val="Heading6"/>
    <w:uiPriority w:val="99"/>
    <w:rsid w:val="004C32BC"/>
    <w:rPr>
      <w:sz w:val="22"/>
      <w:lang w:eastAsia="en-US"/>
    </w:rPr>
  </w:style>
  <w:style w:type="character" w:customStyle="1" w:styleId="Heading7Char">
    <w:name w:val="Heading 7 Char"/>
    <w:basedOn w:val="DefaultParagraphFont"/>
    <w:link w:val="Heading7"/>
    <w:uiPriority w:val="99"/>
    <w:rsid w:val="004C32BC"/>
    <w:rPr>
      <w:sz w:val="22"/>
      <w:lang w:eastAsia="en-US"/>
    </w:rPr>
  </w:style>
  <w:style w:type="character" w:customStyle="1" w:styleId="Heading8Char">
    <w:name w:val="Heading 8 Char"/>
    <w:basedOn w:val="DefaultParagraphFont"/>
    <w:link w:val="Heading8"/>
    <w:uiPriority w:val="99"/>
    <w:rsid w:val="004C32BC"/>
    <w:rPr>
      <w:sz w:val="22"/>
      <w:lang w:eastAsia="en-US"/>
    </w:rPr>
  </w:style>
  <w:style w:type="character" w:customStyle="1" w:styleId="Heading9Char">
    <w:name w:val="Heading 9 Char"/>
    <w:basedOn w:val="DefaultParagraphFont"/>
    <w:link w:val="Heading9"/>
    <w:uiPriority w:val="99"/>
    <w:rsid w:val="004C32BC"/>
    <w:rPr>
      <w:sz w:val="22"/>
      <w:lang w:eastAsia="en-US"/>
    </w:rPr>
  </w:style>
  <w:style w:type="paragraph" w:styleId="Quote">
    <w:name w:val="Quote"/>
    <w:basedOn w:val="Normal"/>
    <w:next w:val="Normal"/>
    <w:link w:val="QuoteChar"/>
    <w:semiHidden/>
    <w:qFormat/>
    <w:rsid w:val="002372B3"/>
    <w:pPr>
      <w:spacing w:after="200"/>
      <w:ind w:left="567"/>
    </w:pPr>
    <w:rPr>
      <w:i/>
      <w:iCs/>
      <w:color w:val="000000"/>
      <w:sz w:val="20"/>
    </w:rPr>
  </w:style>
  <w:style w:type="character" w:customStyle="1" w:styleId="QuoteChar">
    <w:name w:val="Quote Char"/>
    <w:basedOn w:val="DefaultParagraphFont"/>
    <w:link w:val="Quote"/>
    <w:semiHidden/>
    <w:rsid w:val="00CD2D61"/>
    <w:rPr>
      <w:i/>
      <w:iCs/>
      <w:color w:val="000000"/>
      <w:lang w:eastAsia="en-US"/>
    </w:rPr>
  </w:style>
  <w:style w:type="table" w:styleId="TableGrid">
    <w:name w:val="Table Grid"/>
    <w:basedOn w:val="TableNormal"/>
    <w:rsid w:val="002372B3"/>
    <w:rPr>
      <w:rFonts w:ascii="Tms Rmn" w:hAnsi="Tms Rm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rFonts w:ascii="Arial" w:hAnsi="Arial"/>
        <w:sz w:val="20"/>
      </w:rPr>
    </w:tblStylePr>
  </w:style>
  <w:style w:type="paragraph" w:styleId="TableofFigures">
    <w:name w:val="table of figures"/>
    <w:basedOn w:val="AspexBodyStandard"/>
    <w:next w:val="AspexBodyStandard"/>
    <w:uiPriority w:val="99"/>
    <w:rsid w:val="002372B3"/>
    <w:pPr>
      <w:tabs>
        <w:tab w:val="left" w:leader="dot" w:pos="8051"/>
      </w:tabs>
      <w:spacing w:line="280" w:lineRule="atLeast"/>
      <w:ind w:left="851" w:right="1418" w:hanging="851"/>
      <w:jc w:val="left"/>
    </w:pPr>
    <w:rPr>
      <w:noProof/>
      <w:color w:val="595959"/>
    </w:rPr>
  </w:style>
  <w:style w:type="paragraph" w:styleId="TOC1">
    <w:name w:val="toc 1"/>
    <w:basedOn w:val="AspexBodyStandard"/>
    <w:uiPriority w:val="39"/>
    <w:qFormat/>
    <w:rsid w:val="00836AA4"/>
    <w:pPr>
      <w:tabs>
        <w:tab w:val="left" w:pos="567"/>
        <w:tab w:val="left" w:leader="dot" w:pos="8108"/>
      </w:tabs>
      <w:spacing w:before="260"/>
      <w:ind w:left="567" w:right="1191" w:hanging="567"/>
      <w:jc w:val="left"/>
    </w:pPr>
    <w:rPr>
      <w:noProof/>
      <w:sz w:val="24"/>
    </w:rPr>
  </w:style>
  <w:style w:type="paragraph" w:styleId="TOC2">
    <w:name w:val="toc 2"/>
    <w:basedOn w:val="TOC1"/>
    <w:next w:val="TOC1"/>
    <w:uiPriority w:val="39"/>
    <w:qFormat/>
    <w:rsid w:val="00836AA4"/>
    <w:pPr>
      <w:spacing w:before="0"/>
      <w:ind w:firstLine="0"/>
    </w:pPr>
    <w:rPr>
      <w:color w:val="595959"/>
    </w:rPr>
  </w:style>
  <w:style w:type="paragraph" w:styleId="TOC3">
    <w:name w:val="toc 3"/>
    <w:basedOn w:val="TOC2"/>
    <w:uiPriority w:val="39"/>
    <w:rsid w:val="002372B3"/>
    <w:pPr>
      <w:tabs>
        <w:tab w:val="left" w:pos="1418"/>
      </w:tabs>
    </w:pPr>
    <w:rPr>
      <w:sz w:val="22"/>
    </w:rPr>
  </w:style>
  <w:style w:type="paragraph" w:styleId="TOC4">
    <w:name w:val="toc 4"/>
    <w:basedOn w:val="TOC3"/>
    <w:semiHidden/>
    <w:rsid w:val="002372B3"/>
  </w:style>
  <w:style w:type="paragraph" w:styleId="TOCHeading">
    <w:name w:val="TOC Heading"/>
    <w:next w:val="AspexBodyStandard"/>
    <w:uiPriority w:val="39"/>
    <w:qFormat/>
    <w:rsid w:val="002372B3"/>
    <w:pPr>
      <w:keepNext/>
      <w:keepLines/>
      <w:spacing w:before="280" w:after="240"/>
    </w:pPr>
    <w:rPr>
      <w:bCs/>
      <w:caps/>
      <w:color w:val="3B98D3"/>
      <w:sz w:val="28"/>
      <w:szCs w:val="28"/>
      <w:lang w:val="en-US" w:eastAsia="en-US"/>
    </w:rPr>
  </w:style>
  <w:style w:type="character" w:customStyle="1" w:styleId="AspexBodyStandardChar">
    <w:name w:val="Aspex Body Standard Char"/>
    <w:basedOn w:val="DefaultParagraphFont"/>
    <w:link w:val="AspexBodyStandard"/>
    <w:rsid w:val="00052019"/>
    <w:rPr>
      <w:sz w:val="22"/>
      <w:lang w:eastAsia="en-US"/>
    </w:rPr>
  </w:style>
  <w:style w:type="paragraph" w:styleId="BalloonText">
    <w:name w:val="Balloon Text"/>
    <w:basedOn w:val="Normal"/>
    <w:link w:val="BalloonTextChar"/>
    <w:semiHidden/>
    <w:unhideWhenUsed/>
    <w:rsid w:val="002420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420D1"/>
    <w:rPr>
      <w:rFonts w:ascii="Tahoma" w:hAnsi="Tahoma" w:cs="Tahoma"/>
      <w:sz w:val="16"/>
      <w:szCs w:val="16"/>
    </w:rPr>
  </w:style>
  <w:style w:type="paragraph" w:styleId="PlainText">
    <w:name w:val="Plain Text"/>
    <w:basedOn w:val="Normal"/>
    <w:link w:val="PlainTextChar"/>
    <w:uiPriority w:val="99"/>
    <w:semiHidden/>
    <w:unhideWhenUsed/>
    <w:rsid w:val="002372B3"/>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E04128"/>
    <w:rPr>
      <w:rFonts w:ascii="Consolas" w:eastAsia="Calibri" w:hAnsi="Consolas"/>
      <w:sz w:val="21"/>
      <w:szCs w:val="21"/>
    </w:rPr>
  </w:style>
  <w:style w:type="numbering" w:customStyle="1" w:styleId="AspexBulletList">
    <w:name w:val="Aspex Bullet List"/>
    <w:basedOn w:val="NoList"/>
    <w:rsid w:val="002372B3"/>
    <w:pPr>
      <w:numPr>
        <w:numId w:val="1"/>
      </w:numPr>
    </w:pPr>
  </w:style>
  <w:style w:type="paragraph" w:customStyle="1" w:styleId="header-details">
    <w:name w:val="header-details"/>
    <w:semiHidden/>
    <w:qFormat/>
    <w:rsid w:val="002372B3"/>
    <w:pPr>
      <w:spacing w:before="120"/>
      <w:jc w:val="right"/>
    </w:pPr>
    <w:rPr>
      <w:noProof/>
      <w:sz w:val="18"/>
      <w:lang w:val="en-US" w:eastAsia="en-US"/>
    </w:rPr>
  </w:style>
  <w:style w:type="paragraph" w:styleId="ListParagraph">
    <w:name w:val="List Paragraph"/>
    <w:basedOn w:val="Normal"/>
    <w:uiPriority w:val="34"/>
    <w:qFormat/>
    <w:rsid w:val="002372B3"/>
    <w:pPr>
      <w:ind w:left="720"/>
      <w:contextualSpacing/>
    </w:pPr>
  </w:style>
  <w:style w:type="paragraph" w:customStyle="1" w:styleId="AspexTableText-NarrowBullet">
    <w:name w:val="Aspex Table Text - Narrow Bullet"/>
    <w:basedOn w:val="Normal"/>
    <w:qFormat/>
    <w:rsid w:val="00F81FAF"/>
    <w:pPr>
      <w:numPr>
        <w:numId w:val="8"/>
      </w:numPr>
      <w:spacing w:before="0" w:after="60" w:line="240" w:lineRule="auto"/>
    </w:pPr>
    <w:rPr>
      <w:rFonts w:ascii="Arial Narrow" w:hAnsi="Arial Narrow"/>
      <w:sz w:val="20"/>
    </w:rPr>
  </w:style>
  <w:style w:type="paragraph" w:customStyle="1" w:styleId="AspexTableText-Bullet">
    <w:name w:val="Aspex Table Text - Bullet"/>
    <w:basedOn w:val="Normal"/>
    <w:uiPriority w:val="1"/>
    <w:qFormat/>
    <w:rsid w:val="00F81FAF"/>
    <w:pPr>
      <w:numPr>
        <w:numId w:val="7"/>
      </w:numPr>
      <w:spacing w:before="0" w:after="60" w:line="240" w:lineRule="auto"/>
    </w:pPr>
    <w:rPr>
      <w:sz w:val="20"/>
    </w:rPr>
  </w:style>
  <w:style w:type="paragraph" w:styleId="TOC6">
    <w:name w:val="toc 6"/>
    <w:basedOn w:val="Normal"/>
    <w:next w:val="Normal"/>
    <w:semiHidden/>
    <w:rsid w:val="002372B3"/>
    <w:pPr>
      <w:ind w:left="1100"/>
    </w:pPr>
  </w:style>
  <w:style w:type="paragraph" w:styleId="TOC7">
    <w:name w:val="toc 7"/>
    <w:basedOn w:val="Normal"/>
    <w:next w:val="Normal"/>
    <w:semiHidden/>
    <w:rsid w:val="002372B3"/>
    <w:pPr>
      <w:ind w:left="1320"/>
    </w:pPr>
  </w:style>
  <w:style w:type="paragraph" w:styleId="TOC8">
    <w:name w:val="toc 8"/>
    <w:basedOn w:val="Normal"/>
    <w:next w:val="Normal"/>
    <w:semiHidden/>
    <w:rsid w:val="002372B3"/>
    <w:pPr>
      <w:ind w:left="1540"/>
    </w:pPr>
  </w:style>
  <w:style w:type="paragraph" w:styleId="TOC9">
    <w:name w:val="toc 9"/>
    <w:basedOn w:val="Normal"/>
    <w:next w:val="Normal"/>
    <w:semiHidden/>
    <w:rsid w:val="002372B3"/>
    <w:pPr>
      <w:ind w:left="1760"/>
    </w:pPr>
  </w:style>
  <w:style w:type="paragraph" w:customStyle="1" w:styleId="AspexAppendixlevel1">
    <w:name w:val="Aspex Appendix level 1"/>
    <w:next w:val="AspexBodyStandard"/>
    <w:uiPriority w:val="2"/>
    <w:qFormat/>
    <w:rsid w:val="00550623"/>
    <w:pPr>
      <w:pageBreakBefore/>
      <w:numPr>
        <w:numId w:val="9"/>
      </w:numPr>
      <w:pBdr>
        <w:left w:val="single" w:sz="24" w:space="4" w:color="3B98D3"/>
        <w:bottom w:val="single" w:sz="24" w:space="1" w:color="3B98D3"/>
      </w:pBdr>
      <w:shd w:val="clear" w:color="auto" w:fill="3B98D3"/>
      <w:spacing w:before="360" w:after="240" w:line="500" w:lineRule="exact"/>
    </w:pPr>
    <w:rPr>
      <w:color w:val="FFFFFF"/>
      <w:sz w:val="32"/>
      <w:lang w:eastAsia="en-US"/>
    </w:rPr>
  </w:style>
  <w:style w:type="paragraph" w:customStyle="1" w:styleId="AspexAppendixLevel2">
    <w:name w:val="Aspex Appendix Level 2"/>
    <w:next w:val="AspexBodyStandard"/>
    <w:uiPriority w:val="2"/>
    <w:qFormat/>
    <w:rsid w:val="00CF6C19"/>
    <w:pPr>
      <w:numPr>
        <w:ilvl w:val="1"/>
        <w:numId w:val="9"/>
      </w:numPr>
      <w:spacing w:before="480" w:after="240"/>
    </w:pPr>
    <w:rPr>
      <w:b/>
      <w:color w:val="000000"/>
      <w:sz w:val="28"/>
      <w:lang w:eastAsia="en-US"/>
    </w:rPr>
  </w:style>
  <w:style w:type="paragraph" w:customStyle="1" w:styleId="AspexClientname">
    <w:name w:val="Aspex Client name"/>
    <w:basedOn w:val="Normal"/>
    <w:uiPriority w:val="3"/>
    <w:qFormat/>
    <w:rsid w:val="002372B3"/>
    <w:pPr>
      <w:ind w:left="-170"/>
      <w:jc w:val="center"/>
    </w:pPr>
    <w:rPr>
      <w:sz w:val="36"/>
      <w:szCs w:val="36"/>
    </w:rPr>
  </w:style>
  <w:style w:type="table" w:customStyle="1" w:styleId="Aspexhilightbox">
    <w:name w:val="Aspex hilight box"/>
    <w:basedOn w:val="TableGrid"/>
    <w:qFormat/>
    <w:rsid w:val="00095ACD"/>
    <w:pPr>
      <w:spacing w:before="60" w:after="60"/>
      <w:ind w:left="567" w:right="567"/>
      <w:jc w:val="center"/>
    </w:pPr>
    <w:rPr>
      <w:rFonts w:ascii="Arial" w:hAnsi="Arial"/>
      <w:color w:val="3B98D3"/>
      <w:sz w:val="22"/>
    </w:rPr>
    <w:tblPr>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108" w:type="dxa"/>
        <w:bottom w:w="57" w:type="dxa"/>
        <w:right w:w="108" w:type="dxa"/>
      </w:tblCellMar>
    </w:tblPr>
    <w:trPr>
      <w:jc w:val="center"/>
    </w:trPr>
    <w:tcPr>
      <w:shd w:val="clear" w:color="auto" w:fill="E6E6E6"/>
      <w:vAlign w:val="center"/>
    </w:tcPr>
    <w:tblStylePr w:type="firstRow">
      <w:pPr>
        <w:wordWrap/>
        <w:jc w:val="center"/>
      </w:pPr>
      <w:rPr>
        <w:rFonts w:ascii="Arial" w:hAnsi="Arial"/>
        <w:sz w:val="20"/>
      </w:rPr>
    </w:tblStylePr>
  </w:style>
  <w:style w:type="numbering" w:customStyle="1" w:styleId="AspexnumberedbulletList">
    <w:name w:val="Aspex numbered bullet List"/>
    <w:basedOn w:val="NoList"/>
    <w:rsid w:val="0037711B"/>
    <w:pPr>
      <w:numPr>
        <w:numId w:val="5"/>
      </w:numPr>
    </w:pPr>
  </w:style>
  <w:style w:type="paragraph" w:customStyle="1" w:styleId="AspexPrelimHeading">
    <w:name w:val="Aspex Prelim Heading"/>
    <w:next w:val="AspexBodyStandard"/>
    <w:uiPriority w:val="3"/>
    <w:qFormat/>
    <w:rsid w:val="002372B3"/>
    <w:pPr>
      <w:spacing w:before="120" w:after="80" w:line="400" w:lineRule="exact"/>
    </w:pPr>
    <w:rPr>
      <w:b/>
      <w:color w:val="7F7F7F"/>
      <w:lang w:eastAsia="en-US"/>
    </w:rPr>
  </w:style>
  <w:style w:type="paragraph" w:customStyle="1" w:styleId="AspexPrelimtext">
    <w:name w:val="Aspex Prelim text"/>
    <w:basedOn w:val="AspexBodyStandard"/>
    <w:uiPriority w:val="3"/>
    <w:qFormat/>
    <w:rsid w:val="002372B3"/>
    <w:rPr>
      <w:color w:val="7F7F7F"/>
      <w:sz w:val="18"/>
    </w:rPr>
  </w:style>
  <w:style w:type="table" w:customStyle="1" w:styleId="AspexTable4">
    <w:name w:val="Aspex Table 4"/>
    <w:basedOn w:val="AspexTable2"/>
    <w:qFormat/>
    <w:rsid w:val="00B8732D"/>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Arial Narrow" w:hAnsi="Arial Narrow"/>
        <w:b/>
        <w:bCs/>
        <w:i w:val="0"/>
        <w:caps/>
        <w:smallCaps w:val="0"/>
        <w:color w:val="FFFFFF"/>
        <w:sz w:val="20"/>
      </w:rPr>
      <w:tblPr/>
      <w:tcPr>
        <w:tcBorders>
          <w:tl2br w:val="none" w:sz="0" w:space="0" w:color="auto"/>
          <w:tr2bl w:val="none" w:sz="0" w:space="0" w:color="auto"/>
        </w:tcBorders>
        <w:shd w:val="clear" w:color="auto" w:fill="3B98D3"/>
      </w:tcPr>
    </w:tblStylePr>
    <w:tblStylePr w:type="lastCol">
      <w:tblPr/>
      <w:tcPr>
        <w:shd w:val="clear" w:color="auto" w:fill="D9D9D9"/>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spexTableNumberedBullets">
    <w:name w:val="Aspex Table Numbered Bullets"/>
    <w:basedOn w:val="Normal"/>
    <w:autoRedefine/>
    <w:uiPriority w:val="1"/>
    <w:qFormat/>
    <w:rsid w:val="002372B3"/>
    <w:pPr>
      <w:numPr>
        <w:numId w:val="2"/>
      </w:numPr>
      <w:spacing w:line="240" w:lineRule="auto"/>
      <w:ind w:right="284"/>
      <w:jc w:val="both"/>
    </w:pPr>
  </w:style>
  <w:style w:type="paragraph" w:customStyle="1" w:styleId="AspexTableText-NarrowBullet2">
    <w:name w:val="Aspex Table Text - Narrow Bullet 2"/>
    <w:basedOn w:val="Normal"/>
    <w:qFormat/>
    <w:rsid w:val="00F81FAF"/>
    <w:pPr>
      <w:numPr>
        <w:ilvl w:val="1"/>
        <w:numId w:val="8"/>
      </w:numPr>
      <w:spacing w:before="60" w:after="60" w:line="240" w:lineRule="auto"/>
    </w:pPr>
    <w:rPr>
      <w:rFonts w:ascii="Arial Narrow" w:hAnsi="Arial Narrow"/>
      <w:sz w:val="20"/>
    </w:rPr>
  </w:style>
  <w:style w:type="paragraph" w:customStyle="1" w:styleId="AspexTableText-NarrowBullet3">
    <w:name w:val="Aspex Table Text - Narrow Bullet 3"/>
    <w:basedOn w:val="Normal"/>
    <w:qFormat/>
    <w:rsid w:val="00F81FAF"/>
    <w:pPr>
      <w:numPr>
        <w:ilvl w:val="2"/>
        <w:numId w:val="8"/>
      </w:numPr>
      <w:spacing w:before="60" w:after="60" w:line="240" w:lineRule="auto"/>
    </w:pPr>
    <w:rPr>
      <w:rFonts w:ascii="Arial Narrow" w:hAnsi="Arial Narrow"/>
      <w:sz w:val="20"/>
    </w:rPr>
  </w:style>
  <w:style w:type="numbering" w:customStyle="1" w:styleId="AspexTableText-NarrowBulletList">
    <w:name w:val="Aspex Table Text - Narrow Bullet List"/>
    <w:basedOn w:val="NoList"/>
    <w:rsid w:val="002372B3"/>
    <w:pPr>
      <w:numPr>
        <w:numId w:val="3"/>
      </w:numPr>
    </w:pPr>
  </w:style>
  <w:style w:type="paragraph" w:customStyle="1" w:styleId="Default">
    <w:name w:val="Default"/>
    <w:basedOn w:val="AspexBodyStandard"/>
    <w:next w:val="AspexBodyStandard"/>
    <w:semiHidden/>
    <w:rsid w:val="002372B3"/>
  </w:style>
  <w:style w:type="table" w:styleId="MediumGrid1-Accent1">
    <w:name w:val="Medium Grid 1 Accent 1"/>
    <w:basedOn w:val="TableNormal"/>
    <w:uiPriority w:val="67"/>
    <w:rsid w:val="00845266"/>
    <w:rPr>
      <w:rFonts w:eastAsia="Calibri"/>
      <w:lang w:val="en-US"/>
    </w:rPr>
    <w:tblPr>
      <w:tblStyleRowBandSize w:val="1"/>
      <w:tblStyleColBandSize w:val="1"/>
      <w:tblInd w:w="0" w:type="dxa"/>
      <w:tblBorders>
        <w:top w:val="single" w:sz="8" w:space="0" w:color="C3C3C3"/>
        <w:left w:val="single" w:sz="8" w:space="0" w:color="C3C3C3"/>
        <w:bottom w:val="single" w:sz="8" w:space="0" w:color="C3C3C3"/>
        <w:right w:val="single" w:sz="8" w:space="0" w:color="C3C3C3"/>
        <w:insideH w:val="single" w:sz="8" w:space="0" w:color="C3C3C3"/>
        <w:insideV w:val="single" w:sz="8" w:space="0" w:color="C3C3C3"/>
      </w:tblBorders>
      <w:tblCellMar>
        <w:top w:w="0" w:type="dxa"/>
        <w:left w:w="108" w:type="dxa"/>
        <w:bottom w:w="0" w:type="dxa"/>
        <w:right w:w="108" w:type="dxa"/>
      </w:tblCellMar>
    </w:tblPr>
    <w:tcPr>
      <w:shd w:val="clear" w:color="auto" w:fill="EBEBEB"/>
    </w:tcPr>
    <w:tblStylePr w:type="firstRow">
      <w:rPr>
        <w:b/>
        <w:bCs/>
      </w:rPr>
    </w:tblStylePr>
    <w:tblStylePr w:type="lastRow">
      <w:rPr>
        <w:b/>
        <w:bCs/>
      </w:rPr>
      <w:tblPr/>
      <w:tcPr>
        <w:tcBorders>
          <w:top w:val="single" w:sz="18" w:space="0" w:color="C3C3C3"/>
        </w:tcBorders>
      </w:tcPr>
    </w:tblStylePr>
    <w:tblStylePr w:type="firstCol">
      <w:rPr>
        <w:b/>
        <w:bCs/>
      </w:rPr>
    </w:tblStylePr>
    <w:tblStylePr w:type="lastCol">
      <w:rPr>
        <w:b/>
        <w:bCs/>
      </w:rPr>
    </w:tblStylePr>
    <w:tblStylePr w:type="band1Vert">
      <w:tblPr/>
      <w:tcPr>
        <w:shd w:val="clear" w:color="auto" w:fill="D7D7D7"/>
      </w:tcPr>
    </w:tblStylePr>
    <w:tblStylePr w:type="band1Horz">
      <w:tblPr/>
      <w:tcPr>
        <w:shd w:val="clear" w:color="auto" w:fill="D7D7D7"/>
      </w:tcPr>
    </w:tblStylePr>
  </w:style>
  <w:style w:type="paragraph" w:customStyle="1" w:styleId="AspexReportTitle">
    <w:name w:val="Aspex Report Title"/>
    <w:next w:val="AspexVersion"/>
    <w:uiPriority w:val="3"/>
    <w:qFormat/>
    <w:rsid w:val="00836AA4"/>
    <w:pPr>
      <w:spacing w:before="120" w:after="240"/>
      <w:ind w:left="567"/>
      <w:jc w:val="center"/>
    </w:pPr>
    <w:rPr>
      <w:sz w:val="52"/>
      <w:szCs w:val="52"/>
      <w:lang w:eastAsia="en-US"/>
    </w:rPr>
  </w:style>
  <w:style w:type="paragraph" w:customStyle="1" w:styleId="AspexVersion">
    <w:name w:val="Aspex Version"/>
    <w:next w:val="AspexDate"/>
    <w:uiPriority w:val="3"/>
    <w:qFormat/>
    <w:rsid w:val="006478D9"/>
    <w:pPr>
      <w:spacing w:before="120" w:after="240"/>
      <w:ind w:left="567"/>
      <w:jc w:val="center"/>
    </w:pPr>
    <w:rPr>
      <w:sz w:val="36"/>
      <w:szCs w:val="36"/>
      <w:lang w:eastAsia="en-US"/>
    </w:rPr>
  </w:style>
  <w:style w:type="paragraph" w:customStyle="1" w:styleId="AspexDate">
    <w:name w:val="Aspex Date"/>
    <w:uiPriority w:val="3"/>
    <w:qFormat/>
    <w:rsid w:val="006478D9"/>
    <w:pPr>
      <w:spacing w:before="120" w:after="240"/>
      <w:ind w:left="567"/>
      <w:jc w:val="center"/>
    </w:pPr>
    <w:rPr>
      <w:sz w:val="22"/>
      <w:lang w:eastAsia="en-US"/>
    </w:rPr>
  </w:style>
  <w:style w:type="character" w:styleId="PlaceholderText">
    <w:name w:val="Placeholder Text"/>
    <w:basedOn w:val="DefaultParagraphFont"/>
    <w:uiPriority w:val="4"/>
    <w:rsid w:val="00152F38"/>
    <w:rPr>
      <w:color w:val="808080"/>
    </w:rPr>
  </w:style>
  <w:style w:type="paragraph" w:customStyle="1" w:styleId="AspexAbbreviations">
    <w:name w:val="Aspex Abbreviations"/>
    <w:uiPriority w:val="3"/>
    <w:rsid w:val="00A66B66"/>
    <w:pPr>
      <w:tabs>
        <w:tab w:val="left" w:pos="1418"/>
      </w:tabs>
      <w:spacing w:before="120" w:after="240"/>
    </w:pPr>
    <w:rPr>
      <w:sz w:val="22"/>
      <w:lang w:eastAsia="en-US"/>
    </w:rPr>
  </w:style>
  <w:style w:type="paragraph" w:customStyle="1" w:styleId="AspexHighlightText">
    <w:name w:val="Aspex Highlight Text"/>
    <w:uiPriority w:val="4"/>
    <w:qFormat/>
    <w:rsid w:val="00586F91"/>
    <w:pPr>
      <w:spacing w:before="120" w:after="240"/>
      <w:ind w:left="567" w:right="567"/>
      <w:jc w:val="center"/>
    </w:pPr>
    <w:rPr>
      <w:color w:val="3B98D3"/>
    </w:rPr>
  </w:style>
  <w:style w:type="paragraph" w:customStyle="1" w:styleId="AspexTOFHeading">
    <w:name w:val="Aspex TOF Heading"/>
    <w:uiPriority w:val="3"/>
    <w:qFormat/>
    <w:rsid w:val="00CE7E0C"/>
    <w:pPr>
      <w:spacing w:before="360" w:after="240"/>
    </w:pPr>
    <w:rPr>
      <w:b/>
      <w:sz w:val="22"/>
      <w:lang w:eastAsia="en-US"/>
    </w:rPr>
  </w:style>
  <w:style w:type="paragraph" w:styleId="EndnoteText">
    <w:name w:val="endnote text"/>
    <w:basedOn w:val="Normal"/>
    <w:link w:val="EndnoteTextChar"/>
    <w:semiHidden/>
    <w:rsid w:val="00811645"/>
    <w:pPr>
      <w:spacing w:before="0" w:after="0" w:line="240" w:lineRule="auto"/>
    </w:pPr>
    <w:rPr>
      <w:sz w:val="20"/>
    </w:rPr>
  </w:style>
  <w:style w:type="character" w:customStyle="1" w:styleId="EndnoteTextChar">
    <w:name w:val="Endnote Text Char"/>
    <w:basedOn w:val="DefaultParagraphFont"/>
    <w:link w:val="EndnoteText"/>
    <w:semiHidden/>
    <w:rsid w:val="00811645"/>
    <w:rPr>
      <w:rFonts w:cs="Times New Roman"/>
      <w:sz w:val="20"/>
      <w:szCs w:val="20"/>
    </w:rPr>
  </w:style>
  <w:style w:type="character" w:styleId="EndnoteReference">
    <w:name w:val="endnote reference"/>
    <w:basedOn w:val="DefaultParagraphFont"/>
    <w:semiHidden/>
    <w:rsid w:val="00811645"/>
    <w:rPr>
      <w:vertAlign w:val="superscript"/>
    </w:rPr>
  </w:style>
  <w:style w:type="paragraph" w:customStyle="1" w:styleId="AspexClientName0">
    <w:name w:val="Aspex Client Name"/>
    <w:basedOn w:val="AspexReportTitle"/>
    <w:uiPriority w:val="4"/>
    <w:qFormat/>
    <w:rsid w:val="00836AA4"/>
    <w:rPr>
      <w:sz w:val="36"/>
    </w:rPr>
  </w:style>
  <w:style w:type="paragraph" w:customStyle="1" w:styleId="AspexAppendixLevel3">
    <w:name w:val="Aspex Appendix Level 3"/>
    <w:uiPriority w:val="2"/>
    <w:qFormat/>
    <w:rsid w:val="0052681A"/>
    <w:pPr>
      <w:numPr>
        <w:ilvl w:val="2"/>
        <w:numId w:val="9"/>
      </w:numPr>
      <w:spacing w:before="360" w:after="160" w:line="280" w:lineRule="exact"/>
    </w:pPr>
    <w:rPr>
      <w:sz w:val="22"/>
      <w:lang w:eastAsia="en-US"/>
    </w:rPr>
  </w:style>
  <w:style w:type="paragraph" w:customStyle="1" w:styleId="AspexAppendixLevel4">
    <w:name w:val="Aspex Appendix Level 4"/>
    <w:uiPriority w:val="2"/>
    <w:qFormat/>
    <w:rsid w:val="0052681A"/>
    <w:pPr>
      <w:spacing w:before="360" w:after="120" w:line="280" w:lineRule="exact"/>
    </w:pPr>
    <w:rPr>
      <w:b/>
      <w:sz w:val="22"/>
      <w:lang w:eastAsia="en-US"/>
    </w:rPr>
  </w:style>
  <w:style w:type="character" w:styleId="IntenseEmphasis">
    <w:name w:val="Intense Emphasis"/>
    <w:basedOn w:val="DefaultParagraphFont"/>
    <w:uiPriority w:val="21"/>
    <w:qFormat/>
    <w:rsid w:val="00E7483D"/>
    <w:rPr>
      <w:b/>
      <w:bCs/>
      <w:i/>
      <w:iCs/>
      <w:color w:val="4F81BD" w:themeColor="accent1"/>
    </w:rPr>
  </w:style>
  <w:style w:type="paragraph" w:styleId="IntenseQuote">
    <w:name w:val="Intense Quote"/>
    <w:basedOn w:val="Normal"/>
    <w:next w:val="Normal"/>
    <w:link w:val="IntenseQuoteChar"/>
    <w:uiPriority w:val="30"/>
    <w:qFormat/>
    <w:rsid w:val="00E7483D"/>
    <w:pPr>
      <w:pBdr>
        <w:bottom w:val="single" w:sz="4" w:space="4" w:color="4F81BD" w:themeColor="accent1"/>
      </w:pBdr>
      <w:spacing w:before="360" w:after="280"/>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E7483D"/>
    <w:rPr>
      <w:b/>
      <w:bCs/>
      <w:i/>
      <w:iCs/>
      <w:color w:val="4F81BD" w:themeColor="accent1"/>
      <w:sz w:val="22"/>
      <w:lang w:eastAsia="en-US"/>
    </w:rPr>
  </w:style>
  <w:style w:type="table" w:customStyle="1" w:styleId="GridTable6Colorful1">
    <w:name w:val="Grid Table 6 Colorful1"/>
    <w:basedOn w:val="TableNormal"/>
    <w:uiPriority w:val="51"/>
    <w:rsid w:val="00EF219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ighlight">
    <w:name w:val="highlight"/>
    <w:basedOn w:val="DefaultParagraphFont"/>
    <w:rsid w:val="00EF2196"/>
  </w:style>
  <w:style w:type="paragraph" w:customStyle="1" w:styleId="xl65">
    <w:name w:val="xl65"/>
    <w:basedOn w:val="Normal"/>
    <w:rsid w:val="0040000F"/>
    <w:pPr>
      <w:spacing w:before="100" w:beforeAutospacing="1" w:after="100" w:afterAutospacing="1" w:line="240" w:lineRule="auto"/>
      <w:jc w:val="center"/>
    </w:pPr>
    <w:rPr>
      <w:rFonts w:ascii="Times" w:hAnsi="Times"/>
      <w:sz w:val="20"/>
    </w:rPr>
  </w:style>
  <w:style w:type="paragraph" w:customStyle="1" w:styleId="xl66">
    <w:name w:val="xl66"/>
    <w:basedOn w:val="Normal"/>
    <w:rsid w:val="0040000F"/>
    <w:pPr>
      <w:spacing w:before="100" w:beforeAutospacing="1" w:after="100" w:afterAutospacing="1" w:line="240" w:lineRule="auto"/>
      <w:jc w:val="center"/>
    </w:pPr>
    <w:rPr>
      <w:rFonts w:ascii="Times" w:hAnsi="Times"/>
      <w:sz w:val="20"/>
    </w:rPr>
  </w:style>
  <w:style w:type="character" w:styleId="Strong">
    <w:name w:val="Strong"/>
    <w:basedOn w:val="DefaultParagraphFont"/>
    <w:uiPriority w:val="22"/>
    <w:qFormat/>
    <w:rsid w:val="005A2327"/>
    <w:rPr>
      <w:b/>
      <w:bCs/>
    </w:rPr>
  </w:style>
  <w:style w:type="paragraph" w:styleId="NormalWeb">
    <w:name w:val="Normal (Web)"/>
    <w:basedOn w:val="Normal"/>
    <w:uiPriority w:val="99"/>
    <w:unhideWhenUsed/>
    <w:rsid w:val="009D5FB4"/>
    <w:pPr>
      <w:spacing w:before="100" w:beforeAutospacing="1" w:after="100" w:afterAutospacing="1" w:line="240" w:lineRule="auto"/>
    </w:pPr>
    <w:rPr>
      <w:rFonts w:ascii="Times New Roman" w:hAnsi="Times New Roman"/>
      <w:color w:val="000000"/>
      <w:sz w:val="24"/>
      <w:lang w:eastAsia="en-AU"/>
    </w:rPr>
  </w:style>
  <w:style w:type="character" w:styleId="CommentReference">
    <w:name w:val="annotation reference"/>
    <w:basedOn w:val="DefaultParagraphFont"/>
    <w:semiHidden/>
    <w:rsid w:val="003B7CD2"/>
    <w:rPr>
      <w:sz w:val="18"/>
      <w:szCs w:val="18"/>
    </w:rPr>
  </w:style>
  <w:style w:type="paragraph" w:styleId="CommentText">
    <w:name w:val="annotation text"/>
    <w:basedOn w:val="Normal"/>
    <w:link w:val="CommentTextChar"/>
    <w:semiHidden/>
    <w:rsid w:val="003B7CD2"/>
    <w:pPr>
      <w:spacing w:line="240" w:lineRule="auto"/>
    </w:pPr>
    <w:rPr>
      <w:sz w:val="24"/>
    </w:rPr>
  </w:style>
  <w:style w:type="character" w:customStyle="1" w:styleId="CommentTextChar">
    <w:name w:val="Comment Text Char"/>
    <w:basedOn w:val="DefaultParagraphFont"/>
    <w:link w:val="CommentText"/>
    <w:semiHidden/>
    <w:rsid w:val="003B7CD2"/>
    <w:rPr>
      <w:sz w:val="24"/>
      <w:szCs w:val="24"/>
      <w:lang w:eastAsia="en-US"/>
    </w:rPr>
  </w:style>
  <w:style w:type="paragraph" w:styleId="CommentSubject">
    <w:name w:val="annotation subject"/>
    <w:basedOn w:val="CommentText"/>
    <w:next w:val="CommentText"/>
    <w:link w:val="CommentSubjectChar"/>
    <w:semiHidden/>
    <w:rsid w:val="0058273B"/>
    <w:rPr>
      <w:b/>
      <w:bCs/>
      <w:sz w:val="20"/>
      <w:szCs w:val="20"/>
    </w:rPr>
  </w:style>
  <w:style w:type="character" w:customStyle="1" w:styleId="CommentSubjectChar">
    <w:name w:val="Comment Subject Char"/>
    <w:basedOn w:val="CommentTextChar"/>
    <w:link w:val="CommentSubject"/>
    <w:semiHidden/>
    <w:rsid w:val="0058273B"/>
    <w:rPr>
      <w:b/>
      <w:bCs/>
      <w:sz w:val="24"/>
      <w:szCs w:val="24"/>
      <w:lang w:eastAsia="en-US"/>
    </w:rPr>
  </w:style>
  <w:style w:type="character" w:customStyle="1" w:styleId="ref-journal">
    <w:name w:val="ref-journal"/>
    <w:basedOn w:val="DefaultParagraphFont"/>
    <w:rsid w:val="00C34C76"/>
  </w:style>
  <w:style w:type="character" w:customStyle="1" w:styleId="ref-vol">
    <w:name w:val="ref-vol"/>
    <w:basedOn w:val="DefaultParagraphFont"/>
    <w:rsid w:val="00C34C76"/>
  </w:style>
  <w:style w:type="paragraph" w:styleId="Revision">
    <w:name w:val="Revision"/>
    <w:hidden/>
    <w:uiPriority w:val="99"/>
    <w:semiHidden/>
    <w:rsid w:val="005A58C3"/>
    <w:rPr>
      <w:sz w:val="22"/>
      <w:lang w:eastAsia="en-US"/>
    </w:rPr>
  </w:style>
  <w:style w:type="character" w:customStyle="1" w:styleId="st">
    <w:name w:val="st"/>
    <w:basedOn w:val="DefaultParagraphFont"/>
    <w:rsid w:val="005A7965"/>
  </w:style>
  <w:style w:type="paragraph" w:styleId="DocumentMap">
    <w:name w:val="Document Map"/>
    <w:basedOn w:val="Normal"/>
    <w:link w:val="DocumentMapChar"/>
    <w:semiHidden/>
    <w:unhideWhenUsed/>
    <w:rsid w:val="00C32D0A"/>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semiHidden/>
    <w:rsid w:val="00C32D0A"/>
    <w:rPr>
      <w:rFonts w:ascii="Lucida Grande" w:hAnsi="Lucida Grande" w:cs="Lucida Grand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9672">
      <w:bodyDiv w:val="1"/>
      <w:marLeft w:val="0"/>
      <w:marRight w:val="0"/>
      <w:marTop w:val="0"/>
      <w:marBottom w:val="0"/>
      <w:divBdr>
        <w:top w:val="none" w:sz="0" w:space="0" w:color="auto"/>
        <w:left w:val="none" w:sz="0" w:space="0" w:color="auto"/>
        <w:bottom w:val="none" w:sz="0" w:space="0" w:color="auto"/>
        <w:right w:val="none" w:sz="0" w:space="0" w:color="auto"/>
      </w:divBdr>
    </w:div>
    <w:div w:id="18942358">
      <w:bodyDiv w:val="1"/>
      <w:marLeft w:val="0"/>
      <w:marRight w:val="0"/>
      <w:marTop w:val="0"/>
      <w:marBottom w:val="0"/>
      <w:divBdr>
        <w:top w:val="none" w:sz="0" w:space="0" w:color="auto"/>
        <w:left w:val="none" w:sz="0" w:space="0" w:color="auto"/>
        <w:bottom w:val="none" w:sz="0" w:space="0" w:color="auto"/>
        <w:right w:val="none" w:sz="0" w:space="0" w:color="auto"/>
      </w:divBdr>
    </w:div>
    <w:div w:id="76824135">
      <w:bodyDiv w:val="1"/>
      <w:marLeft w:val="0"/>
      <w:marRight w:val="0"/>
      <w:marTop w:val="0"/>
      <w:marBottom w:val="0"/>
      <w:divBdr>
        <w:top w:val="none" w:sz="0" w:space="0" w:color="auto"/>
        <w:left w:val="none" w:sz="0" w:space="0" w:color="auto"/>
        <w:bottom w:val="none" w:sz="0" w:space="0" w:color="auto"/>
        <w:right w:val="none" w:sz="0" w:space="0" w:color="auto"/>
      </w:divBdr>
    </w:div>
    <w:div w:id="132720618">
      <w:bodyDiv w:val="1"/>
      <w:marLeft w:val="0"/>
      <w:marRight w:val="0"/>
      <w:marTop w:val="0"/>
      <w:marBottom w:val="0"/>
      <w:divBdr>
        <w:top w:val="none" w:sz="0" w:space="0" w:color="auto"/>
        <w:left w:val="none" w:sz="0" w:space="0" w:color="auto"/>
        <w:bottom w:val="none" w:sz="0" w:space="0" w:color="auto"/>
        <w:right w:val="none" w:sz="0" w:space="0" w:color="auto"/>
      </w:divBdr>
    </w:div>
    <w:div w:id="275186549">
      <w:bodyDiv w:val="1"/>
      <w:marLeft w:val="0"/>
      <w:marRight w:val="0"/>
      <w:marTop w:val="0"/>
      <w:marBottom w:val="0"/>
      <w:divBdr>
        <w:top w:val="none" w:sz="0" w:space="0" w:color="auto"/>
        <w:left w:val="none" w:sz="0" w:space="0" w:color="auto"/>
        <w:bottom w:val="none" w:sz="0" w:space="0" w:color="auto"/>
        <w:right w:val="none" w:sz="0" w:space="0" w:color="auto"/>
      </w:divBdr>
    </w:div>
    <w:div w:id="302125301">
      <w:bodyDiv w:val="1"/>
      <w:marLeft w:val="0"/>
      <w:marRight w:val="0"/>
      <w:marTop w:val="0"/>
      <w:marBottom w:val="0"/>
      <w:divBdr>
        <w:top w:val="none" w:sz="0" w:space="0" w:color="auto"/>
        <w:left w:val="none" w:sz="0" w:space="0" w:color="auto"/>
        <w:bottom w:val="none" w:sz="0" w:space="0" w:color="auto"/>
        <w:right w:val="none" w:sz="0" w:space="0" w:color="auto"/>
      </w:divBdr>
    </w:div>
    <w:div w:id="343242269">
      <w:bodyDiv w:val="1"/>
      <w:marLeft w:val="0"/>
      <w:marRight w:val="0"/>
      <w:marTop w:val="0"/>
      <w:marBottom w:val="0"/>
      <w:divBdr>
        <w:top w:val="none" w:sz="0" w:space="0" w:color="auto"/>
        <w:left w:val="none" w:sz="0" w:space="0" w:color="auto"/>
        <w:bottom w:val="none" w:sz="0" w:space="0" w:color="auto"/>
        <w:right w:val="none" w:sz="0" w:space="0" w:color="auto"/>
      </w:divBdr>
    </w:div>
    <w:div w:id="507062094">
      <w:bodyDiv w:val="1"/>
      <w:marLeft w:val="0"/>
      <w:marRight w:val="0"/>
      <w:marTop w:val="0"/>
      <w:marBottom w:val="0"/>
      <w:divBdr>
        <w:top w:val="none" w:sz="0" w:space="0" w:color="auto"/>
        <w:left w:val="none" w:sz="0" w:space="0" w:color="auto"/>
        <w:bottom w:val="none" w:sz="0" w:space="0" w:color="auto"/>
        <w:right w:val="none" w:sz="0" w:space="0" w:color="auto"/>
      </w:divBdr>
    </w:div>
    <w:div w:id="524755458">
      <w:bodyDiv w:val="1"/>
      <w:marLeft w:val="0"/>
      <w:marRight w:val="0"/>
      <w:marTop w:val="0"/>
      <w:marBottom w:val="0"/>
      <w:divBdr>
        <w:top w:val="none" w:sz="0" w:space="0" w:color="auto"/>
        <w:left w:val="none" w:sz="0" w:space="0" w:color="auto"/>
        <w:bottom w:val="none" w:sz="0" w:space="0" w:color="auto"/>
        <w:right w:val="none" w:sz="0" w:space="0" w:color="auto"/>
      </w:divBdr>
    </w:div>
    <w:div w:id="614291839">
      <w:bodyDiv w:val="1"/>
      <w:marLeft w:val="0"/>
      <w:marRight w:val="0"/>
      <w:marTop w:val="0"/>
      <w:marBottom w:val="0"/>
      <w:divBdr>
        <w:top w:val="none" w:sz="0" w:space="0" w:color="auto"/>
        <w:left w:val="none" w:sz="0" w:space="0" w:color="auto"/>
        <w:bottom w:val="none" w:sz="0" w:space="0" w:color="auto"/>
        <w:right w:val="none" w:sz="0" w:space="0" w:color="auto"/>
      </w:divBdr>
    </w:div>
    <w:div w:id="632366825">
      <w:bodyDiv w:val="1"/>
      <w:marLeft w:val="0"/>
      <w:marRight w:val="0"/>
      <w:marTop w:val="0"/>
      <w:marBottom w:val="0"/>
      <w:divBdr>
        <w:top w:val="none" w:sz="0" w:space="0" w:color="auto"/>
        <w:left w:val="none" w:sz="0" w:space="0" w:color="auto"/>
        <w:bottom w:val="none" w:sz="0" w:space="0" w:color="auto"/>
        <w:right w:val="none" w:sz="0" w:space="0" w:color="auto"/>
      </w:divBdr>
    </w:div>
    <w:div w:id="704066750">
      <w:bodyDiv w:val="1"/>
      <w:marLeft w:val="0"/>
      <w:marRight w:val="0"/>
      <w:marTop w:val="0"/>
      <w:marBottom w:val="0"/>
      <w:divBdr>
        <w:top w:val="none" w:sz="0" w:space="0" w:color="auto"/>
        <w:left w:val="none" w:sz="0" w:space="0" w:color="auto"/>
        <w:bottom w:val="none" w:sz="0" w:space="0" w:color="auto"/>
        <w:right w:val="none" w:sz="0" w:space="0" w:color="auto"/>
      </w:divBdr>
    </w:div>
    <w:div w:id="732774521">
      <w:bodyDiv w:val="1"/>
      <w:marLeft w:val="0"/>
      <w:marRight w:val="0"/>
      <w:marTop w:val="0"/>
      <w:marBottom w:val="0"/>
      <w:divBdr>
        <w:top w:val="none" w:sz="0" w:space="0" w:color="auto"/>
        <w:left w:val="none" w:sz="0" w:space="0" w:color="auto"/>
        <w:bottom w:val="none" w:sz="0" w:space="0" w:color="auto"/>
        <w:right w:val="none" w:sz="0" w:space="0" w:color="auto"/>
      </w:divBdr>
    </w:div>
    <w:div w:id="792746515">
      <w:bodyDiv w:val="1"/>
      <w:marLeft w:val="0"/>
      <w:marRight w:val="0"/>
      <w:marTop w:val="0"/>
      <w:marBottom w:val="0"/>
      <w:divBdr>
        <w:top w:val="none" w:sz="0" w:space="0" w:color="auto"/>
        <w:left w:val="none" w:sz="0" w:space="0" w:color="auto"/>
        <w:bottom w:val="none" w:sz="0" w:space="0" w:color="auto"/>
        <w:right w:val="none" w:sz="0" w:space="0" w:color="auto"/>
      </w:divBdr>
    </w:div>
    <w:div w:id="799809418">
      <w:bodyDiv w:val="1"/>
      <w:marLeft w:val="0"/>
      <w:marRight w:val="0"/>
      <w:marTop w:val="0"/>
      <w:marBottom w:val="0"/>
      <w:divBdr>
        <w:top w:val="none" w:sz="0" w:space="0" w:color="auto"/>
        <w:left w:val="none" w:sz="0" w:space="0" w:color="auto"/>
        <w:bottom w:val="none" w:sz="0" w:space="0" w:color="auto"/>
        <w:right w:val="none" w:sz="0" w:space="0" w:color="auto"/>
      </w:divBdr>
    </w:div>
    <w:div w:id="810368938">
      <w:bodyDiv w:val="1"/>
      <w:marLeft w:val="0"/>
      <w:marRight w:val="0"/>
      <w:marTop w:val="0"/>
      <w:marBottom w:val="0"/>
      <w:divBdr>
        <w:top w:val="none" w:sz="0" w:space="0" w:color="auto"/>
        <w:left w:val="none" w:sz="0" w:space="0" w:color="auto"/>
        <w:bottom w:val="none" w:sz="0" w:space="0" w:color="auto"/>
        <w:right w:val="none" w:sz="0" w:space="0" w:color="auto"/>
      </w:divBdr>
    </w:div>
    <w:div w:id="904607456">
      <w:bodyDiv w:val="1"/>
      <w:marLeft w:val="0"/>
      <w:marRight w:val="0"/>
      <w:marTop w:val="0"/>
      <w:marBottom w:val="0"/>
      <w:divBdr>
        <w:top w:val="none" w:sz="0" w:space="0" w:color="auto"/>
        <w:left w:val="none" w:sz="0" w:space="0" w:color="auto"/>
        <w:bottom w:val="none" w:sz="0" w:space="0" w:color="auto"/>
        <w:right w:val="none" w:sz="0" w:space="0" w:color="auto"/>
      </w:divBdr>
    </w:div>
    <w:div w:id="1023630623">
      <w:bodyDiv w:val="1"/>
      <w:marLeft w:val="0"/>
      <w:marRight w:val="0"/>
      <w:marTop w:val="0"/>
      <w:marBottom w:val="0"/>
      <w:divBdr>
        <w:top w:val="none" w:sz="0" w:space="0" w:color="auto"/>
        <w:left w:val="none" w:sz="0" w:space="0" w:color="auto"/>
        <w:bottom w:val="none" w:sz="0" w:space="0" w:color="auto"/>
        <w:right w:val="none" w:sz="0" w:space="0" w:color="auto"/>
      </w:divBdr>
    </w:div>
    <w:div w:id="1230769963">
      <w:bodyDiv w:val="1"/>
      <w:marLeft w:val="0"/>
      <w:marRight w:val="0"/>
      <w:marTop w:val="0"/>
      <w:marBottom w:val="0"/>
      <w:divBdr>
        <w:top w:val="none" w:sz="0" w:space="0" w:color="auto"/>
        <w:left w:val="none" w:sz="0" w:space="0" w:color="auto"/>
        <w:bottom w:val="none" w:sz="0" w:space="0" w:color="auto"/>
        <w:right w:val="none" w:sz="0" w:space="0" w:color="auto"/>
      </w:divBdr>
    </w:div>
    <w:div w:id="1387073690">
      <w:bodyDiv w:val="1"/>
      <w:marLeft w:val="0"/>
      <w:marRight w:val="0"/>
      <w:marTop w:val="0"/>
      <w:marBottom w:val="0"/>
      <w:divBdr>
        <w:top w:val="none" w:sz="0" w:space="0" w:color="auto"/>
        <w:left w:val="none" w:sz="0" w:space="0" w:color="auto"/>
        <w:bottom w:val="none" w:sz="0" w:space="0" w:color="auto"/>
        <w:right w:val="none" w:sz="0" w:space="0" w:color="auto"/>
      </w:divBdr>
    </w:div>
    <w:div w:id="1526481341">
      <w:bodyDiv w:val="1"/>
      <w:marLeft w:val="0"/>
      <w:marRight w:val="0"/>
      <w:marTop w:val="0"/>
      <w:marBottom w:val="0"/>
      <w:divBdr>
        <w:top w:val="none" w:sz="0" w:space="0" w:color="auto"/>
        <w:left w:val="none" w:sz="0" w:space="0" w:color="auto"/>
        <w:bottom w:val="none" w:sz="0" w:space="0" w:color="auto"/>
        <w:right w:val="none" w:sz="0" w:space="0" w:color="auto"/>
      </w:divBdr>
    </w:div>
    <w:div w:id="1632898297">
      <w:bodyDiv w:val="1"/>
      <w:marLeft w:val="0"/>
      <w:marRight w:val="0"/>
      <w:marTop w:val="0"/>
      <w:marBottom w:val="0"/>
      <w:divBdr>
        <w:top w:val="none" w:sz="0" w:space="0" w:color="auto"/>
        <w:left w:val="none" w:sz="0" w:space="0" w:color="auto"/>
        <w:bottom w:val="none" w:sz="0" w:space="0" w:color="auto"/>
        <w:right w:val="none" w:sz="0" w:space="0" w:color="auto"/>
      </w:divBdr>
    </w:div>
    <w:div w:id="1771046596">
      <w:bodyDiv w:val="1"/>
      <w:marLeft w:val="0"/>
      <w:marRight w:val="0"/>
      <w:marTop w:val="0"/>
      <w:marBottom w:val="0"/>
      <w:divBdr>
        <w:top w:val="none" w:sz="0" w:space="0" w:color="auto"/>
        <w:left w:val="none" w:sz="0" w:space="0" w:color="auto"/>
        <w:bottom w:val="none" w:sz="0" w:space="0" w:color="auto"/>
        <w:right w:val="none" w:sz="0" w:space="0" w:color="auto"/>
      </w:divBdr>
    </w:div>
    <w:div w:id="1816219827">
      <w:bodyDiv w:val="1"/>
      <w:marLeft w:val="0"/>
      <w:marRight w:val="0"/>
      <w:marTop w:val="0"/>
      <w:marBottom w:val="0"/>
      <w:divBdr>
        <w:top w:val="none" w:sz="0" w:space="0" w:color="auto"/>
        <w:left w:val="none" w:sz="0" w:space="0" w:color="auto"/>
        <w:bottom w:val="none" w:sz="0" w:space="0" w:color="auto"/>
        <w:right w:val="none" w:sz="0" w:space="0" w:color="auto"/>
      </w:divBdr>
    </w:div>
    <w:div w:id="1866626578">
      <w:bodyDiv w:val="1"/>
      <w:marLeft w:val="0"/>
      <w:marRight w:val="0"/>
      <w:marTop w:val="0"/>
      <w:marBottom w:val="0"/>
      <w:divBdr>
        <w:top w:val="none" w:sz="0" w:space="0" w:color="auto"/>
        <w:left w:val="none" w:sz="0" w:space="0" w:color="auto"/>
        <w:bottom w:val="none" w:sz="0" w:space="0" w:color="auto"/>
        <w:right w:val="none" w:sz="0" w:space="0" w:color="auto"/>
      </w:divBdr>
    </w:div>
    <w:div w:id="1928684319">
      <w:bodyDiv w:val="1"/>
      <w:marLeft w:val="0"/>
      <w:marRight w:val="0"/>
      <w:marTop w:val="0"/>
      <w:marBottom w:val="0"/>
      <w:divBdr>
        <w:top w:val="none" w:sz="0" w:space="0" w:color="auto"/>
        <w:left w:val="none" w:sz="0" w:space="0" w:color="auto"/>
        <w:bottom w:val="none" w:sz="0" w:space="0" w:color="auto"/>
        <w:right w:val="none" w:sz="0" w:space="0" w:color="auto"/>
      </w:divBdr>
    </w:div>
    <w:div w:id="1971746592">
      <w:bodyDiv w:val="1"/>
      <w:marLeft w:val="0"/>
      <w:marRight w:val="0"/>
      <w:marTop w:val="0"/>
      <w:marBottom w:val="0"/>
      <w:divBdr>
        <w:top w:val="none" w:sz="0" w:space="0" w:color="auto"/>
        <w:left w:val="none" w:sz="0" w:space="0" w:color="auto"/>
        <w:bottom w:val="none" w:sz="0" w:space="0" w:color="auto"/>
        <w:right w:val="none" w:sz="0" w:space="0" w:color="auto"/>
      </w:divBdr>
    </w:div>
    <w:div w:id="2015379472">
      <w:bodyDiv w:val="1"/>
      <w:marLeft w:val="0"/>
      <w:marRight w:val="0"/>
      <w:marTop w:val="0"/>
      <w:marBottom w:val="0"/>
      <w:divBdr>
        <w:top w:val="none" w:sz="0" w:space="0" w:color="auto"/>
        <w:left w:val="none" w:sz="0" w:space="0" w:color="auto"/>
        <w:bottom w:val="none" w:sz="0" w:space="0" w:color="auto"/>
        <w:right w:val="none" w:sz="0" w:space="0" w:color="auto"/>
      </w:divBdr>
    </w:div>
    <w:div w:id="2035300073">
      <w:bodyDiv w:val="1"/>
      <w:marLeft w:val="0"/>
      <w:marRight w:val="0"/>
      <w:marTop w:val="0"/>
      <w:marBottom w:val="0"/>
      <w:divBdr>
        <w:top w:val="none" w:sz="0" w:space="0" w:color="auto"/>
        <w:left w:val="none" w:sz="0" w:space="0" w:color="auto"/>
        <w:bottom w:val="none" w:sz="0" w:space="0" w:color="auto"/>
        <w:right w:val="none" w:sz="0" w:space="0" w:color="auto"/>
      </w:divBdr>
    </w:div>
    <w:div w:id="210484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51.emf"/><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32.png"/><Relationship Id="rId68" Type="http://schemas.openxmlformats.org/officeDocument/2006/relationships/diagramColors" Target="diagrams/colors1.xml"/><Relationship Id="rId84" Type="http://schemas.microsoft.com/office/2007/relationships/diagramDrawing" Target="diagrams/drawing4.xml"/><Relationship Id="rId89" Type="http://schemas.microsoft.com/office/2007/relationships/diagramDrawing" Target="diagrams/drawing5.xml"/><Relationship Id="rId112" Type="http://schemas.openxmlformats.org/officeDocument/2006/relationships/hyperlink" Target="http://nchsr.arts.unsw.edu.au/media/File/SRB08.pdf" TargetMode="External"/><Relationship Id="rId133" Type="http://schemas.openxmlformats.org/officeDocument/2006/relationships/image" Target="media/image67.emf"/><Relationship Id="rId16" Type="http://schemas.openxmlformats.org/officeDocument/2006/relationships/hyperlink" Target="http://www.msac.gov.au/" TargetMode="External"/><Relationship Id="rId107" Type="http://schemas.openxmlformats.org/officeDocument/2006/relationships/image" Target="media/image45.png"/><Relationship Id="rId11" Type="http://schemas.openxmlformats.org/officeDocument/2006/relationships/footer" Target="footer1.xml"/><Relationship Id="rId32" Type="http://schemas.openxmlformats.org/officeDocument/2006/relationships/package" Target="embeddings/Microsoft_Word_Document3.docx"/><Relationship Id="rId37" Type="http://schemas.openxmlformats.org/officeDocument/2006/relationships/image" Target="media/image13.emf"/><Relationship Id="rId53" Type="http://schemas.openxmlformats.org/officeDocument/2006/relationships/image" Target="media/image25.emf"/><Relationship Id="rId58" Type="http://schemas.openxmlformats.org/officeDocument/2006/relationships/image" Target="media/image29.png"/><Relationship Id="rId74" Type="http://schemas.microsoft.com/office/2007/relationships/diagramDrawing" Target="diagrams/drawing2.xml"/><Relationship Id="rId79" Type="http://schemas.microsoft.com/office/2007/relationships/diagramDrawing" Target="diagrams/drawing3.xml"/><Relationship Id="rId102" Type="http://schemas.openxmlformats.org/officeDocument/2006/relationships/image" Target="media/image41.png"/><Relationship Id="rId123" Type="http://schemas.openxmlformats.org/officeDocument/2006/relationships/image" Target="media/image57.emf"/><Relationship Id="rId128" Type="http://schemas.openxmlformats.org/officeDocument/2006/relationships/image" Target="media/image62.emf"/><Relationship Id="rId5" Type="http://schemas.microsoft.com/office/2007/relationships/stylesWithEffects" Target="stylesWithEffects.xml"/><Relationship Id="rId90" Type="http://schemas.openxmlformats.org/officeDocument/2006/relationships/diagramData" Target="diagrams/data6.xml"/><Relationship Id="rId95" Type="http://schemas.openxmlformats.org/officeDocument/2006/relationships/image" Target="media/image34.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package" Target="embeddings/Microsoft_Word_Document1.docx"/><Relationship Id="rId30" Type="http://schemas.openxmlformats.org/officeDocument/2006/relationships/package" Target="embeddings/Microsoft_Word_Document2.docx"/><Relationship Id="rId35" Type="http://schemas.openxmlformats.org/officeDocument/2006/relationships/image" Target="media/image12.emf"/><Relationship Id="rId43" Type="http://schemas.openxmlformats.org/officeDocument/2006/relationships/image" Target="media/image17.emf"/><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3.png"/><Relationship Id="rId69" Type="http://schemas.microsoft.com/office/2007/relationships/diagramDrawing" Target="diagrams/drawing1.xml"/><Relationship Id="rId77" Type="http://schemas.openxmlformats.org/officeDocument/2006/relationships/diagramQuickStyle" Target="diagrams/quickStyle3.xml"/><Relationship Id="rId100" Type="http://schemas.openxmlformats.org/officeDocument/2006/relationships/image" Target="media/image39.png"/><Relationship Id="rId105" Type="http://schemas.openxmlformats.org/officeDocument/2006/relationships/image" Target="media/image43.png"/><Relationship Id="rId113" Type="http://schemas.openxmlformats.org/officeDocument/2006/relationships/header" Target="header5.xml"/><Relationship Id="rId118" Type="http://schemas.openxmlformats.org/officeDocument/2006/relationships/image" Target="media/image52.emf"/><Relationship Id="rId126" Type="http://schemas.openxmlformats.org/officeDocument/2006/relationships/image" Target="media/image60.emf"/><Relationship Id="rId13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4.emf"/><Relationship Id="rId72" Type="http://schemas.openxmlformats.org/officeDocument/2006/relationships/diagramQuickStyle" Target="diagrams/quickStyle2.xml"/><Relationship Id="rId80" Type="http://schemas.openxmlformats.org/officeDocument/2006/relationships/diagramData" Target="diagrams/data4.xml"/><Relationship Id="rId85" Type="http://schemas.openxmlformats.org/officeDocument/2006/relationships/diagramData" Target="diagrams/data5.xml"/><Relationship Id="rId93" Type="http://schemas.openxmlformats.org/officeDocument/2006/relationships/diagramColors" Target="diagrams/colors6.xml"/><Relationship Id="rId98" Type="http://schemas.openxmlformats.org/officeDocument/2006/relationships/image" Target="media/image37.png"/><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msac.gov.au/" TargetMode="External"/><Relationship Id="rId25" Type="http://schemas.openxmlformats.org/officeDocument/2006/relationships/hyperlink" Target="http://www.stdservices.on.net/std/gonorrhoea/details.htm" TargetMode="External"/><Relationship Id="rId33" Type="http://schemas.openxmlformats.org/officeDocument/2006/relationships/image" Target="media/image11.emf"/><Relationship Id="rId38" Type="http://schemas.openxmlformats.org/officeDocument/2006/relationships/package" Target="embeddings/Microsoft_Word_Document6.docx"/><Relationship Id="rId46" Type="http://schemas.openxmlformats.org/officeDocument/2006/relationships/image" Target="media/image19.png"/><Relationship Id="rId59" Type="http://schemas.openxmlformats.org/officeDocument/2006/relationships/image" Target="media/image30.emf"/><Relationship Id="rId67" Type="http://schemas.openxmlformats.org/officeDocument/2006/relationships/diagramQuickStyle" Target="diagrams/quickStyle1.xml"/><Relationship Id="rId103" Type="http://schemas.openxmlformats.org/officeDocument/2006/relationships/image" Target="media/image42.emf"/><Relationship Id="rId108" Type="http://schemas.openxmlformats.org/officeDocument/2006/relationships/image" Target="media/image46.png"/><Relationship Id="rId116" Type="http://schemas.openxmlformats.org/officeDocument/2006/relationships/image" Target="media/image50.emf"/><Relationship Id="rId124" Type="http://schemas.openxmlformats.org/officeDocument/2006/relationships/image" Target="media/image58.emf"/><Relationship Id="rId129" Type="http://schemas.openxmlformats.org/officeDocument/2006/relationships/image" Target="media/image63.emf"/><Relationship Id="rId20" Type="http://schemas.openxmlformats.org/officeDocument/2006/relationships/image" Target="media/image4.png"/><Relationship Id="rId41" Type="http://schemas.openxmlformats.org/officeDocument/2006/relationships/package" Target="embeddings/Microsoft_Word_Document7.docx"/><Relationship Id="rId54" Type="http://schemas.openxmlformats.org/officeDocument/2006/relationships/package" Target="embeddings/Microsoft_Word_Document10.docx"/><Relationship Id="rId62" Type="http://schemas.openxmlformats.org/officeDocument/2006/relationships/package" Target="embeddings/Microsoft_Word_Document12.docx"/><Relationship Id="rId70" Type="http://schemas.openxmlformats.org/officeDocument/2006/relationships/diagramData" Target="diagrams/data2.xml"/><Relationship Id="rId75" Type="http://schemas.openxmlformats.org/officeDocument/2006/relationships/diagramData" Target="diagrams/data3.xml"/><Relationship Id="rId83" Type="http://schemas.openxmlformats.org/officeDocument/2006/relationships/diagramColors" Target="diagrams/colors4.xml"/><Relationship Id="rId88" Type="http://schemas.openxmlformats.org/officeDocument/2006/relationships/diagramColors" Target="diagrams/colors5.xml"/><Relationship Id="rId91" Type="http://schemas.openxmlformats.org/officeDocument/2006/relationships/diagramLayout" Target="diagrams/layout6.xml"/><Relationship Id="rId96" Type="http://schemas.openxmlformats.org/officeDocument/2006/relationships/image" Target="media/image35.png"/><Relationship Id="rId111" Type="http://schemas.openxmlformats.org/officeDocument/2006/relationships/hyperlink" Target="http://www.hepatitisaustralia.com/__data/assets/pdf_file/0003/3945/the-economic-impact-of-hepatitis-c-in-australia_final-3.pdf" TargetMode="External"/><Relationship Id="rId132"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sac.gov.au/" TargetMode="External"/><Relationship Id="rId23" Type="http://schemas.openxmlformats.org/officeDocument/2006/relationships/image" Target="media/image7.png"/><Relationship Id="rId28" Type="http://schemas.openxmlformats.org/officeDocument/2006/relationships/header" Target="header3.xml"/><Relationship Id="rId36" Type="http://schemas.openxmlformats.org/officeDocument/2006/relationships/package" Target="embeddings/Microsoft_Word_Document5.docx"/><Relationship Id="rId49" Type="http://schemas.openxmlformats.org/officeDocument/2006/relationships/image" Target="media/image22.png"/><Relationship Id="rId57" Type="http://schemas.openxmlformats.org/officeDocument/2006/relationships/image" Target="media/image28.png"/><Relationship Id="rId106" Type="http://schemas.openxmlformats.org/officeDocument/2006/relationships/image" Target="media/image44.png"/><Relationship Id="rId114" Type="http://schemas.openxmlformats.org/officeDocument/2006/relationships/image" Target="media/image48.emf"/><Relationship Id="rId119" Type="http://schemas.openxmlformats.org/officeDocument/2006/relationships/image" Target="media/image53.emf"/><Relationship Id="rId127" Type="http://schemas.openxmlformats.org/officeDocument/2006/relationships/image" Target="media/image61.emf"/><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package" Target="embeddings/Microsoft_Word_Document8.docx"/><Relationship Id="rId52" Type="http://schemas.openxmlformats.org/officeDocument/2006/relationships/package" Target="embeddings/Microsoft_Word_Document9.docx"/><Relationship Id="rId60" Type="http://schemas.openxmlformats.org/officeDocument/2006/relationships/package" Target="embeddings/Microsoft_Word_Document11.docx"/><Relationship Id="rId65" Type="http://schemas.openxmlformats.org/officeDocument/2006/relationships/diagramData" Target="diagrams/data1.xml"/><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diagramLayout" Target="diagrams/layout4.xml"/><Relationship Id="rId86" Type="http://schemas.openxmlformats.org/officeDocument/2006/relationships/diagramLayout" Target="diagrams/layout5.xml"/><Relationship Id="rId94" Type="http://schemas.microsoft.com/office/2007/relationships/diagramDrawing" Target="diagrams/drawing6.xml"/><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56.emf"/><Relationship Id="rId130" Type="http://schemas.openxmlformats.org/officeDocument/2006/relationships/image" Target="media/image64.emf"/><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14.png"/><Relationship Id="rId109" Type="http://schemas.openxmlformats.org/officeDocument/2006/relationships/image" Target="media/image47.png"/><Relationship Id="rId34" Type="http://schemas.openxmlformats.org/officeDocument/2006/relationships/package" Target="embeddings/Microsoft_Word_Document4.docx"/><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diagramLayout" Target="diagrams/layout3.xml"/><Relationship Id="rId97" Type="http://schemas.openxmlformats.org/officeDocument/2006/relationships/image" Target="media/image36.png"/><Relationship Id="rId104" Type="http://schemas.openxmlformats.org/officeDocument/2006/relationships/package" Target="embeddings/Microsoft_Word_Document13.docx"/><Relationship Id="rId120" Type="http://schemas.openxmlformats.org/officeDocument/2006/relationships/image" Target="media/image54.emf"/><Relationship Id="rId125" Type="http://schemas.openxmlformats.org/officeDocument/2006/relationships/image" Target="media/image59.emf"/><Relationship Id="rId7" Type="http://schemas.openxmlformats.org/officeDocument/2006/relationships/webSettings" Target="webSettings.xml"/><Relationship Id="rId71" Type="http://schemas.openxmlformats.org/officeDocument/2006/relationships/diagramLayout" Target="diagrams/layout2.xml"/><Relationship Id="rId92" Type="http://schemas.openxmlformats.org/officeDocument/2006/relationships/diagramQuickStyle" Target="diagrams/quickStyle6.xm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www.stdservices.on.net/std/chlamydia/details.htm" TargetMode="External"/><Relationship Id="rId40" Type="http://schemas.openxmlformats.org/officeDocument/2006/relationships/image" Target="media/image15.emf"/><Relationship Id="rId45" Type="http://schemas.openxmlformats.org/officeDocument/2006/relationships/image" Target="media/image18.png"/><Relationship Id="rId66" Type="http://schemas.openxmlformats.org/officeDocument/2006/relationships/diagramLayout" Target="diagrams/layout1.xml"/><Relationship Id="rId87" Type="http://schemas.openxmlformats.org/officeDocument/2006/relationships/diagramQuickStyle" Target="diagrams/quickStyle5.xml"/><Relationship Id="rId110" Type="http://schemas.openxmlformats.org/officeDocument/2006/relationships/header" Target="header4.xml"/><Relationship Id="rId115" Type="http://schemas.openxmlformats.org/officeDocument/2006/relationships/image" Target="media/image49.emf"/><Relationship Id="rId131" Type="http://schemas.openxmlformats.org/officeDocument/2006/relationships/image" Target="media/image65.emf"/><Relationship Id="rId61" Type="http://schemas.openxmlformats.org/officeDocument/2006/relationships/image" Target="media/image31.emf"/><Relationship Id="rId82" Type="http://schemas.openxmlformats.org/officeDocument/2006/relationships/diagramQuickStyle" Target="diagrams/quickStyle4.xml"/><Relationship Id="rId1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rinaS.ASPEXCONSULTING\AppData\Roaming\Microsoft\Templates\Aspex_Consulting_Re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91DD9D0E-E20E-5748-8151-15D6033684C0}">
      <dgm:prSet phldrT="[Text]" custT="1"/>
      <dgm:spPr/>
      <dgm:t>
        <a:bodyPr/>
        <a:lstStyle/>
        <a:p>
          <a:pPr algn="ctr"/>
          <a:r>
            <a:rPr lang="en-US" sz="1100" b="1"/>
            <a:t>Option 1: Referred Item           Physician equivalence</a:t>
          </a:r>
        </a:p>
      </dgm:t>
    </dgm:pt>
    <dgm:pt modelId="{9C473244-2EF6-3044-ACF4-D45FC55807FC}" type="parTrans" cxnId="{5E11CD26-739B-E146-848E-8C0D901E3C89}">
      <dgm:prSet/>
      <dgm:spPr/>
      <dgm:t>
        <a:bodyPr/>
        <a:lstStyle/>
        <a:p>
          <a:pPr algn="ctr"/>
          <a:endParaRPr lang="en-US" sz="1100"/>
        </a:p>
      </dgm:t>
    </dgm:pt>
    <dgm:pt modelId="{595C962B-CDE5-1F48-9846-FA5619D1519D}" type="sibTrans" cxnId="{5E11CD26-739B-E146-848E-8C0D901E3C89}">
      <dgm:prSet/>
      <dgm:spPr/>
      <dgm:t>
        <a:bodyPr/>
        <a:lstStyle/>
        <a:p>
          <a:pPr algn="ctr"/>
          <a:endParaRPr lang="en-US" sz="1100"/>
        </a:p>
      </dgm:t>
    </dgm:pt>
    <dgm:pt modelId="{81DC7C88-E582-5448-A781-67E620548433}">
      <dgm:prSet phldrT="[Text]" custT="1"/>
      <dgm:spPr/>
      <dgm:t>
        <a:bodyPr/>
        <a:lstStyle/>
        <a:p>
          <a:pPr algn="ctr"/>
          <a:r>
            <a:rPr lang="en-US" sz="1100" i="1"/>
            <a:t>1 x Initial  attendance       MBS 110   ($128.30)</a:t>
          </a:r>
        </a:p>
      </dgm:t>
    </dgm:pt>
    <dgm:pt modelId="{2AC0B7C1-8D8A-084E-83CA-5B02382480B1}" type="parTrans" cxnId="{3BA20BED-5216-4444-BD89-D36CDC614AA9}">
      <dgm:prSet/>
      <dgm:spPr/>
      <dgm:t>
        <a:bodyPr/>
        <a:lstStyle/>
        <a:p>
          <a:pPr algn="ctr"/>
          <a:endParaRPr lang="en-US" sz="1100"/>
        </a:p>
      </dgm:t>
    </dgm:pt>
    <dgm:pt modelId="{2786508E-3B93-F74C-BCAD-39A2773196CB}" type="sibTrans" cxnId="{3BA20BED-5216-4444-BD89-D36CDC614AA9}">
      <dgm:prSet/>
      <dgm:spPr/>
      <dgm:t>
        <a:bodyPr/>
        <a:lstStyle/>
        <a:p>
          <a:pPr algn="ctr"/>
          <a:endParaRPr lang="en-US" sz="1100"/>
        </a:p>
      </dgm:t>
    </dgm:pt>
    <dgm:pt modelId="{9B525B3E-C9F3-1E40-B1C4-0BB13B9F9CCF}">
      <dgm:prSet phldrT="[Text]" custT="1"/>
      <dgm:spPr/>
      <dgm:t>
        <a:bodyPr/>
        <a:lstStyle/>
        <a:p>
          <a:pPr algn="ctr"/>
          <a:r>
            <a:rPr lang="en-US" sz="1100" i="1"/>
            <a:t>Subsequent attendances     MBS 116      ($64.20)</a:t>
          </a:r>
        </a:p>
      </dgm:t>
    </dgm:pt>
    <dgm:pt modelId="{198D9B8F-9F9C-EB45-AA67-75AEB6774FE6}" type="parTrans" cxnId="{E57AE72E-2C44-3D49-AF40-1CBFB0BFBA28}">
      <dgm:prSet/>
      <dgm:spPr/>
      <dgm:t>
        <a:bodyPr/>
        <a:lstStyle/>
        <a:p>
          <a:pPr algn="ctr"/>
          <a:endParaRPr lang="en-US" sz="1100"/>
        </a:p>
      </dgm:t>
    </dgm:pt>
    <dgm:pt modelId="{5BD1F33B-A6E4-EF4B-B942-08AC7A989288}" type="sibTrans" cxnId="{E57AE72E-2C44-3D49-AF40-1CBFB0BFBA28}">
      <dgm:prSet/>
      <dgm:spPr/>
      <dgm:t>
        <a:bodyPr/>
        <a:lstStyle/>
        <a:p>
          <a:pPr algn="ctr"/>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F57C2C76-990C-704E-A1B1-5B7ECC0DC82D}" type="pres">
      <dgm:prSet presAssocID="{91DD9D0E-E20E-5748-8151-15D6033684C0}" presName="hierRoot1" presStyleCnt="0"/>
      <dgm:spPr/>
    </dgm:pt>
    <dgm:pt modelId="{6780019F-33DC-C34D-AD4F-4527F41A9FB3}" type="pres">
      <dgm:prSet presAssocID="{91DD9D0E-E20E-5748-8151-15D6033684C0}" presName="composite" presStyleCnt="0"/>
      <dgm:spPr/>
    </dgm:pt>
    <dgm:pt modelId="{EFAE81E2-A002-A24C-95E0-54C39DD3FB0B}" type="pres">
      <dgm:prSet presAssocID="{91DD9D0E-E20E-5748-8151-15D6033684C0}" presName="background" presStyleLbl="node0" presStyleIdx="0" presStyleCnt="1"/>
      <dgm:spPr/>
    </dgm:pt>
    <dgm:pt modelId="{AC552213-8C23-2B4D-91B5-75224F940322}" type="pres">
      <dgm:prSet presAssocID="{91DD9D0E-E20E-5748-8151-15D6033684C0}" presName="text" presStyleLbl="fgAcc0" presStyleIdx="0" presStyleCnt="1" custScaleX="101126" custScaleY="87267">
        <dgm:presLayoutVars>
          <dgm:chPref val="3"/>
        </dgm:presLayoutVars>
      </dgm:prSet>
      <dgm:spPr/>
      <dgm:t>
        <a:bodyPr/>
        <a:lstStyle/>
        <a:p>
          <a:endParaRPr lang="en-US"/>
        </a:p>
      </dgm:t>
    </dgm:pt>
    <dgm:pt modelId="{C1083634-044C-3F44-BFC5-08F548161389}" type="pres">
      <dgm:prSet presAssocID="{91DD9D0E-E20E-5748-8151-15D6033684C0}" presName="hierChild2" presStyleCnt="0"/>
      <dgm:spPr/>
    </dgm:pt>
    <dgm:pt modelId="{E8664816-2E8D-4847-84B7-3FC981C17C8E}" type="pres">
      <dgm:prSet presAssocID="{2AC0B7C1-8D8A-084E-83CA-5B02382480B1}" presName="Name10" presStyleLbl="parChTrans1D2" presStyleIdx="0" presStyleCnt="2"/>
      <dgm:spPr/>
      <dgm:t>
        <a:bodyPr/>
        <a:lstStyle/>
        <a:p>
          <a:endParaRPr lang="en-US"/>
        </a:p>
      </dgm:t>
    </dgm:pt>
    <dgm:pt modelId="{CD16734B-A167-3342-A42F-44A18B7140F0}" type="pres">
      <dgm:prSet presAssocID="{81DC7C88-E582-5448-A781-67E620548433}" presName="hierRoot2" presStyleCnt="0"/>
      <dgm:spPr/>
    </dgm:pt>
    <dgm:pt modelId="{D04EC1AE-A76C-A14D-AE7C-6E8BA97A0272}" type="pres">
      <dgm:prSet presAssocID="{81DC7C88-E582-5448-A781-67E620548433}" presName="composite2" presStyleCnt="0"/>
      <dgm:spPr/>
    </dgm:pt>
    <dgm:pt modelId="{12F0C1A1-3FAB-3743-AF51-1B8851A7E3FA}" type="pres">
      <dgm:prSet presAssocID="{81DC7C88-E582-5448-A781-67E620548433}" presName="background2" presStyleLbl="node2" presStyleIdx="0" presStyleCnt="2"/>
      <dgm:spPr/>
    </dgm:pt>
    <dgm:pt modelId="{8F87D328-29DE-844E-A09F-23EEA1BCB81F}" type="pres">
      <dgm:prSet presAssocID="{81DC7C88-E582-5448-A781-67E620548433}" presName="text2" presStyleLbl="fgAcc2" presStyleIdx="0" presStyleCnt="2">
        <dgm:presLayoutVars>
          <dgm:chPref val="3"/>
        </dgm:presLayoutVars>
      </dgm:prSet>
      <dgm:spPr/>
      <dgm:t>
        <a:bodyPr/>
        <a:lstStyle/>
        <a:p>
          <a:endParaRPr lang="en-US"/>
        </a:p>
      </dgm:t>
    </dgm:pt>
    <dgm:pt modelId="{709B2EF9-7564-4541-A596-BD31B6E79C13}" type="pres">
      <dgm:prSet presAssocID="{81DC7C88-E582-5448-A781-67E620548433}" presName="hierChild3" presStyleCnt="0"/>
      <dgm:spPr/>
    </dgm:pt>
    <dgm:pt modelId="{E790744C-1E69-CA40-884B-1C6770C98198}" type="pres">
      <dgm:prSet presAssocID="{198D9B8F-9F9C-EB45-AA67-75AEB6774FE6}" presName="Name10" presStyleLbl="parChTrans1D2" presStyleIdx="1" presStyleCnt="2"/>
      <dgm:spPr/>
      <dgm:t>
        <a:bodyPr/>
        <a:lstStyle/>
        <a:p>
          <a:endParaRPr lang="en-US"/>
        </a:p>
      </dgm:t>
    </dgm:pt>
    <dgm:pt modelId="{B5CFB787-BF4E-6F4A-A09D-73E7AED80C55}" type="pres">
      <dgm:prSet presAssocID="{9B525B3E-C9F3-1E40-B1C4-0BB13B9F9CCF}" presName="hierRoot2" presStyleCnt="0"/>
      <dgm:spPr/>
    </dgm:pt>
    <dgm:pt modelId="{941D4EB5-B100-3943-8011-C52BBAF1A8D8}" type="pres">
      <dgm:prSet presAssocID="{9B525B3E-C9F3-1E40-B1C4-0BB13B9F9CCF}" presName="composite2" presStyleCnt="0"/>
      <dgm:spPr/>
    </dgm:pt>
    <dgm:pt modelId="{C145001D-75CD-DC4D-AE18-D1DA4CC1A81F}" type="pres">
      <dgm:prSet presAssocID="{9B525B3E-C9F3-1E40-B1C4-0BB13B9F9CCF}" presName="background2" presStyleLbl="node2" presStyleIdx="1" presStyleCnt="2"/>
      <dgm:spPr/>
    </dgm:pt>
    <dgm:pt modelId="{6A734F8A-4E9F-1947-956B-D27128F613A9}" type="pres">
      <dgm:prSet presAssocID="{9B525B3E-C9F3-1E40-B1C4-0BB13B9F9CCF}" presName="text2" presStyleLbl="fgAcc2" presStyleIdx="1" presStyleCnt="2">
        <dgm:presLayoutVars>
          <dgm:chPref val="3"/>
        </dgm:presLayoutVars>
      </dgm:prSet>
      <dgm:spPr/>
      <dgm:t>
        <a:bodyPr/>
        <a:lstStyle/>
        <a:p>
          <a:endParaRPr lang="en-US"/>
        </a:p>
      </dgm:t>
    </dgm:pt>
    <dgm:pt modelId="{C0279695-7589-3B44-A7B4-4EE42E58C26B}" type="pres">
      <dgm:prSet presAssocID="{9B525B3E-C9F3-1E40-B1C4-0BB13B9F9CCF}" presName="hierChild3" presStyleCnt="0"/>
      <dgm:spPr/>
    </dgm:pt>
  </dgm:ptLst>
  <dgm:cxnLst>
    <dgm:cxn modelId="{E57AE72E-2C44-3D49-AF40-1CBFB0BFBA28}" srcId="{91DD9D0E-E20E-5748-8151-15D6033684C0}" destId="{9B525B3E-C9F3-1E40-B1C4-0BB13B9F9CCF}" srcOrd="1" destOrd="0" parTransId="{198D9B8F-9F9C-EB45-AA67-75AEB6774FE6}" sibTransId="{5BD1F33B-A6E4-EF4B-B942-08AC7A989288}"/>
    <dgm:cxn modelId="{F4ACAEC5-7917-4207-B7DD-F7093D1FC867}" type="presOf" srcId="{2AC0B7C1-8D8A-084E-83CA-5B02382480B1}" destId="{E8664816-2E8D-4847-84B7-3FC981C17C8E}" srcOrd="0" destOrd="0" presId="urn:microsoft.com/office/officeart/2005/8/layout/hierarchy1"/>
    <dgm:cxn modelId="{3BA20BED-5216-4444-BD89-D36CDC614AA9}" srcId="{91DD9D0E-E20E-5748-8151-15D6033684C0}" destId="{81DC7C88-E582-5448-A781-67E620548433}" srcOrd="0" destOrd="0" parTransId="{2AC0B7C1-8D8A-084E-83CA-5B02382480B1}" sibTransId="{2786508E-3B93-F74C-BCAD-39A2773196CB}"/>
    <dgm:cxn modelId="{248BD6DE-A78C-49AC-8EB6-40018893661F}" type="presOf" srcId="{198D9B8F-9F9C-EB45-AA67-75AEB6774FE6}" destId="{E790744C-1E69-CA40-884B-1C6770C98198}" srcOrd="0" destOrd="0" presId="urn:microsoft.com/office/officeart/2005/8/layout/hierarchy1"/>
    <dgm:cxn modelId="{5E11CD26-739B-E146-848E-8C0D901E3C89}" srcId="{42E6C4B5-8A56-514D-9D10-12F50465C01E}" destId="{91DD9D0E-E20E-5748-8151-15D6033684C0}" srcOrd="0" destOrd="0" parTransId="{9C473244-2EF6-3044-ACF4-D45FC55807FC}" sibTransId="{595C962B-CDE5-1F48-9846-FA5619D1519D}"/>
    <dgm:cxn modelId="{F979FC63-4FC2-4C0F-869F-6EEF01E9EAAC}" type="presOf" srcId="{42E6C4B5-8A56-514D-9D10-12F50465C01E}" destId="{1223D048-6377-0849-A74E-A44C69F627A7}" srcOrd="0" destOrd="0" presId="urn:microsoft.com/office/officeart/2005/8/layout/hierarchy1"/>
    <dgm:cxn modelId="{011D1C15-166A-4BCB-93D4-09413076AFB3}" type="presOf" srcId="{91DD9D0E-E20E-5748-8151-15D6033684C0}" destId="{AC552213-8C23-2B4D-91B5-75224F940322}" srcOrd="0" destOrd="0" presId="urn:microsoft.com/office/officeart/2005/8/layout/hierarchy1"/>
    <dgm:cxn modelId="{5C7DE52A-994A-47A7-8270-A1A532227D0C}" type="presOf" srcId="{81DC7C88-E582-5448-A781-67E620548433}" destId="{8F87D328-29DE-844E-A09F-23EEA1BCB81F}" srcOrd="0" destOrd="0" presId="urn:microsoft.com/office/officeart/2005/8/layout/hierarchy1"/>
    <dgm:cxn modelId="{A7942500-3EA2-422A-8FDE-E9BFBA332BBC}" type="presOf" srcId="{9B525B3E-C9F3-1E40-B1C4-0BB13B9F9CCF}" destId="{6A734F8A-4E9F-1947-956B-D27128F613A9}" srcOrd="0" destOrd="0" presId="urn:microsoft.com/office/officeart/2005/8/layout/hierarchy1"/>
    <dgm:cxn modelId="{E09572EB-E166-4406-8137-F492BDF231B4}" type="presParOf" srcId="{1223D048-6377-0849-A74E-A44C69F627A7}" destId="{F57C2C76-990C-704E-A1B1-5B7ECC0DC82D}" srcOrd="0" destOrd="0" presId="urn:microsoft.com/office/officeart/2005/8/layout/hierarchy1"/>
    <dgm:cxn modelId="{9E296E6D-C409-46BC-8C27-FCF90AA9B63A}" type="presParOf" srcId="{F57C2C76-990C-704E-A1B1-5B7ECC0DC82D}" destId="{6780019F-33DC-C34D-AD4F-4527F41A9FB3}" srcOrd="0" destOrd="0" presId="urn:microsoft.com/office/officeart/2005/8/layout/hierarchy1"/>
    <dgm:cxn modelId="{AC376696-1EF0-4189-A16C-CCF5580BBC04}" type="presParOf" srcId="{6780019F-33DC-C34D-AD4F-4527F41A9FB3}" destId="{EFAE81E2-A002-A24C-95E0-54C39DD3FB0B}" srcOrd="0" destOrd="0" presId="urn:microsoft.com/office/officeart/2005/8/layout/hierarchy1"/>
    <dgm:cxn modelId="{A7BD24DF-B9D2-4214-9711-411A0E0ACD8C}" type="presParOf" srcId="{6780019F-33DC-C34D-AD4F-4527F41A9FB3}" destId="{AC552213-8C23-2B4D-91B5-75224F940322}" srcOrd="1" destOrd="0" presId="urn:microsoft.com/office/officeart/2005/8/layout/hierarchy1"/>
    <dgm:cxn modelId="{646C084F-41AC-4CA3-9AAC-EBEBC510801F}" type="presParOf" srcId="{F57C2C76-990C-704E-A1B1-5B7ECC0DC82D}" destId="{C1083634-044C-3F44-BFC5-08F548161389}" srcOrd="1" destOrd="0" presId="urn:microsoft.com/office/officeart/2005/8/layout/hierarchy1"/>
    <dgm:cxn modelId="{8F1C0E31-E32F-4F6F-9106-A6A28DA57402}" type="presParOf" srcId="{C1083634-044C-3F44-BFC5-08F548161389}" destId="{E8664816-2E8D-4847-84B7-3FC981C17C8E}" srcOrd="0" destOrd="0" presId="urn:microsoft.com/office/officeart/2005/8/layout/hierarchy1"/>
    <dgm:cxn modelId="{2FB54855-860F-4B05-AB01-A8AB278A2DAB}" type="presParOf" srcId="{C1083634-044C-3F44-BFC5-08F548161389}" destId="{CD16734B-A167-3342-A42F-44A18B7140F0}" srcOrd="1" destOrd="0" presId="urn:microsoft.com/office/officeart/2005/8/layout/hierarchy1"/>
    <dgm:cxn modelId="{17C7D7FD-625D-4CED-B6D8-92FE9EF9C812}" type="presParOf" srcId="{CD16734B-A167-3342-A42F-44A18B7140F0}" destId="{D04EC1AE-A76C-A14D-AE7C-6E8BA97A0272}" srcOrd="0" destOrd="0" presId="urn:microsoft.com/office/officeart/2005/8/layout/hierarchy1"/>
    <dgm:cxn modelId="{6C233262-B46F-43E6-B351-B827E79225CD}" type="presParOf" srcId="{D04EC1AE-A76C-A14D-AE7C-6E8BA97A0272}" destId="{12F0C1A1-3FAB-3743-AF51-1B8851A7E3FA}" srcOrd="0" destOrd="0" presId="urn:microsoft.com/office/officeart/2005/8/layout/hierarchy1"/>
    <dgm:cxn modelId="{0464EC10-C5C5-4D67-8057-4FEDF834569F}" type="presParOf" srcId="{D04EC1AE-A76C-A14D-AE7C-6E8BA97A0272}" destId="{8F87D328-29DE-844E-A09F-23EEA1BCB81F}" srcOrd="1" destOrd="0" presId="urn:microsoft.com/office/officeart/2005/8/layout/hierarchy1"/>
    <dgm:cxn modelId="{A9715646-EF55-477C-8B3D-04A4B6541EF8}" type="presParOf" srcId="{CD16734B-A167-3342-A42F-44A18B7140F0}" destId="{709B2EF9-7564-4541-A596-BD31B6E79C13}" srcOrd="1" destOrd="0" presId="urn:microsoft.com/office/officeart/2005/8/layout/hierarchy1"/>
    <dgm:cxn modelId="{45FFC6E8-88E0-4045-89C5-88CB3CD0F851}" type="presParOf" srcId="{C1083634-044C-3F44-BFC5-08F548161389}" destId="{E790744C-1E69-CA40-884B-1C6770C98198}" srcOrd="2" destOrd="0" presId="urn:microsoft.com/office/officeart/2005/8/layout/hierarchy1"/>
    <dgm:cxn modelId="{0451B2BF-EC34-455A-9C37-D8B36294F9CF}" type="presParOf" srcId="{C1083634-044C-3F44-BFC5-08F548161389}" destId="{B5CFB787-BF4E-6F4A-A09D-73E7AED80C55}" srcOrd="3" destOrd="0" presId="urn:microsoft.com/office/officeart/2005/8/layout/hierarchy1"/>
    <dgm:cxn modelId="{7D3510BF-C3D1-4B42-9EDF-A670497391F8}" type="presParOf" srcId="{B5CFB787-BF4E-6F4A-A09D-73E7AED80C55}" destId="{941D4EB5-B100-3943-8011-C52BBAF1A8D8}" srcOrd="0" destOrd="0" presId="urn:microsoft.com/office/officeart/2005/8/layout/hierarchy1"/>
    <dgm:cxn modelId="{4ACD0928-55A1-4B83-A523-3BC58DC6EB69}" type="presParOf" srcId="{941D4EB5-B100-3943-8011-C52BBAF1A8D8}" destId="{C145001D-75CD-DC4D-AE18-D1DA4CC1A81F}" srcOrd="0" destOrd="0" presId="urn:microsoft.com/office/officeart/2005/8/layout/hierarchy1"/>
    <dgm:cxn modelId="{23FF2CA2-C039-4D7A-8C07-24CD1A129A9F}" type="presParOf" srcId="{941D4EB5-B100-3943-8011-C52BBAF1A8D8}" destId="{6A734F8A-4E9F-1947-956B-D27128F613A9}" srcOrd="1" destOrd="0" presId="urn:microsoft.com/office/officeart/2005/8/layout/hierarchy1"/>
    <dgm:cxn modelId="{5A965AF5-AD40-424C-AAD6-C883A241054F}" type="presParOf" srcId="{B5CFB787-BF4E-6F4A-A09D-73E7AED80C55}" destId="{C0279695-7589-3B44-A7B4-4EE42E58C26B}" srcOrd="1" destOrd="0" presId="urn:microsoft.com/office/officeart/2005/8/layout/hierarchy1"/>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pPr algn="ctr"/>
          <a:r>
            <a:rPr lang="en-US" sz="1100" b="1"/>
            <a:t>Option 2: Referred Item      Time tiered</a:t>
          </a:r>
        </a:p>
      </dgm:t>
    </dgm:pt>
    <dgm:pt modelId="{2CC59307-EFC1-3E41-9FED-F69EED576899}" type="parTrans" cxnId="{CB6ABF6C-019D-144E-986F-9899D31F1193}">
      <dgm:prSet/>
      <dgm:spPr/>
      <dgm:t>
        <a:bodyPr/>
        <a:lstStyle/>
        <a:p>
          <a:pPr algn="ctr"/>
          <a:endParaRPr lang="en-US" sz="1100"/>
        </a:p>
      </dgm:t>
    </dgm:pt>
    <dgm:pt modelId="{936BC09F-10A8-5F4E-B523-6DF3571782A4}" type="sibTrans" cxnId="{CB6ABF6C-019D-144E-986F-9899D31F1193}">
      <dgm:prSet/>
      <dgm:spPr/>
      <dgm:t>
        <a:bodyPr/>
        <a:lstStyle/>
        <a:p>
          <a:pPr algn="ctr"/>
          <a:endParaRPr lang="en-US" sz="1100"/>
        </a:p>
      </dgm:t>
    </dgm:pt>
    <dgm:pt modelId="{6D2FF0AE-09F2-3B4F-8898-E83E0E959B53}">
      <dgm:prSet phldrT="[Text]" custT="1"/>
      <dgm:spPr/>
      <dgm:t>
        <a:bodyPr/>
        <a:lstStyle/>
        <a:p>
          <a:pPr algn="ctr"/>
          <a:r>
            <a:rPr lang="en-US" sz="1100" b="1"/>
            <a:t>0-15 mins</a:t>
          </a:r>
        </a:p>
      </dgm:t>
    </dgm:pt>
    <dgm:pt modelId="{1B681A8F-A554-1F44-BADD-518AA499E287}" type="parTrans" cxnId="{F7E5F7A3-9E41-2345-9E03-13E93E2D009F}">
      <dgm:prSet/>
      <dgm:spPr/>
      <dgm:t>
        <a:bodyPr/>
        <a:lstStyle/>
        <a:p>
          <a:pPr algn="ctr"/>
          <a:endParaRPr lang="en-US" sz="1100"/>
        </a:p>
      </dgm:t>
    </dgm:pt>
    <dgm:pt modelId="{08A2C5CA-1BDC-A34B-989F-D07222DCBB12}" type="sibTrans" cxnId="{F7E5F7A3-9E41-2345-9E03-13E93E2D009F}">
      <dgm:prSet/>
      <dgm:spPr/>
      <dgm:t>
        <a:bodyPr/>
        <a:lstStyle/>
        <a:p>
          <a:pPr algn="ctr"/>
          <a:endParaRPr lang="en-US" sz="1100"/>
        </a:p>
      </dgm:t>
    </dgm:pt>
    <dgm:pt modelId="{3D2D4D02-A5C3-494C-AA17-9E741C304F0A}">
      <dgm:prSet phldrT="[Text]" custT="1"/>
      <dgm:spPr/>
      <dgm:t>
        <a:bodyPr/>
        <a:lstStyle/>
        <a:p>
          <a:pPr algn="ctr"/>
          <a:r>
            <a:rPr lang="en-US" sz="1100" b="1"/>
            <a:t>15-30 mins</a:t>
          </a:r>
        </a:p>
      </dgm:t>
    </dgm:pt>
    <dgm:pt modelId="{753D11A2-4524-7B47-8908-CBAE3F618FF3}" type="parTrans" cxnId="{E7277451-6F21-5244-B955-07DC47A1AE22}">
      <dgm:prSet/>
      <dgm:spPr/>
      <dgm:t>
        <a:bodyPr/>
        <a:lstStyle/>
        <a:p>
          <a:pPr algn="ctr"/>
          <a:endParaRPr lang="en-US" sz="1100"/>
        </a:p>
      </dgm:t>
    </dgm:pt>
    <dgm:pt modelId="{EC748F1D-AD16-2449-99F5-527CC00A62C5}" type="sibTrans" cxnId="{E7277451-6F21-5244-B955-07DC47A1AE22}">
      <dgm:prSet/>
      <dgm:spPr/>
      <dgm:t>
        <a:bodyPr/>
        <a:lstStyle/>
        <a:p>
          <a:pPr algn="ctr"/>
          <a:endParaRPr lang="en-US" sz="1100"/>
        </a:p>
      </dgm:t>
    </dgm:pt>
    <dgm:pt modelId="{68AB0310-AB85-8B45-9D41-620E4C594CB9}">
      <dgm:prSet phldrT="[Text]" custT="1"/>
      <dgm:spPr/>
      <dgm:t>
        <a:bodyPr/>
        <a:lstStyle/>
        <a:p>
          <a:pPr algn="ctr"/>
          <a:r>
            <a:rPr lang="en-US" sz="1100" b="1"/>
            <a:t>30-45 mins</a:t>
          </a:r>
        </a:p>
      </dgm:t>
    </dgm:pt>
    <dgm:pt modelId="{438CBF3B-D0F4-9D48-A142-5F2D9150F864}" type="parTrans" cxnId="{A6C33D4A-E7BE-894C-B668-16EE86CD664B}">
      <dgm:prSet/>
      <dgm:spPr/>
      <dgm:t>
        <a:bodyPr/>
        <a:lstStyle/>
        <a:p>
          <a:pPr algn="ctr"/>
          <a:endParaRPr lang="en-US" sz="1100"/>
        </a:p>
      </dgm:t>
    </dgm:pt>
    <dgm:pt modelId="{24EA5C2C-3B86-4447-B442-14CF2CCF0332}" type="sibTrans" cxnId="{A6C33D4A-E7BE-894C-B668-16EE86CD664B}">
      <dgm:prSet/>
      <dgm:spPr/>
      <dgm:t>
        <a:bodyPr/>
        <a:lstStyle/>
        <a:p>
          <a:pPr algn="ctr"/>
          <a:endParaRPr lang="en-US" sz="1100"/>
        </a:p>
      </dgm:t>
    </dgm:pt>
    <dgm:pt modelId="{865DB265-2376-DB44-9068-8D396FBC6DA7}">
      <dgm:prSet phldrT="[Text]" custT="1"/>
      <dgm:spPr/>
      <dgm:t>
        <a:bodyPr/>
        <a:lstStyle/>
        <a:p>
          <a:pPr algn="ctr"/>
          <a:r>
            <a:rPr lang="en-US" sz="1100" b="1"/>
            <a:t>45 mins +</a:t>
          </a:r>
        </a:p>
      </dgm:t>
    </dgm:pt>
    <dgm:pt modelId="{38A69577-B504-8043-B614-00033C4667ED}" type="parTrans" cxnId="{D97498A0-2266-FF40-91F3-B6BE55EDB390}">
      <dgm:prSet/>
      <dgm:spPr/>
      <dgm:t>
        <a:bodyPr/>
        <a:lstStyle/>
        <a:p>
          <a:pPr algn="ctr"/>
          <a:endParaRPr lang="en-US" sz="1100"/>
        </a:p>
      </dgm:t>
    </dgm:pt>
    <dgm:pt modelId="{F8E931C3-303A-2342-BE12-B6D4426BF06B}" type="sibTrans" cxnId="{D97498A0-2266-FF40-91F3-B6BE55EDB390}">
      <dgm:prSet/>
      <dgm:spPr/>
      <dgm:t>
        <a:bodyPr/>
        <a:lstStyle/>
        <a:p>
          <a:pPr algn="ctr"/>
          <a:endParaRPr lang="en-US" sz="1100"/>
        </a:p>
      </dgm:t>
    </dgm:pt>
    <dgm:pt modelId="{D2DCA103-7A15-E541-8977-D49EBF5D392A}">
      <dgm:prSet phldrT="[Text]" custT="1"/>
      <dgm:spPr/>
      <dgm:t>
        <a:bodyPr/>
        <a:lstStyle/>
        <a:p>
          <a:pPr algn="ctr"/>
          <a:r>
            <a:rPr lang="en-US" sz="1100" i="1"/>
            <a:t>MBS 23 ($36.30)</a:t>
          </a:r>
        </a:p>
      </dgm:t>
    </dgm:pt>
    <dgm:pt modelId="{3E507491-2711-B94A-A1E9-461017E29ECB}" type="parTrans" cxnId="{51CB5848-4493-6241-ACA2-18B8C79CC465}">
      <dgm:prSet/>
      <dgm:spPr/>
      <dgm:t>
        <a:bodyPr/>
        <a:lstStyle/>
        <a:p>
          <a:pPr algn="ctr"/>
          <a:endParaRPr lang="en-US" sz="1100"/>
        </a:p>
      </dgm:t>
    </dgm:pt>
    <dgm:pt modelId="{75494C60-AE7C-F040-9E1A-86278EAD1EE7}" type="sibTrans" cxnId="{51CB5848-4493-6241-ACA2-18B8C79CC465}">
      <dgm:prSet/>
      <dgm:spPr/>
      <dgm:t>
        <a:bodyPr/>
        <a:lstStyle/>
        <a:p>
          <a:pPr algn="ctr"/>
          <a:endParaRPr lang="en-US" sz="1100"/>
        </a:p>
      </dgm:t>
    </dgm:pt>
    <dgm:pt modelId="{F678D22A-E410-B44E-A48B-1A84784FE659}">
      <dgm:prSet phldrT="[Text]" custT="1"/>
      <dgm:spPr/>
      <dgm:t>
        <a:bodyPr/>
        <a:lstStyle/>
        <a:p>
          <a:pPr algn="ctr"/>
          <a:r>
            <a:rPr lang="en-US" sz="1100" i="1"/>
            <a:t>MBS 116 ($64.20)</a:t>
          </a:r>
        </a:p>
      </dgm:t>
    </dgm:pt>
    <dgm:pt modelId="{A0416ECC-4A2A-1E45-B785-9209F187AC5C}" type="parTrans" cxnId="{0224C635-C58D-5143-9153-DA302C191A81}">
      <dgm:prSet/>
      <dgm:spPr/>
      <dgm:t>
        <a:bodyPr/>
        <a:lstStyle/>
        <a:p>
          <a:pPr algn="ctr"/>
          <a:endParaRPr lang="en-US" sz="1100"/>
        </a:p>
      </dgm:t>
    </dgm:pt>
    <dgm:pt modelId="{C9DE0A3D-5B2E-A940-A111-D11D4E220410}" type="sibTrans" cxnId="{0224C635-C58D-5143-9153-DA302C191A81}">
      <dgm:prSet/>
      <dgm:spPr/>
      <dgm:t>
        <a:bodyPr/>
        <a:lstStyle/>
        <a:p>
          <a:pPr algn="ctr"/>
          <a:endParaRPr lang="en-US" sz="1100"/>
        </a:p>
      </dgm:t>
    </dgm:pt>
    <dgm:pt modelId="{BA4C6AE5-90E4-6F4B-AC3A-2BA1DBBDA93C}">
      <dgm:prSet phldrT="[Text]" custT="1"/>
      <dgm:spPr/>
      <dgm:t>
        <a:bodyPr/>
        <a:lstStyle/>
        <a:p>
          <a:pPr algn="ctr"/>
          <a:r>
            <a:rPr lang="en-US" sz="1100" b="1" i="1"/>
            <a:t>New Item ($96.30)</a:t>
          </a:r>
        </a:p>
      </dgm:t>
    </dgm:pt>
    <dgm:pt modelId="{5AFFFC75-E306-A448-8ABD-18D9F8D6D3B9}" type="parTrans" cxnId="{004BCFB3-616B-FA40-BED8-9BD36B2DAB0D}">
      <dgm:prSet/>
      <dgm:spPr/>
      <dgm:t>
        <a:bodyPr/>
        <a:lstStyle/>
        <a:p>
          <a:pPr algn="ctr"/>
          <a:endParaRPr lang="en-US" sz="1100"/>
        </a:p>
      </dgm:t>
    </dgm:pt>
    <dgm:pt modelId="{6FC22C72-1DB9-B84F-AA76-96D45910536C}" type="sibTrans" cxnId="{004BCFB3-616B-FA40-BED8-9BD36B2DAB0D}">
      <dgm:prSet/>
      <dgm:spPr/>
      <dgm:t>
        <a:bodyPr/>
        <a:lstStyle/>
        <a:p>
          <a:pPr algn="ctr"/>
          <a:endParaRPr lang="en-US" sz="1100"/>
        </a:p>
      </dgm:t>
    </dgm:pt>
    <dgm:pt modelId="{D667295C-1BF9-CA4C-89FE-8067C2D1C6D9}">
      <dgm:prSet phldrT="[Text]" custT="1"/>
      <dgm:spPr/>
      <dgm:t>
        <a:bodyPr/>
        <a:lstStyle/>
        <a:p>
          <a:pPr algn="ctr"/>
          <a:r>
            <a:rPr lang="en-US" sz="1100" i="1"/>
            <a:t>MBS 110 ($128.30)</a:t>
          </a:r>
        </a:p>
      </dgm:t>
    </dgm:pt>
    <dgm:pt modelId="{646840C6-9D22-0940-94F4-BFE459C48682}" type="parTrans" cxnId="{38A11014-D2BE-1A45-A490-3A4D118DBAD0}">
      <dgm:prSet/>
      <dgm:spPr/>
      <dgm:t>
        <a:bodyPr/>
        <a:lstStyle/>
        <a:p>
          <a:pPr algn="ctr"/>
          <a:endParaRPr lang="en-US" sz="1100"/>
        </a:p>
      </dgm:t>
    </dgm:pt>
    <dgm:pt modelId="{34CD74AD-E99B-D34E-9054-03EC226A45FE}" type="sibTrans" cxnId="{38A11014-D2BE-1A45-A490-3A4D118DBAD0}">
      <dgm:prSet/>
      <dgm:spPr/>
      <dgm:t>
        <a:bodyPr/>
        <a:lstStyle/>
        <a:p>
          <a:pPr algn="ctr"/>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custScaleX="212288">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F2A72129-05A7-4CA9-9E63-861F5EDA3FFB}" type="presOf" srcId="{3D2D4D02-A5C3-494C-AA17-9E741C304F0A}" destId="{721901F3-629C-D545-8A4A-CFEFECBE41BF}" srcOrd="0" destOrd="0" presId="urn:microsoft.com/office/officeart/2005/8/layout/hierarchy1"/>
    <dgm:cxn modelId="{533534C2-860D-4BA4-A636-DB12F9D801DE}" type="presOf" srcId="{F678D22A-E410-B44E-A48B-1A84784FE659}" destId="{0C3384DB-4E62-1343-9B29-EA318FB39799}" srcOrd="0" destOrd="0" presId="urn:microsoft.com/office/officeart/2005/8/layout/hierarchy1"/>
    <dgm:cxn modelId="{60CD33D8-6875-4574-9119-80558C4C510F}" type="presOf" srcId="{D667295C-1BF9-CA4C-89FE-8067C2D1C6D9}" destId="{259E6A64-F5A9-594E-A4DE-04EA642F0B2C}" srcOrd="0" destOrd="0" presId="urn:microsoft.com/office/officeart/2005/8/layout/hierarchy1"/>
    <dgm:cxn modelId="{BF1627AE-0D1B-4D74-8926-091DB4ACE839}" type="presOf" srcId="{6D2FF0AE-09F2-3B4F-8898-E83E0E959B53}" destId="{4435B795-5104-6F4A-8C6E-2A14B1B46FD7}"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9C175CBB-B89B-435E-9F64-14020E0EDDB0}" type="presOf" srcId="{68AB0310-AB85-8B45-9D41-620E4C594CB9}" destId="{53ED3188-B4DA-7A45-BB61-4FA1E01CEE04}" srcOrd="0" destOrd="0" presId="urn:microsoft.com/office/officeart/2005/8/layout/hierarchy1"/>
    <dgm:cxn modelId="{C2909C17-A1D3-47D4-B6C5-51FC558EFAA3}" type="presOf" srcId="{865DB265-2376-DB44-9068-8D396FBC6DA7}" destId="{21A2662A-6AE3-1E4F-B5C1-E62D06573556}" srcOrd="0" destOrd="0" presId="urn:microsoft.com/office/officeart/2005/8/layout/hierarchy1"/>
    <dgm:cxn modelId="{E7277451-6F21-5244-B955-07DC47A1AE22}" srcId="{68FDA15D-0887-2443-A357-BD07E2464A58}" destId="{3D2D4D02-A5C3-494C-AA17-9E741C304F0A}" srcOrd="1" destOrd="0" parTransId="{753D11A2-4524-7B47-8908-CBAE3F618FF3}" sibTransId="{EC748F1D-AD16-2449-99F5-527CC00A62C5}"/>
    <dgm:cxn modelId="{2DD1BA81-6B1F-4DF5-BF94-BC6A959B2CE0}" type="presOf" srcId="{38A69577-B504-8043-B614-00033C4667ED}" destId="{5DD4A6E5-30D2-BC48-82EF-44AB6345F29B}" srcOrd="0" destOrd="0" presId="urn:microsoft.com/office/officeart/2005/8/layout/hierarchy1"/>
    <dgm:cxn modelId="{BDA68BFA-D03B-4129-A3F0-97DBC36588C4}" type="presOf" srcId="{5AFFFC75-E306-A448-8ABD-18D9F8D6D3B9}" destId="{158E4AD8-3313-1D47-B7CA-87E116655F38}"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271CBB8C-3715-4FE5-88CD-B43B33577F08}" type="presOf" srcId="{A0416ECC-4A2A-1E45-B785-9209F187AC5C}" destId="{D4F4F276-AFD8-4247-8DC4-B4ACD3AC0C75}" srcOrd="0" destOrd="0" presId="urn:microsoft.com/office/officeart/2005/8/layout/hierarchy1"/>
    <dgm:cxn modelId="{004BCFB3-616B-FA40-BED8-9BD36B2DAB0D}" srcId="{68AB0310-AB85-8B45-9D41-620E4C594CB9}" destId="{BA4C6AE5-90E4-6F4B-AC3A-2BA1DBBDA93C}" srcOrd="0" destOrd="0" parTransId="{5AFFFC75-E306-A448-8ABD-18D9F8D6D3B9}" sibTransId="{6FC22C72-1DB9-B84F-AA76-96D45910536C}"/>
    <dgm:cxn modelId="{00720E9E-0EC3-4303-831A-FEF95B239223}" type="presOf" srcId="{646840C6-9D22-0940-94F4-BFE459C48682}" destId="{CA9133C5-0C81-194A-B4FC-B30436310F7C}" srcOrd="0" destOrd="0" presId="urn:microsoft.com/office/officeart/2005/8/layout/hierarchy1"/>
    <dgm:cxn modelId="{16F0E6A2-689D-4FA3-AA0D-02067D646E5C}" type="presOf" srcId="{BA4C6AE5-90E4-6F4B-AC3A-2BA1DBBDA93C}" destId="{A859854A-8142-9B40-8B3A-52E11BDD75A4}" srcOrd="0" destOrd="0" presId="urn:microsoft.com/office/officeart/2005/8/layout/hierarchy1"/>
    <dgm:cxn modelId="{174D5299-C193-406B-A1D1-9D2A249CA30A}" type="presOf" srcId="{42E6C4B5-8A56-514D-9D10-12F50465C01E}" destId="{1223D048-6377-0849-A74E-A44C69F627A7}"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FDB64CEF-F640-4AAF-97F4-25E3514EF877}" type="presOf" srcId="{753D11A2-4524-7B47-8908-CBAE3F618FF3}" destId="{7EB04D44-ED91-8646-BCBE-3ED3306A03AD}" srcOrd="0" destOrd="0" presId="urn:microsoft.com/office/officeart/2005/8/layout/hierarchy1"/>
    <dgm:cxn modelId="{8E22D934-AC8D-40C4-96B4-767202DF1EA3}" type="presOf" srcId="{3E507491-2711-B94A-A1E9-461017E29ECB}" destId="{53AE8375-F2A8-764C-BA20-CDF18A3A8521}" srcOrd="0" destOrd="0" presId="urn:microsoft.com/office/officeart/2005/8/layout/hierarchy1"/>
    <dgm:cxn modelId="{699E99AA-CA5B-4190-8174-782698326E85}" type="presOf" srcId="{68FDA15D-0887-2443-A357-BD07E2464A58}" destId="{7527AFBF-24BC-6048-8CA6-468956327B51}" srcOrd="0" destOrd="0" presId="urn:microsoft.com/office/officeart/2005/8/layout/hierarchy1"/>
    <dgm:cxn modelId="{2BCA69A6-7FB6-43AD-8610-D4694D06E41D}" type="presOf" srcId="{D2DCA103-7A15-E541-8977-D49EBF5D392A}" destId="{0B45D9A2-4E18-634A-B70B-8ECBE0DC0AE6}"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38A11014-D2BE-1A45-A490-3A4D118DBAD0}" srcId="{865DB265-2376-DB44-9068-8D396FBC6DA7}" destId="{D667295C-1BF9-CA4C-89FE-8067C2D1C6D9}" srcOrd="0" destOrd="0" parTransId="{646840C6-9D22-0940-94F4-BFE459C48682}" sibTransId="{34CD74AD-E99B-D34E-9054-03EC226A45FE}"/>
    <dgm:cxn modelId="{D97498A0-2266-FF40-91F3-B6BE55EDB390}" srcId="{68FDA15D-0887-2443-A357-BD07E2464A58}" destId="{865DB265-2376-DB44-9068-8D396FBC6DA7}" srcOrd="3" destOrd="0" parTransId="{38A69577-B504-8043-B614-00033C4667ED}" sibTransId="{F8E931C3-303A-2342-BE12-B6D4426BF06B}"/>
    <dgm:cxn modelId="{3C0DA99F-09B2-441A-B9E5-C73795EFFDB2}" type="presOf" srcId="{438CBF3B-D0F4-9D48-A142-5F2D9150F864}" destId="{55508F5B-3B84-EF48-82B5-9D2C53F782BF}" srcOrd="0" destOrd="0" presId="urn:microsoft.com/office/officeart/2005/8/layout/hierarchy1"/>
    <dgm:cxn modelId="{0DE78EA4-E184-4AF3-90F7-12BEDD19B990}" type="presOf" srcId="{1B681A8F-A554-1F44-BADD-518AA499E287}" destId="{BD5CF76E-544D-E04C-BB86-76DDAD6F7AB3}"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C3ECC510-3205-4863-9352-9EA601E95CE9}" type="presParOf" srcId="{1223D048-6377-0849-A74E-A44C69F627A7}" destId="{6BF0587A-F26B-F94E-80BA-9550E9BD1B6C}" srcOrd="0" destOrd="0" presId="urn:microsoft.com/office/officeart/2005/8/layout/hierarchy1"/>
    <dgm:cxn modelId="{088622FD-6BA5-48D3-8EE4-317AEDBB9F57}" type="presParOf" srcId="{6BF0587A-F26B-F94E-80BA-9550E9BD1B6C}" destId="{5CF6D649-3736-C14A-8CE5-DF66A61B1B4F}" srcOrd="0" destOrd="0" presId="urn:microsoft.com/office/officeart/2005/8/layout/hierarchy1"/>
    <dgm:cxn modelId="{9C69BB0F-ED85-4951-91B3-B1813D184D54}" type="presParOf" srcId="{5CF6D649-3736-C14A-8CE5-DF66A61B1B4F}" destId="{157D4998-21CF-A248-83EB-0106527C25EC}" srcOrd="0" destOrd="0" presId="urn:microsoft.com/office/officeart/2005/8/layout/hierarchy1"/>
    <dgm:cxn modelId="{7A8BC336-ACC4-4D33-9EF6-70421ECDF373}" type="presParOf" srcId="{5CF6D649-3736-C14A-8CE5-DF66A61B1B4F}" destId="{7527AFBF-24BC-6048-8CA6-468956327B51}" srcOrd="1" destOrd="0" presId="urn:microsoft.com/office/officeart/2005/8/layout/hierarchy1"/>
    <dgm:cxn modelId="{B8112473-7EAE-49F3-90C7-EBBB698CD296}" type="presParOf" srcId="{6BF0587A-F26B-F94E-80BA-9550E9BD1B6C}" destId="{39F965AE-B422-8447-9BA9-FC4015A2122A}" srcOrd="1" destOrd="0" presId="urn:microsoft.com/office/officeart/2005/8/layout/hierarchy1"/>
    <dgm:cxn modelId="{2D29BC29-421F-4EAC-A2DB-439962592A57}" type="presParOf" srcId="{39F965AE-B422-8447-9BA9-FC4015A2122A}" destId="{BD5CF76E-544D-E04C-BB86-76DDAD6F7AB3}" srcOrd="0" destOrd="0" presId="urn:microsoft.com/office/officeart/2005/8/layout/hierarchy1"/>
    <dgm:cxn modelId="{31A22373-B64F-480A-8D96-9571C7F18B0A}" type="presParOf" srcId="{39F965AE-B422-8447-9BA9-FC4015A2122A}" destId="{A51BDB54-F392-CB48-88B5-BF4D5FF8F3AE}" srcOrd="1" destOrd="0" presId="urn:microsoft.com/office/officeart/2005/8/layout/hierarchy1"/>
    <dgm:cxn modelId="{1C4C1A1D-5C26-4102-9259-EB3F85522445}" type="presParOf" srcId="{A51BDB54-F392-CB48-88B5-BF4D5FF8F3AE}" destId="{A8AA713F-4182-2646-8D59-439D40ED64C9}" srcOrd="0" destOrd="0" presId="urn:microsoft.com/office/officeart/2005/8/layout/hierarchy1"/>
    <dgm:cxn modelId="{526CD76C-EE9E-4F55-BA4D-37A2B82A6552}" type="presParOf" srcId="{A8AA713F-4182-2646-8D59-439D40ED64C9}" destId="{54A8B529-F9E3-4141-8DC9-99339199C884}" srcOrd="0" destOrd="0" presId="urn:microsoft.com/office/officeart/2005/8/layout/hierarchy1"/>
    <dgm:cxn modelId="{937897E6-7872-47DA-9CEC-068E215E2E50}" type="presParOf" srcId="{A8AA713F-4182-2646-8D59-439D40ED64C9}" destId="{4435B795-5104-6F4A-8C6E-2A14B1B46FD7}" srcOrd="1" destOrd="0" presId="urn:microsoft.com/office/officeart/2005/8/layout/hierarchy1"/>
    <dgm:cxn modelId="{BB082347-271C-4335-8349-5469CD3691AF}" type="presParOf" srcId="{A51BDB54-F392-CB48-88B5-BF4D5FF8F3AE}" destId="{8BD5E129-C5BB-164C-9FF5-228278421498}" srcOrd="1" destOrd="0" presId="urn:microsoft.com/office/officeart/2005/8/layout/hierarchy1"/>
    <dgm:cxn modelId="{BDB006C7-A709-4FA5-8313-AAD62CE44695}" type="presParOf" srcId="{8BD5E129-C5BB-164C-9FF5-228278421498}" destId="{53AE8375-F2A8-764C-BA20-CDF18A3A8521}" srcOrd="0" destOrd="0" presId="urn:microsoft.com/office/officeart/2005/8/layout/hierarchy1"/>
    <dgm:cxn modelId="{219810E9-AF61-4E3B-BA60-5ED50ED3A13A}" type="presParOf" srcId="{8BD5E129-C5BB-164C-9FF5-228278421498}" destId="{EEFD2779-1B03-4243-8B58-BDFAB6E93AB1}" srcOrd="1" destOrd="0" presId="urn:microsoft.com/office/officeart/2005/8/layout/hierarchy1"/>
    <dgm:cxn modelId="{2F860E7F-A4AC-4E10-B165-C868FCBF4B9A}" type="presParOf" srcId="{EEFD2779-1B03-4243-8B58-BDFAB6E93AB1}" destId="{8CB8A041-395B-5543-AB2E-7DA6CCEB4966}" srcOrd="0" destOrd="0" presId="urn:microsoft.com/office/officeart/2005/8/layout/hierarchy1"/>
    <dgm:cxn modelId="{6A4D06E9-50F2-4454-AE2B-F2FFF70149C5}" type="presParOf" srcId="{8CB8A041-395B-5543-AB2E-7DA6CCEB4966}" destId="{3240397F-0654-6F4E-864F-1CFB9BF37823}" srcOrd="0" destOrd="0" presId="urn:microsoft.com/office/officeart/2005/8/layout/hierarchy1"/>
    <dgm:cxn modelId="{DAA3A0AE-AED7-4584-9713-1760851952A6}" type="presParOf" srcId="{8CB8A041-395B-5543-AB2E-7DA6CCEB4966}" destId="{0B45D9A2-4E18-634A-B70B-8ECBE0DC0AE6}" srcOrd="1" destOrd="0" presId="urn:microsoft.com/office/officeart/2005/8/layout/hierarchy1"/>
    <dgm:cxn modelId="{B274D52D-4D44-4221-A2C2-7C4B267228A2}" type="presParOf" srcId="{EEFD2779-1B03-4243-8B58-BDFAB6E93AB1}" destId="{AA360262-F3A2-8447-952A-460D4F0F1CAE}" srcOrd="1" destOrd="0" presId="urn:microsoft.com/office/officeart/2005/8/layout/hierarchy1"/>
    <dgm:cxn modelId="{F27A7FCA-DDB2-4A1A-99BE-266F1339C2EF}" type="presParOf" srcId="{39F965AE-B422-8447-9BA9-FC4015A2122A}" destId="{7EB04D44-ED91-8646-BCBE-3ED3306A03AD}" srcOrd="2" destOrd="0" presId="urn:microsoft.com/office/officeart/2005/8/layout/hierarchy1"/>
    <dgm:cxn modelId="{BA94FE04-A7F5-4E47-A45A-E6C2E4480B48}" type="presParOf" srcId="{39F965AE-B422-8447-9BA9-FC4015A2122A}" destId="{AC89B61D-711B-A64F-AB19-6B7CCC25AE55}" srcOrd="3" destOrd="0" presId="urn:microsoft.com/office/officeart/2005/8/layout/hierarchy1"/>
    <dgm:cxn modelId="{A7E63D16-07C8-4A6E-8BF4-EB9713F61D55}" type="presParOf" srcId="{AC89B61D-711B-A64F-AB19-6B7CCC25AE55}" destId="{E2AB0108-79C5-AE45-B6D3-776B3E26AFE6}" srcOrd="0" destOrd="0" presId="urn:microsoft.com/office/officeart/2005/8/layout/hierarchy1"/>
    <dgm:cxn modelId="{44105344-A600-4094-9C4C-084EF2638A7F}" type="presParOf" srcId="{E2AB0108-79C5-AE45-B6D3-776B3E26AFE6}" destId="{48D7D30C-AB11-D946-8AEC-FD9B2A504183}" srcOrd="0" destOrd="0" presId="urn:microsoft.com/office/officeart/2005/8/layout/hierarchy1"/>
    <dgm:cxn modelId="{60FC7366-A1D3-41E2-9882-1F6E6DDA7402}" type="presParOf" srcId="{E2AB0108-79C5-AE45-B6D3-776B3E26AFE6}" destId="{721901F3-629C-D545-8A4A-CFEFECBE41BF}" srcOrd="1" destOrd="0" presId="urn:microsoft.com/office/officeart/2005/8/layout/hierarchy1"/>
    <dgm:cxn modelId="{587F9173-2E6D-4131-B30A-004125580AD3}" type="presParOf" srcId="{AC89B61D-711B-A64F-AB19-6B7CCC25AE55}" destId="{01243898-A714-C948-9E12-68D3E20AB882}" srcOrd="1" destOrd="0" presId="urn:microsoft.com/office/officeart/2005/8/layout/hierarchy1"/>
    <dgm:cxn modelId="{F748CB71-12C1-4651-8DF0-5614669566BB}" type="presParOf" srcId="{01243898-A714-C948-9E12-68D3E20AB882}" destId="{D4F4F276-AFD8-4247-8DC4-B4ACD3AC0C75}" srcOrd="0" destOrd="0" presId="urn:microsoft.com/office/officeart/2005/8/layout/hierarchy1"/>
    <dgm:cxn modelId="{BE2600F9-68A2-4EF1-BF37-8BC993BCBBA1}" type="presParOf" srcId="{01243898-A714-C948-9E12-68D3E20AB882}" destId="{8225C9A2-E441-6E4C-92BC-572F9C84CE19}" srcOrd="1" destOrd="0" presId="urn:microsoft.com/office/officeart/2005/8/layout/hierarchy1"/>
    <dgm:cxn modelId="{9457B670-BEF6-4E16-B7C9-6A3BC82AA52C}" type="presParOf" srcId="{8225C9A2-E441-6E4C-92BC-572F9C84CE19}" destId="{080163C8-52EB-204F-939F-477A90FEFD5F}" srcOrd="0" destOrd="0" presId="urn:microsoft.com/office/officeart/2005/8/layout/hierarchy1"/>
    <dgm:cxn modelId="{0D6CEDFC-2C61-4694-BA61-D7BFF5B26996}" type="presParOf" srcId="{080163C8-52EB-204F-939F-477A90FEFD5F}" destId="{9166D8F7-1B4C-E041-81E9-30CF31DF6B1C}" srcOrd="0" destOrd="0" presId="urn:microsoft.com/office/officeart/2005/8/layout/hierarchy1"/>
    <dgm:cxn modelId="{E105E5B6-FB3D-40C2-97DB-B84079327FF2}" type="presParOf" srcId="{080163C8-52EB-204F-939F-477A90FEFD5F}" destId="{0C3384DB-4E62-1343-9B29-EA318FB39799}" srcOrd="1" destOrd="0" presId="urn:microsoft.com/office/officeart/2005/8/layout/hierarchy1"/>
    <dgm:cxn modelId="{0A2F45A7-0E55-46A9-947F-0174DAF2C3D3}" type="presParOf" srcId="{8225C9A2-E441-6E4C-92BC-572F9C84CE19}" destId="{336BB470-F2D1-5B46-AF15-3611975B4FEB}" srcOrd="1" destOrd="0" presId="urn:microsoft.com/office/officeart/2005/8/layout/hierarchy1"/>
    <dgm:cxn modelId="{166A5657-9A44-411D-972F-D8C17E823FD3}" type="presParOf" srcId="{39F965AE-B422-8447-9BA9-FC4015A2122A}" destId="{55508F5B-3B84-EF48-82B5-9D2C53F782BF}" srcOrd="4" destOrd="0" presId="urn:microsoft.com/office/officeart/2005/8/layout/hierarchy1"/>
    <dgm:cxn modelId="{BCE4B8F8-E0D8-4F52-BB3D-F8511150B46B}" type="presParOf" srcId="{39F965AE-B422-8447-9BA9-FC4015A2122A}" destId="{3F418DB2-B20B-7D44-A7EC-C64F53ECEB97}" srcOrd="5" destOrd="0" presId="urn:microsoft.com/office/officeart/2005/8/layout/hierarchy1"/>
    <dgm:cxn modelId="{DD907598-FBCD-4B07-ADCE-FA902E5B8052}" type="presParOf" srcId="{3F418DB2-B20B-7D44-A7EC-C64F53ECEB97}" destId="{DFC25FED-44BA-BB40-B97F-63549EDCF6DD}" srcOrd="0" destOrd="0" presId="urn:microsoft.com/office/officeart/2005/8/layout/hierarchy1"/>
    <dgm:cxn modelId="{9564D2BC-AD63-4E7E-A6B2-BEB98012D213}" type="presParOf" srcId="{DFC25FED-44BA-BB40-B97F-63549EDCF6DD}" destId="{24560018-146F-0341-BCE4-266F61ACA491}" srcOrd="0" destOrd="0" presId="urn:microsoft.com/office/officeart/2005/8/layout/hierarchy1"/>
    <dgm:cxn modelId="{CCA5F519-17BE-4516-944C-A97EAB581325}" type="presParOf" srcId="{DFC25FED-44BA-BB40-B97F-63549EDCF6DD}" destId="{53ED3188-B4DA-7A45-BB61-4FA1E01CEE04}" srcOrd="1" destOrd="0" presId="urn:microsoft.com/office/officeart/2005/8/layout/hierarchy1"/>
    <dgm:cxn modelId="{9A375DA1-C926-4194-8BFB-F23E2D3922B5}" type="presParOf" srcId="{3F418DB2-B20B-7D44-A7EC-C64F53ECEB97}" destId="{44C857B0-4564-104C-974B-CACC3D3843F2}" srcOrd="1" destOrd="0" presId="urn:microsoft.com/office/officeart/2005/8/layout/hierarchy1"/>
    <dgm:cxn modelId="{0B7F1D97-5BE6-4E9B-9DD4-80E0FD8C090F}" type="presParOf" srcId="{44C857B0-4564-104C-974B-CACC3D3843F2}" destId="{158E4AD8-3313-1D47-B7CA-87E116655F38}" srcOrd="0" destOrd="0" presId="urn:microsoft.com/office/officeart/2005/8/layout/hierarchy1"/>
    <dgm:cxn modelId="{6124F713-99CB-4A40-AAEB-FFA37D2BC44C}" type="presParOf" srcId="{44C857B0-4564-104C-974B-CACC3D3843F2}" destId="{FADE98E4-877F-824E-8BEE-4F00578F1996}" srcOrd="1" destOrd="0" presId="urn:microsoft.com/office/officeart/2005/8/layout/hierarchy1"/>
    <dgm:cxn modelId="{251F0D95-0C8E-4161-AE00-A52E727DCDB5}" type="presParOf" srcId="{FADE98E4-877F-824E-8BEE-4F00578F1996}" destId="{0B9EB50A-EC87-FB4E-950F-D3E7B3E32EF8}" srcOrd="0" destOrd="0" presId="urn:microsoft.com/office/officeart/2005/8/layout/hierarchy1"/>
    <dgm:cxn modelId="{31F484DA-B3D8-414F-A557-76B744CBFD08}" type="presParOf" srcId="{0B9EB50A-EC87-FB4E-950F-D3E7B3E32EF8}" destId="{978489A2-8BF7-9848-A9AC-08BA76F88668}" srcOrd="0" destOrd="0" presId="urn:microsoft.com/office/officeart/2005/8/layout/hierarchy1"/>
    <dgm:cxn modelId="{86DB115A-B68D-4BED-B8DE-92DF37C1C843}" type="presParOf" srcId="{0B9EB50A-EC87-FB4E-950F-D3E7B3E32EF8}" destId="{A859854A-8142-9B40-8B3A-52E11BDD75A4}" srcOrd="1" destOrd="0" presId="urn:microsoft.com/office/officeart/2005/8/layout/hierarchy1"/>
    <dgm:cxn modelId="{12BA9DBF-8D54-4CC7-A9B4-4CF5204FA1FE}" type="presParOf" srcId="{FADE98E4-877F-824E-8BEE-4F00578F1996}" destId="{FA23B74A-3CD7-4442-B1CC-DC6348B08F59}" srcOrd="1" destOrd="0" presId="urn:microsoft.com/office/officeart/2005/8/layout/hierarchy1"/>
    <dgm:cxn modelId="{C406F09C-386C-4344-8F63-40F00897222D}" type="presParOf" srcId="{39F965AE-B422-8447-9BA9-FC4015A2122A}" destId="{5DD4A6E5-30D2-BC48-82EF-44AB6345F29B}" srcOrd="6" destOrd="0" presId="urn:microsoft.com/office/officeart/2005/8/layout/hierarchy1"/>
    <dgm:cxn modelId="{052AFD6E-BB9F-448F-88B2-FC2130E5E85F}" type="presParOf" srcId="{39F965AE-B422-8447-9BA9-FC4015A2122A}" destId="{BCCFF5D7-617E-1D4C-BF22-78FC77D967A1}" srcOrd="7" destOrd="0" presId="urn:microsoft.com/office/officeart/2005/8/layout/hierarchy1"/>
    <dgm:cxn modelId="{867C1A81-ED0D-4686-845F-A6EA9B9FA58E}" type="presParOf" srcId="{BCCFF5D7-617E-1D4C-BF22-78FC77D967A1}" destId="{6DBF0123-4E23-6C41-A78B-B7BBE67D8E28}" srcOrd="0" destOrd="0" presId="urn:microsoft.com/office/officeart/2005/8/layout/hierarchy1"/>
    <dgm:cxn modelId="{59851487-38A1-47E9-9074-27018FA3DA91}" type="presParOf" srcId="{6DBF0123-4E23-6C41-A78B-B7BBE67D8E28}" destId="{DC1DF888-6604-404C-9DB0-E21688DA45A4}" srcOrd="0" destOrd="0" presId="urn:microsoft.com/office/officeart/2005/8/layout/hierarchy1"/>
    <dgm:cxn modelId="{E6606AD7-12CB-4544-BB20-C9E0D7FE8288}" type="presParOf" srcId="{6DBF0123-4E23-6C41-A78B-B7BBE67D8E28}" destId="{21A2662A-6AE3-1E4F-B5C1-E62D06573556}" srcOrd="1" destOrd="0" presId="urn:microsoft.com/office/officeart/2005/8/layout/hierarchy1"/>
    <dgm:cxn modelId="{81C2B6D4-EE2C-4196-B8D8-B05FDF12C1D7}" type="presParOf" srcId="{BCCFF5D7-617E-1D4C-BF22-78FC77D967A1}" destId="{8EA1F0CC-2698-684A-BE71-C2C7FDE7D656}" srcOrd="1" destOrd="0" presId="urn:microsoft.com/office/officeart/2005/8/layout/hierarchy1"/>
    <dgm:cxn modelId="{97406DD9-D6F1-49D6-B8D9-1AF4211A66BE}" type="presParOf" srcId="{8EA1F0CC-2698-684A-BE71-C2C7FDE7D656}" destId="{CA9133C5-0C81-194A-B4FC-B30436310F7C}" srcOrd="0" destOrd="0" presId="urn:microsoft.com/office/officeart/2005/8/layout/hierarchy1"/>
    <dgm:cxn modelId="{22EC2351-9AF4-41FB-8D93-4F0FC364C0B1}" type="presParOf" srcId="{8EA1F0CC-2698-684A-BE71-C2C7FDE7D656}" destId="{5E76053C-F5B1-874C-B7DA-073E93D3FDCF}" srcOrd="1" destOrd="0" presId="urn:microsoft.com/office/officeart/2005/8/layout/hierarchy1"/>
    <dgm:cxn modelId="{E5CB847A-551A-4A08-AFD8-40BC96CFDFBE}" type="presParOf" srcId="{5E76053C-F5B1-874C-B7DA-073E93D3FDCF}" destId="{69A108B0-3048-D643-B46D-C8A50E5927D5}" srcOrd="0" destOrd="0" presId="urn:microsoft.com/office/officeart/2005/8/layout/hierarchy1"/>
    <dgm:cxn modelId="{57C27999-3B7C-4226-9CED-4ABED731C621}" type="presParOf" srcId="{69A108B0-3048-D643-B46D-C8A50E5927D5}" destId="{B8C5050B-80C8-CB42-9832-486811727B59}" srcOrd="0" destOrd="0" presId="urn:microsoft.com/office/officeart/2005/8/layout/hierarchy1"/>
    <dgm:cxn modelId="{CB6BE5A8-AD42-41DF-8498-806652E07873}" type="presParOf" srcId="{69A108B0-3048-D643-B46D-C8A50E5927D5}" destId="{259E6A64-F5A9-594E-A4DE-04EA642F0B2C}" srcOrd="1" destOrd="0" presId="urn:microsoft.com/office/officeart/2005/8/layout/hierarchy1"/>
    <dgm:cxn modelId="{D13F9813-2C72-48C5-9AD4-0C4ECB321722}"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D89CE507-51E1-5841-A3A5-2F6D16AAB54A}">
      <dgm:prSet phldrT="[Text]" custT="1"/>
      <dgm:spPr/>
      <dgm:t>
        <a:bodyPr/>
        <a:lstStyle/>
        <a:p>
          <a:pPr algn="ctr"/>
          <a:r>
            <a:rPr lang="en-US" sz="1100" b="1"/>
            <a:t>Referred Item                      Complex treatment and management planning</a:t>
          </a:r>
        </a:p>
      </dgm:t>
    </dgm:pt>
    <dgm:pt modelId="{D971A121-AFF0-F84B-BFEA-DBD96902DA12}" type="parTrans" cxnId="{4CB901BB-6029-4D4A-A480-A759D1DA34ED}">
      <dgm:prSet/>
      <dgm:spPr/>
      <dgm:t>
        <a:bodyPr/>
        <a:lstStyle/>
        <a:p>
          <a:pPr algn="ctr"/>
          <a:endParaRPr lang="en-US" sz="1100"/>
        </a:p>
      </dgm:t>
    </dgm:pt>
    <dgm:pt modelId="{3CF9AFE8-21D5-3E4D-B3B3-AA8F0F7C096E}" type="sibTrans" cxnId="{4CB901BB-6029-4D4A-A480-A759D1DA34ED}">
      <dgm:prSet/>
      <dgm:spPr/>
      <dgm:t>
        <a:bodyPr/>
        <a:lstStyle/>
        <a:p>
          <a:pPr algn="ctr"/>
          <a:endParaRPr lang="en-US" sz="1100"/>
        </a:p>
      </dgm:t>
    </dgm:pt>
    <dgm:pt modelId="{75D8344C-38E1-F447-9538-B473EE28F794}">
      <dgm:prSet phldrT="[Text]" custT="1"/>
      <dgm:spPr/>
      <dgm:t>
        <a:bodyPr/>
        <a:lstStyle/>
        <a:p>
          <a:pPr algn="ctr"/>
          <a:r>
            <a:rPr lang="en-US" sz="1100" b="1"/>
            <a:t>1 x Development of management plan</a:t>
          </a:r>
        </a:p>
      </dgm:t>
    </dgm:pt>
    <dgm:pt modelId="{279CCF87-C7AA-2C4F-BA2A-F3BFB3B33C99}" type="parTrans" cxnId="{E5122C78-8A64-4D48-A37B-033AAF0354B0}">
      <dgm:prSet/>
      <dgm:spPr/>
      <dgm:t>
        <a:bodyPr/>
        <a:lstStyle/>
        <a:p>
          <a:endParaRPr lang="en-US" sz="1100"/>
        </a:p>
      </dgm:t>
    </dgm:pt>
    <dgm:pt modelId="{24E7FD05-8A17-4C4C-A737-CA12855583EA}" type="sibTrans" cxnId="{E5122C78-8A64-4D48-A37B-033AAF0354B0}">
      <dgm:prSet/>
      <dgm:spPr/>
      <dgm:t>
        <a:bodyPr/>
        <a:lstStyle/>
        <a:p>
          <a:endParaRPr lang="en-US" sz="1100"/>
        </a:p>
      </dgm:t>
    </dgm:pt>
    <dgm:pt modelId="{58F215C3-AE08-224B-B5B0-091CD4EBE934}">
      <dgm:prSet phldrT="[Text]" custT="1"/>
      <dgm:spPr/>
      <dgm:t>
        <a:bodyPr/>
        <a:lstStyle/>
        <a:p>
          <a:pPr algn="ctr"/>
          <a:r>
            <a:rPr lang="en-US" sz="1100" b="1"/>
            <a:t>2 x Review of management plan</a:t>
          </a:r>
        </a:p>
      </dgm:t>
    </dgm:pt>
    <dgm:pt modelId="{26EB3FEA-BE8F-A041-9529-6570CD25090E}" type="parTrans" cxnId="{C398556F-B872-4447-9AF0-B9F325DAFB77}">
      <dgm:prSet/>
      <dgm:spPr/>
      <dgm:t>
        <a:bodyPr/>
        <a:lstStyle/>
        <a:p>
          <a:endParaRPr lang="en-US" sz="1100"/>
        </a:p>
      </dgm:t>
    </dgm:pt>
    <dgm:pt modelId="{89203A16-76B6-F547-BFBD-3C090C039229}" type="sibTrans" cxnId="{C398556F-B872-4447-9AF0-B9F325DAFB77}">
      <dgm:prSet/>
      <dgm:spPr/>
      <dgm:t>
        <a:bodyPr/>
        <a:lstStyle/>
        <a:p>
          <a:endParaRPr lang="en-US" sz="1100"/>
        </a:p>
      </dgm:t>
    </dgm:pt>
    <dgm:pt modelId="{C9D4F622-BE34-4C47-B440-7959993B2959}">
      <dgm:prSet phldrT="[Text]" custT="1"/>
      <dgm:spPr/>
      <dgm:t>
        <a:bodyPr/>
        <a:lstStyle/>
        <a:p>
          <a:pPr algn="ctr"/>
          <a:r>
            <a:rPr lang="en-US" sz="1100" b="0" i="1"/>
            <a:t>MBS 133 </a:t>
          </a:r>
        </a:p>
        <a:p>
          <a:pPr algn="ctr"/>
          <a:r>
            <a:rPr lang="en-US" sz="1100" b="0" i="1"/>
            <a:t>($112.30)</a:t>
          </a:r>
        </a:p>
      </dgm:t>
    </dgm:pt>
    <dgm:pt modelId="{5830E825-8BFA-4A42-BFB6-3699C1194CBA}" type="parTrans" cxnId="{6F57B1C1-79AE-3048-BEA7-7B6766F0AFCE}">
      <dgm:prSet/>
      <dgm:spPr/>
      <dgm:t>
        <a:bodyPr/>
        <a:lstStyle/>
        <a:p>
          <a:endParaRPr lang="en-US" sz="1100"/>
        </a:p>
      </dgm:t>
    </dgm:pt>
    <dgm:pt modelId="{A78B22ED-F3A6-734D-891B-21DA42BE1013}" type="sibTrans" cxnId="{6F57B1C1-79AE-3048-BEA7-7B6766F0AFCE}">
      <dgm:prSet/>
      <dgm:spPr/>
      <dgm:t>
        <a:bodyPr/>
        <a:lstStyle/>
        <a:p>
          <a:endParaRPr lang="en-US" sz="1100"/>
        </a:p>
      </dgm:t>
    </dgm:pt>
    <dgm:pt modelId="{CF490BD8-133C-7E4C-9E22-33C3D8CB4CFD}">
      <dgm:prSet phldrT="[Text]" custT="1"/>
      <dgm:spPr/>
      <dgm:t>
        <a:bodyPr/>
        <a:lstStyle/>
        <a:p>
          <a:pPr algn="ctr"/>
          <a:r>
            <a:rPr lang="en-US" sz="1100" b="0" i="1"/>
            <a:t>MBS 132 </a:t>
          </a:r>
        </a:p>
        <a:p>
          <a:pPr algn="ctr"/>
          <a:r>
            <a:rPr lang="en-US" sz="1100" b="0" i="1"/>
            <a:t>($224.35)</a:t>
          </a:r>
        </a:p>
      </dgm:t>
    </dgm:pt>
    <dgm:pt modelId="{9B8718AE-76F6-3345-86F8-A1A694C3B80D}" type="parTrans" cxnId="{CB16F8B7-B203-004E-A9A5-9BBCE32CFE3D}">
      <dgm:prSet/>
      <dgm:spPr/>
      <dgm:t>
        <a:bodyPr/>
        <a:lstStyle/>
        <a:p>
          <a:endParaRPr lang="en-US" sz="1100"/>
        </a:p>
      </dgm:t>
    </dgm:pt>
    <dgm:pt modelId="{24A8DC6E-C9B5-9249-99EE-4991FB3F728A}" type="sibTrans" cxnId="{CB16F8B7-B203-004E-A9A5-9BBCE32CFE3D}">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7092FAB6-76D4-944C-93D6-719C195D4A91}" type="pres">
      <dgm:prSet presAssocID="{D89CE507-51E1-5841-A3A5-2F6D16AAB54A}" presName="hierRoot1" presStyleCnt="0"/>
      <dgm:spPr/>
    </dgm:pt>
    <dgm:pt modelId="{214C517B-ADAA-BB40-952E-2968FBF0D0F8}" type="pres">
      <dgm:prSet presAssocID="{D89CE507-51E1-5841-A3A5-2F6D16AAB54A}" presName="composite" presStyleCnt="0"/>
      <dgm:spPr/>
    </dgm:pt>
    <dgm:pt modelId="{8A6BEEC9-1343-4F4B-8EB6-9ED18D585908}" type="pres">
      <dgm:prSet presAssocID="{D89CE507-51E1-5841-A3A5-2F6D16AAB54A}" presName="background" presStyleLbl="node0" presStyleIdx="0" presStyleCnt="1"/>
      <dgm:spPr/>
    </dgm:pt>
    <dgm:pt modelId="{2AE4C5FB-99FD-3746-A426-8B7B82B0ECF8}" type="pres">
      <dgm:prSet presAssocID="{D89CE507-51E1-5841-A3A5-2F6D16AAB54A}" presName="text" presStyleLbl="fgAcc0" presStyleIdx="0" presStyleCnt="1" custScaleX="222868">
        <dgm:presLayoutVars>
          <dgm:chPref val="3"/>
        </dgm:presLayoutVars>
      </dgm:prSet>
      <dgm:spPr/>
      <dgm:t>
        <a:bodyPr/>
        <a:lstStyle/>
        <a:p>
          <a:endParaRPr lang="en-US"/>
        </a:p>
      </dgm:t>
    </dgm:pt>
    <dgm:pt modelId="{66CAB671-81C6-384D-9BE1-7F71F6216632}" type="pres">
      <dgm:prSet presAssocID="{D89CE507-51E1-5841-A3A5-2F6D16AAB54A}" presName="hierChild2" presStyleCnt="0"/>
      <dgm:spPr/>
    </dgm:pt>
    <dgm:pt modelId="{39A2D233-EEF1-D249-9E6A-BA4BC5AE6323}" type="pres">
      <dgm:prSet presAssocID="{279CCF87-C7AA-2C4F-BA2A-F3BFB3B33C99}" presName="Name10" presStyleLbl="parChTrans1D2" presStyleIdx="0" presStyleCnt="2" custSzX="969793"/>
      <dgm:spPr/>
      <dgm:t>
        <a:bodyPr/>
        <a:lstStyle/>
        <a:p>
          <a:endParaRPr lang="en-US"/>
        </a:p>
      </dgm:t>
    </dgm:pt>
    <dgm:pt modelId="{E1A30828-CA73-6042-9590-E54A0F325F84}" type="pres">
      <dgm:prSet presAssocID="{75D8344C-38E1-F447-9538-B473EE28F794}" presName="hierRoot2" presStyleCnt="0"/>
      <dgm:spPr/>
    </dgm:pt>
    <dgm:pt modelId="{20532BD9-893C-FF4E-B128-577FFF7D4791}" type="pres">
      <dgm:prSet presAssocID="{75D8344C-38E1-F447-9538-B473EE28F794}" presName="composite2" presStyleCnt="0"/>
      <dgm:spPr/>
    </dgm:pt>
    <dgm:pt modelId="{B6247777-C52F-2A4D-B35E-65A25504D12A}" type="pres">
      <dgm:prSet presAssocID="{75D8344C-38E1-F447-9538-B473EE28F794}" presName="background2" presStyleLbl="node2" presStyleIdx="0" presStyleCnt="2"/>
      <dgm:spPr/>
    </dgm:pt>
    <dgm:pt modelId="{CCCCF486-59F8-D745-9825-46D66E0AEB8B}" type="pres">
      <dgm:prSet presAssocID="{75D8344C-38E1-F447-9538-B473EE28F794}" presName="text2" presStyleLbl="fgAcc2" presStyleIdx="0" presStyleCnt="2" custScaleX="180954">
        <dgm:presLayoutVars>
          <dgm:chPref val="3"/>
        </dgm:presLayoutVars>
      </dgm:prSet>
      <dgm:spPr/>
      <dgm:t>
        <a:bodyPr/>
        <a:lstStyle/>
        <a:p>
          <a:endParaRPr lang="en-US"/>
        </a:p>
      </dgm:t>
    </dgm:pt>
    <dgm:pt modelId="{D08FE098-1381-964D-9C44-5C58F37F1DBC}" type="pres">
      <dgm:prSet presAssocID="{75D8344C-38E1-F447-9538-B473EE28F794}" presName="hierChild3" presStyleCnt="0"/>
      <dgm:spPr/>
    </dgm:pt>
    <dgm:pt modelId="{EC70C8AB-C671-4448-8321-706CAAC5F716}" type="pres">
      <dgm:prSet presAssocID="{9B8718AE-76F6-3345-86F8-A1A694C3B80D}" presName="Name17" presStyleLbl="parChTrans1D3" presStyleIdx="0" presStyleCnt="2" custSzX="117805"/>
      <dgm:spPr/>
      <dgm:t>
        <a:bodyPr/>
        <a:lstStyle/>
        <a:p>
          <a:endParaRPr lang="en-US"/>
        </a:p>
      </dgm:t>
    </dgm:pt>
    <dgm:pt modelId="{372A44FB-32B3-4941-9C5F-56698AFF12EC}" type="pres">
      <dgm:prSet presAssocID="{CF490BD8-133C-7E4C-9E22-33C3D8CB4CFD}" presName="hierRoot3" presStyleCnt="0"/>
      <dgm:spPr/>
    </dgm:pt>
    <dgm:pt modelId="{6E206DCD-8776-234B-9BD6-CA47B0B5AC03}" type="pres">
      <dgm:prSet presAssocID="{CF490BD8-133C-7E4C-9E22-33C3D8CB4CFD}" presName="composite3" presStyleCnt="0"/>
      <dgm:spPr/>
    </dgm:pt>
    <dgm:pt modelId="{7D031A81-3C79-E24E-9B61-A667317C7378}" type="pres">
      <dgm:prSet presAssocID="{CF490BD8-133C-7E4C-9E22-33C3D8CB4CFD}" presName="background3" presStyleLbl="node3" presStyleIdx="0" presStyleCnt="2"/>
      <dgm:spPr/>
    </dgm:pt>
    <dgm:pt modelId="{D231145B-628B-7145-B228-E5144462EFD2}" type="pres">
      <dgm:prSet presAssocID="{CF490BD8-133C-7E4C-9E22-33C3D8CB4CFD}" presName="text3" presStyleLbl="fgAcc3" presStyleIdx="0" presStyleCnt="2" custScaleX="180954">
        <dgm:presLayoutVars>
          <dgm:chPref val="3"/>
        </dgm:presLayoutVars>
      </dgm:prSet>
      <dgm:spPr/>
      <dgm:t>
        <a:bodyPr/>
        <a:lstStyle/>
        <a:p>
          <a:endParaRPr lang="en-US"/>
        </a:p>
      </dgm:t>
    </dgm:pt>
    <dgm:pt modelId="{25ACC479-740B-A840-B52C-A7A9316DE7A9}" type="pres">
      <dgm:prSet presAssocID="{CF490BD8-133C-7E4C-9E22-33C3D8CB4CFD}" presName="hierChild4" presStyleCnt="0"/>
      <dgm:spPr/>
    </dgm:pt>
    <dgm:pt modelId="{4A924054-80EA-A449-9724-38342A2168F5}" type="pres">
      <dgm:prSet presAssocID="{26EB3FEA-BE8F-A041-9529-6570CD25090E}" presName="Name10" presStyleLbl="parChTrans1D2" presStyleIdx="1" presStyleCnt="2" custSzX="969793"/>
      <dgm:spPr/>
      <dgm:t>
        <a:bodyPr/>
        <a:lstStyle/>
        <a:p>
          <a:endParaRPr lang="en-US"/>
        </a:p>
      </dgm:t>
    </dgm:pt>
    <dgm:pt modelId="{32E89013-3275-7A49-9D22-06234CE17495}" type="pres">
      <dgm:prSet presAssocID="{58F215C3-AE08-224B-B5B0-091CD4EBE934}" presName="hierRoot2" presStyleCnt="0"/>
      <dgm:spPr/>
    </dgm:pt>
    <dgm:pt modelId="{A0D28733-4F5F-D842-BF7A-E85F528DAABE}" type="pres">
      <dgm:prSet presAssocID="{58F215C3-AE08-224B-B5B0-091CD4EBE934}" presName="composite2" presStyleCnt="0"/>
      <dgm:spPr/>
    </dgm:pt>
    <dgm:pt modelId="{97A62F18-7A00-374E-8986-EDAC22F48AD6}" type="pres">
      <dgm:prSet presAssocID="{58F215C3-AE08-224B-B5B0-091CD4EBE934}" presName="background2" presStyleLbl="node2" presStyleIdx="1" presStyleCnt="2"/>
      <dgm:spPr/>
    </dgm:pt>
    <dgm:pt modelId="{DEE312E0-BF0E-2544-BF55-126502F3871B}" type="pres">
      <dgm:prSet presAssocID="{58F215C3-AE08-224B-B5B0-091CD4EBE934}" presName="text2" presStyleLbl="fgAcc2" presStyleIdx="1" presStyleCnt="2" custScaleX="180954">
        <dgm:presLayoutVars>
          <dgm:chPref val="3"/>
        </dgm:presLayoutVars>
      </dgm:prSet>
      <dgm:spPr/>
      <dgm:t>
        <a:bodyPr/>
        <a:lstStyle/>
        <a:p>
          <a:endParaRPr lang="en-US"/>
        </a:p>
      </dgm:t>
    </dgm:pt>
    <dgm:pt modelId="{F8D2C834-B2B7-9B4C-93AC-7E33AF4EC4B8}" type="pres">
      <dgm:prSet presAssocID="{58F215C3-AE08-224B-B5B0-091CD4EBE934}" presName="hierChild3" presStyleCnt="0"/>
      <dgm:spPr/>
    </dgm:pt>
    <dgm:pt modelId="{98F67FA6-9FB1-5B43-B86A-7EEEA41F71AC}" type="pres">
      <dgm:prSet presAssocID="{5830E825-8BFA-4A42-BFB6-3699C1194CBA}" presName="Name17" presStyleLbl="parChTrans1D3" presStyleIdx="1" presStyleCnt="2" custSzX="117805"/>
      <dgm:spPr/>
      <dgm:t>
        <a:bodyPr/>
        <a:lstStyle/>
        <a:p>
          <a:endParaRPr lang="en-US"/>
        </a:p>
      </dgm:t>
    </dgm:pt>
    <dgm:pt modelId="{76E67972-EC17-B045-B855-711F7A301CCA}" type="pres">
      <dgm:prSet presAssocID="{C9D4F622-BE34-4C47-B440-7959993B2959}" presName="hierRoot3" presStyleCnt="0"/>
      <dgm:spPr/>
    </dgm:pt>
    <dgm:pt modelId="{5968D43B-8206-EB41-B144-34F49AABF1E5}" type="pres">
      <dgm:prSet presAssocID="{C9D4F622-BE34-4C47-B440-7959993B2959}" presName="composite3" presStyleCnt="0"/>
      <dgm:spPr/>
    </dgm:pt>
    <dgm:pt modelId="{E7AFA2AB-AD42-3849-B252-C1049F268CFA}" type="pres">
      <dgm:prSet presAssocID="{C9D4F622-BE34-4C47-B440-7959993B2959}" presName="background3" presStyleLbl="node3" presStyleIdx="1" presStyleCnt="2"/>
      <dgm:spPr/>
    </dgm:pt>
    <dgm:pt modelId="{EA36CA82-5AD9-0D41-AC08-7586BB839B98}" type="pres">
      <dgm:prSet presAssocID="{C9D4F622-BE34-4C47-B440-7959993B2959}" presName="text3" presStyleLbl="fgAcc3" presStyleIdx="1" presStyleCnt="2" custScaleX="180954">
        <dgm:presLayoutVars>
          <dgm:chPref val="3"/>
        </dgm:presLayoutVars>
      </dgm:prSet>
      <dgm:spPr/>
      <dgm:t>
        <a:bodyPr/>
        <a:lstStyle/>
        <a:p>
          <a:endParaRPr lang="en-US"/>
        </a:p>
      </dgm:t>
    </dgm:pt>
    <dgm:pt modelId="{4607584D-6DA2-3F4F-9885-1F1474CFFF2D}" type="pres">
      <dgm:prSet presAssocID="{C9D4F622-BE34-4C47-B440-7959993B2959}" presName="hierChild4" presStyleCnt="0"/>
      <dgm:spPr/>
    </dgm:pt>
  </dgm:ptLst>
  <dgm:cxnLst>
    <dgm:cxn modelId="{CB16F8B7-B203-004E-A9A5-9BBCE32CFE3D}" srcId="{75D8344C-38E1-F447-9538-B473EE28F794}" destId="{CF490BD8-133C-7E4C-9E22-33C3D8CB4CFD}" srcOrd="0" destOrd="0" parTransId="{9B8718AE-76F6-3345-86F8-A1A694C3B80D}" sibTransId="{24A8DC6E-C9B5-9249-99EE-4991FB3F728A}"/>
    <dgm:cxn modelId="{48FBF18D-6657-4B67-9AF6-A5A54041C882}" type="presOf" srcId="{279CCF87-C7AA-2C4F-BA2A-F3BFB3B33C99}" destId="{39A2D233-EEF1-D249-9E6A-BA4BC5AE6323}" srcOrd="0" destOrd="0" presId="urn:microsoft.com/office/officeart/2005/8/layout/hierarchy1"/>
    <dgm:cxn modelId="{EC8C3E56-C7E6-49F5-8B4C-650DC4612C42}" type="presOf" srcId="{CF490BD8-133C-7E4C-9E22-33C3D8CB4CFD}" destId="{D231145B-628B-7145-B228-E5144462EFD2}" srcOrd="0" destOrd="0" presId="urn:microsoft.com/office/officeart/2005/8/layout/hierarchy1"/>
    <dgm:cxn modelId="{4E759C87-8D39-4D49-8D54-17C7C9BE62C6}" type="presOf" srcId="{42E6C4B5-8A56-514D-9D10-12F50465C01E}" destId="{1223D048-6377-0849-A74E-A44C69F627A7}" srcOrd="0" destOrd="0" presId="urn:microsoft.com/office/officeart/2005/8/layout/hierarchy1"/>
    <dgm:cxn modelId="{4CB901BB-6029-4D4A-A480-A759D1DA34ED}" srcId="{42E6C4B5-8A56-514D-9D10-12F50465C01E}" destId="{D89CE507-51E1-5841-A3A5-2F6D16AAB54A}" srcOrd="0" destOrd="0" parTransId="{D971A121-AFF0-F84B-BFEA-DBD96902DA12}" sibTransId="{3CF9AFE8-21D5-3E4D-B3B3-AA8F0F7C096E}"/>
    <dgm:cxn modelId="{28DDCED3-1F9E-4C93-81C0-5541BCBCE9D2}" type="presOf" srcId="{C9D4F622-BE34-4C47-B440-7959993B2959}" destId="{EA36CA82-5AD9-0D41-AC08-7586BB839B98}" srcOrd="0" destOrd="0" presId="urn:microsoft.com/office/officeart/2005/8/layout/hierarchy1"/>
    <dgm:cxn modelId="{C398556F-B872-4447-9AF0-B9F325DAFB77}" srcId="{D89CE507-51E1-5841-A3A5-2F6D16AAB54A}" destId="{58F215C3-AE08-224B-B5B0-091CD4EBE934}" srcOrd="1" destOrd="0" parTransId="{26EB3FEA-BE8F-A041-9529-6570CD25090E}" sibTransId="{89203A16-76B6-F547-BFBD-3C090C039229}"/>
    <dgm:cxn modelId="{E79E452F-274F-4E1A-8CA9-1A4BF6994163}" type="presOf" srcId="{58F215C3-AE08-224B-B5B0-091CD4EBE934}" destId="{DEE312E0-BF0E-2544-BF55-126502F3871B}" srcOrd="0" destOrd="0" presId="urn:microsoft.com/office/officeart/2005/8/layout/hierarchy1"/>
    <dgm:cxn modelId="{C1B36820-6C56-4B63-949F-BDF5F39AB95E}" type="presOf" srcId="{9B8718AE-76F6-3345-86F8-A1A694C3B80D}" destId="{EC70C8AB-C671-4448-8321-706CAAC5F716}" srcOrd="0" destOrd="0" presId="urn:microsoft.com/office/officeart/2005/8/layout/hierarchy1"/>
    <dgm:cxn modelId="{6F57B1C1-79AE-3048-BEA7-7B6766F0AFCE}" srcId="{58F215C3-AE08-224B-B5B0-091CD4EBE934}" destId="{C9D4F622-BE34-4C47-B440-7959993B2959}" srcOrd="0" destOrd="0" parTransId="{5830E825-8BFA-4A42-BFB6-3699C1194CBA}" sibTransId="{A78B22ED-F3A6-734D-891B-21DA42BE1013}"/>
    <dgm:cxn modelId="{AEE2CFCB-918F-463C-96D3-0388128EBF5E}" type="presOf" srcId="{26EB3FEA-BE8F-A041-9529-6570CD25090E}" destId="{4A924054-80EA-A449-9724-38342A2168F5}" srcOrd="0" destOrd="0" presId="urn:microsoft.com/office/officeart/2005/8/layout/hierarchy1"/>
    <dgm:cxn modelId="{E5122C78-8A64-4D48-A37B-033AAF0354B0}" srcId="{D89CE507-51E1-5841-A3A5-2F6D16AAB54A}" destId="{75D8344C-38E1-F447-9538-B473EE28F794}" srcOrd="0" destOrd="0" parTransId="{279CCF87-C7AA-2C4F-BA2A-F3BFB3B33C99}" sibTransId="{24E7FD05-8A17-4C4C-A737-CA12855583EA}"/>
    <dgm:cxn modelId="{B941F6C8-B963-4AC0-B495-A51B7A44CF2C}" type="presOf" srcId="{5830E825-8BFA-4A42-BFB6-3699C1194CBA}" destId="{98F67FA6-9FB1-5B43-B86A-7EEEA41F71AC}" srcOrd="0" destOrd="0" presId="urn:microsoft.com/office/officeart/2005/8/layout/hierarchy1"/>
    <dgm:cxn modelId="{58D319CE-BA76-4AE8-BA49-C05B4E9ECFDF}" type="presOf" srcId="{75D8344C-38E1-F447-9538-B473EE28F794}" destId="{CCCCF486-59F8-D745-9825-46D66E0AEB8B}" srcOrd="0" destOrd="0" presId="urn:microsoft.com/office/officeart/2005/8/layout/hierarchy1"/>
    <dgm:cxn modelId="{FEEEA142-B8BF-47F0-A229-565DA2321A10}" type="presOf" srcId="{D89CE507-51E1-5841-A3A5-2F6D16AAB54A}" destId="{2AE4C5FB-99FD-3746-A426-8B7B82B0ECF8}" srcOrd="0" destOrd="0" presId="urn:microsoft.com/office/officeart/2005/8/layout/hierarchy1"/>
    <dgm:cxn modelId="{A822A5FE-8B08-4B40-93D2-DA351EDF4F6D}" type="presParOf" srcId="{1223D048-6377-0849-A74E-A44C69F627A7}" destId="{7092FAB6-76D4-944C-93D6-719C195D4A91}" srcOrd="0" destOrd="0" presId="urn:microsoft.com/office/officeart/2005/8/layout/hierarchy1"/>
    <dgm:cxn modelId="{F6C62AD4-2E6E-4C73-97E9-E29CBD3C13FC}" type="presParOf" srcId="{7092FAB6-76D4-944C-93D6-719C195D4A91}" destId="{214C517B-ADAA-BB40-952E-2968FBF0D0F8}" srcOrd="0" destOrd="0" presId="urn:microsoft.com/office/officeart/2005/8/layout/hierarchy1"/>
    <dgm:cxn modelId="{22C38806-A355-4C6D-9F03-7CFA9FCDDAC9}" type="presParOf" srcId="{214C517B-ADAA-BB40-952E-2968FBF0D0F8}" destId="{8A6BEEC9-1343-4F4B-8EB6-9ED18D585908}" srcOrd="0" destOrd="0" presId="urn:microsoft.com/office/officeart/2005/8/layout/hierarchy1"/>
    <dgm:cxn modelId="{E6EF3D5C-B42D-4593-BEE8-62F9082F2986}" type="presParOf" srcId="{214C517B-ADAA-BB40-952E-2968FBF0D0F8}" destId="{2AE4C5FB-99FD-3746-A426-8B7B82B0ECF8}" srcOrd="1" destOrd="0" presId="urn:microsoft.com/office/officeart/2005/8/layout/hierarchy1"/>
    <dgm:cxn modelId="{DBE7D70F-2CA9-47CD-9304-8A97379CD93B}" type="presParOf" srcId="{7092FAB6-76D4-944C-93D6-719C195D4A91}" destId="{66CAB671-81C6-384D-9BE1-7F71F6216632}" srcOrd="1" destOrd="0" presId="urn:microsoft.com/office/officeart/2005/8/layout/hierarchy1"/>
    <dgm:cxn modelId="{6BA600E1-F070-4DB9-BFFE-B1D409215FCB}" type="presParOf" srcId="{66CAB671-81C6-384D-9BE1-7F71F6216632}" destId="{39A2D233-EEF1-D249-9E6A-BA4BC5AE6323}" srcOrd="0" destOrd="0" presId="urn:microsoft.com/office/officeart/2005/8/layout/hierarchy1"/>
    <dgm:cxn modelId="{F51E10AE-58AE-42EA-A7F2-347562F631EC}" type="presParOf" srcId="{66CAB671-81C6-384D-9BE1-7F71F6216632}" destId="{E1A30828-CA73-6042-9590-E54A0F325F84}" srcOrd="1" destOrd="0" presId="urn:microsoft.com/office/officeart/2005/8/layout/hierarchy1"/>
    <dgm:cxn modelId="{DD910257-F162-4A70-A2DC-91E78270A466}" type="presParOf" srcId="{E1A30828-CA73-6042-9590-E54A0F325F84}" destId="{20532BD9-893C-FF4E-B128-577FFF7D4791}" srcOrd="0" destOrd="0" presId="urn:microsoft.com/office/officeart/2005/8/layout/hierarchy1"/>
    <dgm:cxn modelId="{33C777DA-5D02-4C4C-9A2D-A6F08FCDA1C8}" type="presParOf" srcId="{20532BD9-893C-FF4E-B128-577FFF7D4791}" destId="{B6247777-C52F-2A4D-B35E-65A25504D12A}" srcOrd="0" destOrd="0" presId="urn:microsoft.com/office/officeart/2005/8/layout/hierarchy1"/>
    <dgm:cxn modelId="{561A100F-A5CC-4678-AE70-8872EE0B3B97}" type="presParOf" srcId="{20532BD9-893C-FF4E-B128-577FFF7D4791}" destId="{CCCCF486-59F8-D745-9825-46D66E0AEB8B}" srcOrd="1" destOrd="0" presId="urn:microsoft.com/office/officeart/2005/8/layout/hierarchy1"/>
    <dgm:cxn modelId="{64CACB78-7FE7-45F3-A014-E628FD52DADB}" type="presParOf" srcId="{E1A30828-CA73-6042-9590-E54A0F325F84}" destId="{D08FE098-1381-964D-9C44-5C58F37F1DBC}" srcOrd="1" destOrd="0" presId="urn:microsoft.com/office/officeart/2005/8/layout/hierarchy1"/>
    <dgm:cxn modelId="{69836CAF-A09D-4544-842D-3A8D3AC234FE}" type="presParOf" srcId="{D08FE098-1381-964D-9C44-5C58F37F1DBC}" destId="{EC70C8AB-C671-4448-8321-706CAAC5F716}" srcOrd="0" destOrd="0" presId="urn:microsoft.com/office/officeart/2005/8/layout/hierarchy1"/>
    <dgm:cxn modelId="{F4787FE1-70DB-4E30-895D-230296975255}" type="presParOf" srcId="{D08FE098-1381-964D-9C44-5C58F37F1DBC}" destId="{372A44FB-32B3-4941-9C5F-56698AFF12EC}" srcOrd="1" destOrd="0" presId="urn:microsoft.com/office/officeart/2005/8/layout/hierarchy1"/>
    <dgm:cxn modelId="{1E7BEFC5-AE44-43B7-8A34-6CBB3053F991}" type="presParOf" srcId="{372A44FB-32B3-4941-9C5F-56698AFF12EC}" destId="{6E206DCD-8776-234B-9BD6-CA47B0B5AC03}" srcOrd="0" destOrd="0" presId="urn:microsoft.com/office/officeart/2005/8/layout/hierarchy1"/>
    <dgm:cxn modelId="{3D91AB2E-73E5-4F70-85B1-BEF327600350}" type="presParOf" srcId="{6E206DCD-8776-234B-9BD6-CA47B0B5AC03}" destId="{7D031A81-3C79-E24E-9B61-A667317C7378}" srcOrd="0" destOrd="0" presId="urn:microsoft.com/office/officeart/2005/8/layout/hierarchy1"/>
    <dgm:cxn modelId="{6B999536-B667-4432-BAC4-8C3FF114B800}" type="presParOf" srcId="{6E206DCD-8776-234B-9BD6-CA47B0B5AC03}" destId="{D231145B-628B-7145-B228-E5144462EFD2}" srcOrd="1" destOrd="0" presId="urn:microsoft.com/office/officeart/2005/8/layout/hierarchy1"/>
    <dgm:cxn modelId="{31F332D7-17BB-4909-82C7-A62B7628010F}" type="presParOf" srcId="{372A44FB-32B3-4941-9C5F-56698AFF12EC}" destId="{25ACC479-740B-A840-B52C-A7A9316DE7A9}" srcOrd="1" destOrd="0" presId="urn:microsoft.com/office/officeart/2005/8/layout/hierarchy1"/>
    <dgm:cxn modelId="{22454376-F9BD-4616-843A-29C7F99165C5}" type="presParOf" srcId="{66CAB671-81C6-384D-9BE1-7F71F6216632}" destId="{4A924054-80EA-A449-9724-38342A2168F5}" srcOrd="2" destOrd="0" presId="urn:microsoft.com/office/officeart/2005/8/layout/hierarchy1"/>
    <dgm:cxn modelId="{20B65311-00A1-47F0-9644-73040DA5E03F}" type="presParOf" srcId="{66CAB671-81C6-384D-9BE1-7F71F6216632}" destId="{32E89013-3275-7A49-9D22-06234CE17495}" srcOrd="3" destOrd="0" presId="urn:microsoft.com/office/officeart/2005/8/layout/hierarchy1"/>
    <dgm:cxn modelId="{C58470EA-1A96-4238-9584-F8B1E40CEC7B}" type="presParOf" srcId="{32E89013-3275-7A49-9D22-06234CE17495}" destId="{A0D28733-4F5F-D842-BF7A-E85F528DAABE}" srcOrd="0" destOrd="0" presId="urn:microsoft.com/office/officeart/2005/8/layout/hierarchy1"/>
    <dgm:cxn modelId="{E6C6E7CA-54C8-46B6-A65D-3709E8090F61}" type="presParOf" srcId="{A0D28733-4F5F-D842-BF7A-E85F528DAABE}" destId="{97A62F18-7A00-374E-8986-EDAC22F48AD6}" srcOrd="0" destOrd="0" presId="urn:microsoft.com/office/officeart/2005/8/layout/hierarchy1"/>
    <dgm:cxn modelId="{8EC370A2-0770-4100-B639-FC29A4CB7639}" type="presParOf" srcId="{A0D28733-4F5F-D842-BF7A-E85F528DAABE}" destId="{DEE312E0-BF0E-2544-BF55-126502F3871B}" srcOrd="1" destOrd="0" presId="urn:microsoft.com/office/officeart/2005/8/layout/hierarchy1"/>
    <dgm:cxn modelId="{6DFD79DF-B231-49F8-A129-10AAF5267F5A}" type="presParOf" srcId="{32E89013-3275-7A49-9D22-06234CE17495}" destId="{F8D2C834-B2B7-9B4C-93AC-7E33AF4EC4B8}" srcOrd="1" destOrd="0" presId="urn:microsoft.com/office/officeart/2005/8/layout/hierarchy1"/>
    <dgm:cxn modelId="{750F608A-4C47-44E8-9C6C-7A8AD43B4828}" type="presParOf" srcId="{F8D2C834-B2B7-9B4C-93AC-7E33AF4EC4B8}" destId="{98F67FA6-9FB1-5B43-B86A-7EEEA41F71AC}" srcOrd="0" destOrd="0" presId="urn:microsoft.com/office/officeart/2005/8/layout/hierarchy1"/>
    <dgm:cxn modelId="{C6599215-2D2E-4676-8A8D-92C3DD8AE938}" type="presParOf" srcId="{F8D2C834-B2B7-9B4C-93AC-7E33AF4EC4B8}" destId="{76E67972-EC17-B045-B855-711F7A301CCA}" srcOrd="1" destOrd="0" presId="urn:microsoft.com/office/officeart/2005/8/layout/hierarchy1"/>
    <dgm:cxn modelId="{55D9D65F-659F-47D1-9A9B-60F08EF0F454}" type="presParOf" srcId="{76E67972-EC17-B045-B855-711F7A301CCA}" destId="{5968D43B-8206-EB41-B144-34F49AABF1E5}" srcOrd="0" destOrd="0" presId="urn:microsoft.com/office/officeart/2005/8/layout/hierarchy1"/>
    <dgm:cxn modelId="{A1FC51F7-A783-49F3-8C64-9B93D0F480F1}" type="presParOf" srcId="{5968D43B-8206-EB41-B144-34F49AABF1E5}" destId="{E7AFA2AB-AD42-3849-B252-C1049F268CFA}" srcOrd="0" destOrd="0" presId="urn:microsoft.com/office/officeart/2005/8/layout/hierarchy1"/>
    <dgm:cxn modelId="{715C2F2F-8015-4BAF-AB23-595E8CCB0DDE}" type="presParOf" srcId="{5968D43B-8206-EB41-B144-34F49AABF1E5}" destId="{EA36CA82-5AD9-0D41-AC08-7586BB839B98}" srcOrd="1" destOrd="0" presId="urn:microsoft.com/office/officeart/2005/8/layout/hierarchy1"/>
    <dgm:cxn modelId="{E63CF732-29B0-4B59-9F4D-96E3C4E33B2D}" type="presParOf" srcId="{76E67972-EC17-B045-B855-711F7A301CCA}" destId="{4607584D-6DA2-3F4F-9885-1F1474CFFF2D}" srcOrd="1" destOrd="0" presId="urn:microsoft.com/office/officeart/2005/8/layout/hierarchy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Case Conference Co-ordination and Chair</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0-15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15-30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30-45 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45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r>
            <a:rPr lang="en-US" sz="1100" i="1"/>
            <a:t>MBS 23 ($36.30)</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r>
            <a:rPr lang="en-US" sz="1100" i="1"/>
            <a:t>MBS 116 ($64.20)</a:t>
          </a:r>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r>
            <a:rPr lang="en-US" sz="1100" b="1" i="1"/>
            <a:t>New Item ($96.30)</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r>
            <a:rPr lang="en-US" sz="1100" i="1"/>
            <a:t>MBS 110 ($128.30)</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83866ED6-8A1A-4878-89C8-2C1921D4E83A}" type="presOf" srcId="{6D2FF0AE-09F2-3B4F-8898-E83E0E959B53}" destId="{4435B795-5104-6F4A-8C6E-2A14B1B46FD7}"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E7277451-6F21-5244-B955-07DC47A1AE22}" srcId="{68FDA15D-0887-2443-A357-BD07E2464A58}" destId="{3D2D4D02-A5C3-494C-AA17-9E741C304F0A}" srcOrd="1" destOrd="0" parTransId="{753D11A2-4524-7B47-8908-CBAE3F618FF3}" sibTransId="{EC748F1D-AD16-2449-99F5-527CC00A62C5}"/>
    <dgm:cxn modelId="{3A150D09-D761-4A17-8075-A3D2195D6BA0}" type="presOf" srcId="{42E6C4B5-8A56-514D-9D10-12F50465C01E}" destId="{1223D048-6377-0849-A74E-A44C69F627A7}" srcOrd="0" destOrd="0" presId="urn:microsoft.com/office/officeart/2005/8/layout/hierarchy1"/>
    <dgm:cxn modelId="{76C0796C-FD3F-414C-A82E-40D71D130D11}" type="presOf" srcId="{1B681A8F-A554-1F44-BADD-518AA499E287}" destId="{BD5CF76E-544D-E04C-BB86-76DDAD6F7AB3}"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004BCFB3-616B-FA40-BED8-9BD36B2DAB0D}" srcId="{68AB0310-AB85-8B45-9D41-620E4C594CB9}" destId="{BA4C6AE5-90E4-6F4B-AC3A-2BA1DBBDA93C}" srcOrd="0" destOrd="0" parTransId="{5AFFFC75-E306-A448-8ABD-18D9F8D6D3B9}" sibTransId="{6FC22C72-1DB9-B84F-AA76-96D45910536C}"/>
    <dgm:cxn modelId="{C01C1EDC-DC98-4AA2-A2F9-3D904926FE6F}" type="presOf" srcId="{38A69577-B504-8043-B614-00033C4667ED}" destId="{5DD4A6E5-30D2-BC48-82EF-44AB6345F29B}"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E0035688-0B3B-49F1-B662-E9D866225AFD}" type="presOf" srcId="{BA4C6AE5-90E4-6F4B-AC3A-2BA1DBBDA93C}" destId="{A859854A-8142-9B40-8B3A-52E11BDD75A4}" srcOrd="0" destOrd="0" presId="urn:microsoft.com/office/officeart/2005/8/layout/hierarchy1"/>
    <dgm:cxn modelId="{B857214F-B75D-4258-8607-9843AC49818F}" type="presOf" srcId="{753D11A2-4524-7B47-8908-CBAE3F618FF3}" destId="{7EB04D44-ED91-8646-BCBE-3ED3306A03AD}" srcOrd="0" destOrd="0" presId="urn:microsoft.com/office/officeart/2005/8/layout/hierarchy1"/>
    <dgm:cxn modelId="{2397A434-C5DD-4179-BCDF-B787E89D3AA6}" type="presOf" srcId="{646840C6-9D22-0940-94F4-BFE459C48682}" destId="{CA9133C5-0C81-194A-B4FC-B30436310F7C}" srcOrd="0" destOrd="0" presId="urn:microsoft.com/office/officeart/2005/8/layout/hierarchy1"/>
    <dgm:cxn modelId="{D44EB9D0-4417-4F31-A067-D5312B5DBF14}" type="presOf" srcId="{A0416ECC-4A2A-1E45-B785-9209F187AC5C}" destId="{D4F4F276-AFD8-4247-8DC4-B4ACD3AC0C75}"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FA396679-F05E-4417-907F-F5642E4E3F65}" type="presOf" srcId="{68FDA15D-0887-2443-A357-BD07E2464A58}" destId="{7527AFBF-24BC-6048-8CA6-468956327B51}" srcOrd="0" destOrd="0" presId="urn:microsoft.com/office/officeart/2005/8/layout/hierarchy1"/>
    <dgm:cxn modelId="{EA6EDCB2-B8ED-44FD-83C4-F7333E8487DF}" type="presOf" srcId="{3E507491-2711-B94A-A1E9-461017E29ECB}" destId="{53AE8375-F2A8-764C-BA20-CDF18A3A8521}" srcOrd="0" destOrd="0" presId="urn:microsoft.com/office/officeart/2005/8/layout/hierarchy1"/>
    <dgm:cxn modelId="{2C06C9C1-D7E3-4FD7-94C3-32F65490E25D}" type="presOf" srcId="{F678D22A-E410-B44E-A48B-1A84784FE659}" destId="{0C3384DB-4E62-1343-9B29-EA318FB39799}"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0C5990DB-C8B5-40D7-B918-6A149F5BEC8B}" type="presOf" srcId="{68AB0310-AB85-8B45-9D41-620E4C594CB9}" destId="{53ED3188-B4DA-7A45-BB61-4FA1E01CEE04}" srcOrd="0" destOrd="0" presId="urn:microsoft.com/office/officeart/2005/8/layout/hierarchy1"/>
    <dgm:cxn modelId="{D97498A0-2266-FF40-91F3-B6BE55EDB390}" srcId="{68FDA15D-0887-2443-A357-BD07E2464A58}" destId="{865DB265-2376-DB44-9068-8D396FBC6DA7}" srcOrd="3" destOrd="0" parTransId="{38A69577-B504-8043-B614-00033C4667ED}" sibTransId="{F8E931C3-303A-2342-BE12-B6D4426BF06B}"/>
    <dgm:cxn modelId="{99E46BDD-175A-45C8-ABF6-0A4948AB0F46}" type="presOf" srcId="{3D2D4D02-A5C3-494C-AA17-9E741C304F0A}" destId="{721901F3-629C-D545-8A4A-CFEFECBE41BF}" srcOrd="0" destOrd="0" presId="urn:microsoft.com/office/officeart/2005/8/layout/hierarchy1"/>
    <dgm:cxn modelId="{D785D50F-6B87-4240-B072-2CE6061D6DC2}" type="presOf" srcId="{D667295C-1BF9-CA4C-89FE-8067C2D1C6D9}" destId="{259E6A64-F5A9-594E-A4DE-04EA642F0B2C}" srcOrd="0" destOrd="0" presId="urn:microsoft.com/office/officeart/2005/8/layout/hierarchy1"/>
    <dgm:cxn modelId="{73668696-4EB9-4AE7-B8C0-29FBDF03E36A}" type="presOf" srcId="{5AFFFC75-E306-A448-8ABD-18D9F8D6D3B9}" destId="{158E4AD8-3313-1D47-B7CA-87E116655F38}" srcOrd="0" destOrd="0" presId="urn:microsoft.com/office/officeart/2005/8/layout/hierarchy1"/>
    <dgm:cxn modelId="{ECF58C57-D489-4EF5-9568-C0827D74AC9D}" type="presOf" srcId="{438CBF3B-D0F4-9D48-A142-5F2D9150F864}" destId="{55508F5B-3B84-EF48-82B5-9D2C53F782BF}" srcOrd="0" destOrd="0" presId="urn:microsoft.com/office/officeart/2005/8/layout/hierarchy1"/>
    <dgm:cxn modelId="{2DC9F1E1-D023-4CEF-AD8E-8C13D9DB1045}" type="presOf" srcId="{D2DCA103-7A15-E541-8977-D49EBF5D392A}" destId="{0B45D9A2-4E18-634A-B70B-8ECBE0DC0AE6}" srcOrd="0" destOrd="0" presId="urn:microsoft.com/office/officeart/2005/8/layout/hierarchy1"/>
    <dgm:cxn modelId="{E3C1B623-F2DA-4710-8DD0-D0F160B2F4B0}" type="presOf" srcId="{865DB265-2376-DB44-9068-8D396FBC6DA7}" destId="{21A2662A-6AE3-1E4F-B5C1-E62D06573556}"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E78465EE-8F63-437C-965B-2CFEAC3D2590}" type="presParOf" srcId="{1223D048-6377-0849-A74E-A44C69F627A7}" destId="{6BF0587A-F26B-F94E-80BA-9550E9BD1B6C}" srcOrd="0" destOrd="0" presId="urn:microsoft.com/office/officeart/2005/8/layout/hierarchy1"/>
    <dgm:cxn modelId="{B61F08DD-EA29-4477-93A2-37B94D7EB85E}" type="presParOf" srcId="{6BF0587A-F26B-F94E-80BA-9550E9BD1B6C}" destId="{5CF6D649-3736-C14A-8CE5-DF66A61B1B4F}" srcOrd="0" destOrd="0" presId="urn:microsoft.com/office/officeart/2005/8/layout/hierarchy1"/>
    <dgm:cxn modelId="{AD54C68E-3704-4187-A1BE-5FF1A48A57A8}" type="presParOf" srcId="{5CF6D649-3736-C14A-8CE5-DF66A61B1B4F}" destId="{157D4998-21CF-A248-83EB-0106527C25EC}" srcOrd="0" destOrd="0" presId="urn:microsoft.com/office/officeart/2005/8/layout/hierarchy1"/>
    <dgm:cxn modelId="{CBF5DDBC-8C29-450F-BDAC-D64434947947}" type="presParOf" srcId="{5CF6D649-3736-C14A-8CE5-DF66A61B1B4F}" destId="{7527AFBF-24BC-6048-8CA6-468956327B51}" srcOrd="1" destOrd="0" presId="urn:microsoft.com/office/officeart/2005/8/layout/hierarchy1"/>
    <dgm:cxn modelId="{F3D3A39D-36DB-4296-8391-84F6E735D488}" type="presParOf" srcId="{6BF0587A-F26B-F94E-80BA-9550E9BD1B6C}" destId="{39F965AE-B422-8447-9BA9-FC4015A2122A}" srcOrd="1" destOrd="0" presId="urn:microsoft.com/office/officeart/2005/8/layout/hierarchy1"/>
    <dgm:cxn modelId="{D7BFFE78-592D-4A51-A437-0BD6078829FA}" type="presParOf" srcId="{39F965AE-B422-8447-9BA9-FC4015A2122A}" destId="{BD5CF76E-544D-E04C-BB86-76DDAD6F7AB3}" srcOrd="0" destOrd="0" presId="urn:microsoft.com/office/officeart/2005/8/layout/hierarchy1"/>
    <dgm:cxn modelId="{1543C75B-4072-4DB2-840D-BD09E4F8B194}" type="presParOf" srcId="{39F965AE-B422-8447-9BA9-FC4015A2122A}" destId="{A51BDB54-F392-CB48-88B5-BF4D5FF8F3AE}" srcOrd="1" destOrd="0" presId="urn:microsoft.com/office/officeart/2005/8/layout/hierarchy1"/>
    <dgm:cxn modelId="{BC599D16-1E06-4421-AA13-770D15BE117D}" type="presParOf" srcId="{A51BDB54-F392-CB48-88B5-BF4D5FF8F3AE}" destId="{A8AA713F-4182-2646-8D59-439D40ED64C9}" srcOrd="0" destOrd="0" presId="urn:microsoft.com/office/officeart/2005/8/layout/hierarchy1"/>
    <dgm:cxn modelId="{A92404A5-A731-49BE-BE89-FE922F7D4467}" type="presParOf" srcId="{A8AA713F-4182-2646-8D59-439D40ED64C9}" destId="{54A8B529-F9E3-4141-8DC9-99339199C884}" srcOrd="0" destOrd="0" presId="urn:microsoft.com/office/officeart/2005/8/layout/hierarchy1"/>
    <dgm:cxn modelId="{50CA6DBA-F306-491A-8589-E419614A61E0}" type="presParOf" srcId="{A8AA713F-4182-2646-8D59-439D40ED64C9}" destId="{4435B795-5104-6F4A-8C6E-2A14B1B46FD7}" srcOrd="1" destOrd="0" presId="urn:microsoft.com/office/officeart/2005/8/layout/hierarchy1"/>
    <dgm:cxn modelId="{EA0C07A6-CF2F-4594-A5C9-DA6682C742FE}" type="presParOf" srcId="{A51BDB54-F392-CB48-88B5-BF4D5FF8F3AE}" destId="{8BD5E129-C5BB-164C-9FF5-228278421498}" srcOrd="1" destOrd="0" presId="urn:microsoft.com/office/officeart/2005/8/layout/hierarchy1"/>
    <dgm:cxn modelId="{2372BE80-EFB5-454C-8271-69C2A154522F}" type="presParOf" srcId="{8BD5E129-C5BB-164C-9FF5-228278421498}" destId="{53AE8375-F2A8-764C-BA20-CDF18A3A8521}" srcOrd="0" destOrd="0" presId="urn:microsoft.com/office/officeart/2005/8/layout/hierarchy1"/>
    <dgm:cxn modelId="{DE42D03B-F1B0-4B40-9020-ACF422F1D379}" type="presParOf" srcId="{8BD5E129-C5BB-164C-9FF5-228278421498}" destId="{EEFD2779-1B03-4243-8B58-BDFAB6E93AB1}" srcOrd="1" destOrd="0" presId="urn:microsoft.com/office/officeart/2005/8/layout/hierarchy1"/>
    <dgm:cxn modelId="{36E3AFBC-B204-4635-9C38-21BFBB394B71}" type="presParOf" srcId="{EEFD2779-1B03-4243-8B58-BDFAB6E93AB1}" destId="{8CB8A041-395B-5543-AB2E-7DA6CCEB4966}" srcOrd="0" destOrd="0" presId="urn:microsoft.com/office/officeart/2005/8/layout/hierarchy1"/>
    <dgm:cxn modelId="{1BB9E717-5F9C-4BFD-B737-C690C927B5D9}" type="presParOf" srcId="{8CB8A041-395B-5543-AB2E-7DA6CCEB4966}" destId="{3240397F-0654-6F4E-864F-1CFB9BF37823}" srcOrd="0" destOrd="0" presId="urn:microsoft.com/office/officeart/2005/8/layout/hierarchy1"/>
    <dgm:cxn modelId="{58D57779-2A06-4EA7-99D4-4277AA71F235}" type="presParOf" srcId="{8CB8A041-395B-5543-AB2E-7DA6CCEB4966}" destId="{0B45D9A2-4E18-634A-B70B-8ECBE0DC0AE6}" srcOrd="1" destOrd="0" presId="urn:microsoft.com/office/officeart/2005/8/layout/hierarchy1"/>
    <dgm:cxn modelId="{81097D76-2C46-4B69-8FDB-21CE81AEE56E}" type="presParOf" srcId="{EEFD2779-1B03-4243-8B58-BDFAB6E93AB1}" destId="{AA360262-F3A2-8447-952A-460D4F0F1CAE}" srcOrd="1" destOrd="0" presId="urn:microsoft.com/office/officeart/2005/8/layout/hierarchy1"/>
    <dgm:cxn modelId="{E5560140-7DEE-4B36-A4EA-FBB269A7B3A5}" type="presParOf" srcId="{39F965AE-B422-8447-9BA9-FC4015A2122A}" destId="{7EB04D44-ED91-8646-BCBE-3ED3306A03AD}" srcOrd="2" destOrd="0" presId="urn:microsoft.com/office/officeart/2005/8/layout/hierarchy1"/>
    <dgm:cxn modelId="{B64B1DE5-C58A-465E-8653-FF444A811254}" type="presParOf" srcId="{39F965AE-B422-8447-9BA9-FC4015A2122A}" destId="{AC89B61D-711B-A64F-AB19-6B7CCC25AE55}" srcOrd="3" destOrd="0" presId="urn:microsoft.com/office/officeart/2005/8/layout/hierarchy1"/>
    <dgm:cxn modelId="{9898FAA7-016D-4A1F-959A-B5E431D8CF63}" type="presParOf" srcId="{AC89B61D-711B-A64F-AB19-6B7CCC25AE55}" destId="{E2AB0108-79C5-AE45-B6D3-776B3E26AFE6}" srcOrd="0" destOrd="0" presId="urn:microsoft.com/office/officeart/2005/8/layout/hierarchy1"/>
    <dgm:cxn modelId="{5BE9FC29-87A0-46B9-A3BC-BAD4D54C0107}" type="presParOf" srcId="{E2AB0108-79C5-AE45-B6D3-776B3E26AFE6}" destId="{48D7D30C-AB11-D946-8AEC-FD9B2A504183}" srcOrd="0" destOrd="0" presId="urn:microsoft.com/office/officeart/2005/8/layout/hierarchy1"/>
    <dgm:cxn modelId="{14E12E67-A3F8-4F46-8251-59315BDFD628}" type="presParOf" srcId="{E2AB0108-79C5-AE45-B6D3-776B3E26AFE6}" destId="{721901F3-629C-D545-8A4A-CFEFECBE41BF}" srcOrd="1" destOrd="0" presId="urn:microsoft.com/office/officeart/2005/8/layout/hierarchy1"/>
    <dgm:cxn modelId="{7A437CAD-ABA2-4F5F-B615-E8A5438DDDBF}" type="presParOf" srcId="{AC89B61D-711B-A64F-AB19-6B7CCC25AE55}" destId="{01243898-A714-C948-9E12-68D3E20AB882}" srcOrd="1" destOrd="0" presId="urn:microsoft.com/office/officeart/2005/8/layout/hierarchy1"/>
    <dgm:cxn modelId="{AAEF6221-7673-421B-AEFD-0677AE9CEE74}" type="presParOf" srcId="{01243898-A714-C948-9E12-68D3E20AB882}" destId="{D4F4F276-AFD8-4247-8DC4-B4ACD3AC0C75}" srcOrd="0" destOrd="0" presId="urn:microsoft.com/office/officeart/2005/8/layout/hierarchy1"/>
    <dgm:cxn modelId="{C31D28A1-95DF-4A9B-A3E0-F105276A8B7B}" type="presParOf" srcId="{01243898-A714-C948-9E12-68D3E20AB882}" destId="{8225C9A2-E441-6E4C-92BC-572F9C84CE19}" srcOrd="1" destOrd="0" presId="urn:microsoft.com/office/officeart/2005/8/layout/hierarchy1"/>
    <dgm:cxn modelId="{DDBC61CA-0FA7-49E7-8250-AE97FF7C3FA5}" type="presParOf" srcId="{8225C9A2-E441-6E4C-92BC-572F9C84CE19}" destId="{080163C8-52EB-204F-939F-477A90FEFD5F}" srcOrd="0" destOrd="0" presId="urn:microsoft.com/office/officeart/2005/8/layout/hierarchy1"/>
    <dgm:cxn modelId="{001BE998-8F7D-4322-94FB-3B98221F237B}" type="presParOf" srcId="{080163C8-52EB-204F-939F-477A90FEFD5F}" destId="{9166D8F7-1B4C-E041-81E9-30CF31DF6B1C}" srcOrd="0" destOrd="0" presId="urn:microsoft.com/office/officeart/2005/8/layout/hierarchy1"/>
    <dgm:cxn modelId="{3EA6C59D-F999-4862-9A1F-6D04DB3DFF05}" type="presParOf" srcId="{080163C8-52EB-204F-939F-477A90FEFD5F}" destId="{0C3384DB-4E62-1343-9B29-EA318FB39799}" srcOrd="1" destOrd="0" presId="urn:microsoft.com/office/officeart/2005/8/layout/hierarchy1"/>
    <dgm:cxn modelId="{294C62E8-1F66-4386-AC80-7FAD185B91AF}" type="presParOf" srcId="{8225C9A2-E441-6E4C-92BC-572F9C84CE19}" destId="{336BB470-F2D1-5B46-AF15-3611975B4FEB}" srcOrd="1" destOrd="0" presId="urn:microsoft.com/office/officeart/2005/8/layout/hierarchy1"/>
    <dgm:cxn modelId="{9F9EB941-83F6-40E8-B699-724211AF6117}" type="presParOf" srcId="{39F965AE-B422-8447-9BA9-FC4015A2122A}" destId="{55508F5B-3B84-EF48-82B5-9D2C53F782BF}" srcOrd="4" destOrd="0" presId="urn:microsoft.com/office/officeart/2005/8/layout/hierarchy1"/>
    <dgm:cxn modelId="{E24E2407-456E-4140-BCB6-970C4783F8C9}" type="presParOf" srcId="{39F965AE-B422-8447-9BA9-FC4015A2122A}" destId="{3F418DB2-B20B-7D44-A7EC-C64F53ECEB97}" srcOrd="5" destOrd="0" presId="urn:microsoft.com/office/officeart/2005/8/layout/hierarchy1"/>
    <dgm:cxn modelId="{CC519A4A-B261-44E9-BF8F-F7EBC6315293}" type="presParOf" srcId="{3F418DB2-B20B-7D44-A7EC-C64F53ECEB97}" destId="{DFC25FED-44BA-BB40-B97F-63549EDCF6DD}" srcOrd="0" destOrd="0" presId="urn:microsoft.com/office/officeart/2005/8/layout/hierarchy1"/>
    <dgm:cxn modelId="{5C582A41-4CFB-478F-81B2-B9713DF9664E}" type="presParOf" srcId="{DFC25FED-44BA-BB40-B97F-63549EDCF6DD}" destId="{24560018-146F-0341-BCE4-266F61ACA491}" srcOrd="0" destOrd="0" presId="urn:microsoft.com/office/officeart/2005/8/layout/hierarchy1"/>
    <dgm:cxn modelId="{08215081-4FFE-4F8F-B882-125D2E24ACC8}" type="presParOf" srcId="{DFC25FED-44BA-BB40-B97F-63549EDCF6DD}" destId="{53ED3188-B4DA-7A45-BB61-4FA1E01CEE04}" srcOrd="1" destOrd="0" presId="urn:microsoft.com/office/officeart/2005/8/layout/hierarchy1"/>
    <dgm:cxn modelId="{E7E9DE40-B35C-4F06-99FF-EFADC12E5BE7}" type="presParOf" srcId="{3F418DB2-B20B-7D44-A7EC-C64F53ECEB97}" destId="{44C857B0-4564-104C-974B-CACC3D3843F2}" srcOrd="1" destOrd="0" presId="urn:microsoft.com/office/officeart/2005/8/layout/hierarchy1"/>
    <dgm:cxn modelId="{851F42D7-3620-403F-8ED5-5575AB41B0A9}" type="presParOf" srcId="{44C857B0-4564-104C-974B-CACC3D3843F2}" destId="{158E4AD8-3313-1D47-B7CA-87E116655F38}" srcOrd="0" destOrd="0" presId="urn:microsoft.com/office/officeart/2005/8/layout/hierarchy1"/>
    <dgm:cxn modelId="{C279D153-B594-4BF5-88D1-2B9F06297AAF}" type="presParOf" srcId="{44C857B0-4564-104C-974B-CACC3D3843F2}" destId="{FADE98E4-877F-824E-8BEE-4F00578F1996}" srcOrd="1" destOrd="0" presId="urn:microsoft.com/office/officeart/2005/8/layout/hierarchy1"/>
    <dgm:cxn modelId="{FA851FD8-5FBA-44FD-B5D1-B788FE65FC85}" type="presParOf" srcId="{FADE98E4-877F-824E-8BEE-4F00578F1996}" destId="{0B9EB50A-EC87-FB4E-950F-D3E7B3E32EF8}" srcOrd="0" destOrd="0" presId="urn:microsoft.com/office/officeart/2005/8/layout/hierarchy1"/>
    <dgm:cxn modelId="{693511BA-E12B-4A29-93B8-5EE4F5D32C3A}" type="presParOf" srcId="{0B9EB50A-EC87-FB4E-950F-D3E7B3E32EF8}" destId="{978489A2-8BF7-9848-A9AC-08BA76F88668}" srcOrd="0" destOrd="0" presId="urn:microsoft.com/office/officeart/2005/8/layout/hierarchy1"/>
    <dgm:cxn modelId="{401FB7F9-1454-4F5F-922B-14F295918B92}" type="presParOf" srcId="{0B9EB50A-EC87-FB4E-950F-D3E7B3E32EF8}" destId="{A859854A-8142-9B40-8B3A-52E11BDD75A4}" srcOrd="1" destOrd="0" presId="urn:microsoft.com/office/officeart/2005/8/layout/hierarchy1"/>
    <dgm:cxn modelId="{2424B3ED-B789-4836-9155-9618DB28EBA2}" type="presParOf" srcId="{FADE98E4-877F-824E-8BEE-4F00578F1996}" destId="{FA23B74A-3CD7-4442-B1CC-DC6348B08F59}" srcOrd="1" destOrd="0" presId="urn:microsoft.com/office/officeart/2005/8/layout/hierarchy1"/>
    <dgm:cxn modelId="{00BF0FA9-5B80-41CD-AB8B-667AE7BA9F5C}" type="presParOf" srcId="{39F965AE-B422-8447-9BA9-FC4015A2122A}" destId="{5DD4A6E5-30D2-BC48-82EF-44AB6345F29B}" srcOrd="6" destOrd="0" presId="urn:microsoft.com/office/officeart/2005/8/layout/hierarchy1"/>
    <dgm:cxn modelId="{556086ED-6394-441B-B609-28CB866450A5}" type="presParOf" srcId="{39F965AE-B422-8447-9BA9-FC4015A2122A}" destId="{BCCFF5D7-617E-1D4C-BF22-78FC77D967A1}" srcOrd="7" destOrd="0" presId="urn:microsoft.com/office/officeart/2005/8/layout/hierarchy1"/>
    <dgm:cxn modelId="{A94CD98E-76B2-48D2-AD0F-345E668C6C9F}" type="presParOf" srcId="{BCCFF5D7-617E-1D4C-BF22-78FC77D967A1}" destId="{6DBF0123-4E23-6C41-A78B-B7BBE67D8E28}" srcOrd="0" destOrd="0" presId="urn:microsoft.com/office/officeart/2005/8/layout/hierarchy1"/>
    <dgm:cxn modelId="{DA789C3B-C532-4208-A7B6-975EEA4A9111}" type="presParOf" srcId="{6DBF0123-4E23-6C41-A78B-B7BBE67D8E28}" destId="{DC1DF888-6604-404C-9DB0-E21688DA45A4}" srcOrd="0" destOrd="0" presId="urn:microsoft.com/office/officeart/2005/8/layout/hierarchy1"/>
    <dgm:cxn modelId="{79F66B69-8DB4-495E-8ED5-F63B52FF72B4}" type="presParOf" srcId="{6DBF0123-4E23-6C41-A78B-B7BBE67D8E28}" destId="{21A2662A-6AE3-1E4F-B5C1-E62D06573556}" srcOrd="1" destOrd="0" presId="urn:microsoft.com/office/officeart/2005/8/layout/hierarchy1"/>
    <dgm:cxn modelId="{EE323BC6-F04A-4366-80FB-06E9024AFDF5}" type="presParOf" srcId="{BCCFF5D7-617E-1D4C-BF22-78FC77D967A1}" destId="{8EA1F0CC-2698-684A-BE71-C2C7FDE7D656}" srcOrd="1" destOrd="0" presId="urn:microsoft.com/office/officeart/2005/8/layout/hierarchy1"/>
    <dgm:cxn modelId="{D4F48A49-E883-45C5-85FC-88420964B135}" type="presParOf" srcId="{8EA1F0CC-2698-684A-BE71-C2C7FDE7D656}" destId="{CA9133C5-0C81-194A-B4FC-B30436310F7C}" srcOrd="0" destOrd="0" presId="urn:microsoft.com/office/officeart/2005/8/layout/hierarchy1"/>
    <dgm:cxn modelId="{51526B39-A823-41A3-9482-4593B0348FA1}" type="presParOf" srcId="{8EA1F0CC-2698-684A-BE71-C2C7FDE7D656}" destId="{5E76053C-F5B1-874C-B7DA-073E93D3FDCF}" srcOrd="1" destOrd="0" presId="urn:microsoft.com/office/officeart/2005/8/layout/hierarchy1"/>
    <dgm:cxn modelId="{8A2C6D8D-5CEC-49B1-B0B4-AFCE496D8E55}" type="presParOf" srcId="{5E76053C-F5B1-874C-B7DA-073E93D3FDCF}" destId="{69A108B0-3048-D643-B46D-C8A50E5927D5}" srcOrd="0" destOrd="0" presId="urn:microsoft.com/office/officeart/2005/8/layout/hierarchy1"/>
    <dgm:cxn modelId="{C8652247-C240-4CA5-8EC6-152D0C8C1D8B}" type="presParOf" srcId="{69A108B0-3048-D643-B46D-C8A50E5927D5}" destId="{B8C5050B-80C8-CB42-9832-486811727B59}" srcOrd="0" destOrd="0" presId="urn:microsoft.com/office/officeart/2005/8/layout/hierarchy1"/>
    <dgm:cxn modelId="{3217F1DD-A42B-4050-A38D-E7D4D016FF7A}" type="presParOf" srcId="{69A108B0-3048-D643-B46D-C8A50E5927D5}" destId="{259E6A64-F5A9-594E-A4DE-04EA642F0B2C}" srcOrd="1" destOrd="0" presId="urn:microsoft.com/office/officeart/2005/8/layout/hierarchy1"/>
    <dgm:cxn modelId="{B6A818B3-93B1-4520-9539-8F11CB24FA55}"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Case Conference Co-ordination and Chair</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0-15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15-30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30-45 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45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r>
            <a:rPr lang="en-US" sz="1100" i="1"/>
            <a:t>MBS 23 ($36.30)</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r>
            <a:rPr lang="en-US" sz="1100" i="1"/>
            <a:t>MBS 116 ($64.20)</a:t>
          </a:r>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r>
            <a:rPr lang="en-US" sz="1100" b="1" i="1"/>
            <a:t>New Item ($96.30)</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r>
            <a:rPr lang="en-US" sz="1100" i="1"/>
            <a:t>MBS 110 ($128.30)</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87B489F6-5D69-4639-9460-2ABB0388B94B}" type="presOf" srcId="{A0416ECC-4A2A-1E45-B785-9209F187AC5C}" destId="{D4F4F276-AFD8-4247-8DC4-B4ACD3AC0C75}" srcOrd="0" destOrd="0" presId="urn:microsoft.com/office/officeart/2005/8/layout/hierarchy1"/>
    <dgm:cxn modelId="{9E85FA8F-F075-4230-A834-A4A65FE319A7}" type="presOf" srcId="{5AFFFC75-E306-A448-8ABD-18D9F8D6D3B9}" destId="{158E4AD8-3313-1D47-B7CA-87E116655F38}" srcOrd="0" destOrd="0" presId="urn:microsoft.com/office/officeart/2005/8/layout/hierarchy1"/>
    <dgm:cxn modelId="{7040EEA0-63B1-472E-BC60-A63A27186B7C}" type="presOf" srcId="{68AB0310-AB85-8B45-9D41-620E4C594CB9}" destId="{53ED3188-B4DA-7A45-BB61-4FA1E01CEE04}" srcOrd="0" destOrd="0" presId="urn:microsoft.com/office/officeart/2005/8/layout/hierarchy1"/>
    <dgm:cxn modelId="{9FECCE80-D594-49E1-8818-986203572E9F}" type="presOf" srcId="{6D2FF0AE-09F2-3B4F-8898-E83E0E959B53}" destId="{4435B795-5104-6F4A-8C6E-2A14B1B46FD7}" srcOrd="0" destOrd="0" presId="urn:microsoft.com/office/officeart/2005/8/layout/hierarchy1"/>
    <dgm:cxn modelId="{C4C667CC-100E-4C50-81FD-C6DFA8054BFF}" type="presOf" srcId="{646840C6-9D22-0940-94F4-BFE459C48682}" destId="{CA9133C5-0C81-194A-B4FC-B30436310F7C}"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E7277451-6F21-5244-B955-07DC47A1AE22}" srcId="{68FDA15D-0887-2443-A357-BD07E2464A58}" destId="{3D2D4D02-A5C3-494C-AA17-9E741C304F0A}" srcOrd="1" destOrd="0" parTransId="{753D11A2-4524-7B47-8908-CBAE3F618FF3}" sibTransId="{EC748F1D-AD16-2449-99F5-527CC00A62C5}"/>
    <dgm:cxn modelId="{9F37C699-CCC2-4A65-BA06-B2F93AFECBE6}" type="presOf" srcId="{42E6C4B5-8A56-514D-9D10-12F50465C01E}" destId="{1223D048-6377-0849-A74E-A44C69F627A7}" srcOrd="0" destOrd="0" presId="urn:microsoft.com/office/officeart/2005/8/layout/hierarchy1"/>
    <dgm:cxn modelId="{74E56D36-C952-4FE4-A472-CFA3546FDE1E}" type="presOf" srcId="{F678D22A-E410-B44E-A48B-1A84784FE659}" destId="{0C3384DB-4E62-1343-9B29-EA318FB39799}" srcOrd="0" destOrd="0" presId="urn:microsoft.com/office/officeart/2005/8/layout/hierarchy1"/>
    <dgm:cxn modelId="{DE59F17E-1300-438D-BA91-0877A682A6D9}" type="presOf" srcId="{865DB265-2376-DB44-9068-8D396FBC6DA7}" destId="{21A2662A-6AE3-1E4F-B5C1-E62D06573556}"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76F4EDEF-5A19-4A40-AE71-E8CEABD771DF}" type="presOf" srcId="{38A69577-B504-8043-B614-00033C4667ED}" destId="{5DD4A6E5-30D2-BC48-82EF-44AB6345F29B}" srcOrd="0" destOrd="0" presId="urn:microsoft.com/office/officeart/2005/8/layout/hierarchy1"/>
    <dgm:cxn modelId="{004BCFB3-616B-FA40-BED8-9BD36B2DAB0D}" srcId="{68AB0310-AB85-8B45-9D41-620E4C594CB9}" destId="{BA4C6AE5-90E4-6F4B-AC3A-2BA1DBBDA93C}" srcOrd="0" destOrd="0" parTransId="{5AFFFC75-E306-A448-8ABD-18D9F8D6D3B9}" sibTransId="{6FC22C72-1DB9-B84F-AA76-96D45910536C}"/>
    <dgm:cxn modelId="{2AE9A0EB-5110-4B89-B9CE-69CA074CA829}" type="presOf" srcId="{438CBF3B-D0F4-9D48-A142-5F2D9150F864}" destId="{55508F5B-3B84-EF48-82B5-9D2C53F782BF}"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9732C848-8327-46F7-925D-1EDBB956C059}" type="presOf" srcId="{BA4C6AE5-90E4-6F4B-AC3A-2BA1DBBDA93C}" destId="{A859854A-8142-9B40-8B3A-52E11BDD75A4}" srcOrd="0" destOrd="0" presId="urn:microsoft.com/office/officeart/2005/8/layout/hierarchy1"/>
    <dgm:cxn modelId="{AA3226A0-4A9C-4C49-B404-69BCC022F5FD}" type="presOf" srcId="{1B681A8F-A554-1F44-BADD-518AA499E287}" destId="{BD5CF76E-544D-E04C-BB86-76DDAD6F7AB3}"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9E0DD193-B516-4316-806D-5BBC0432A702}" type="presOf" srcId="{D667295C-1BF9-CA4C-89FE-8067C2D1C6D9}" destId="{259E6A64-F5A9-594E-A4DE-04EA642F0B2C}"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D97498A0-2266-FF40-91F3-B6BE55EDB390}" srcId="{68FDA15D-0887-2443-A357-BD07E2464A58}" destId="{865DB265-2376-DB44-9068-8D396FBC6DA7}" srcOrd="3" destOrd="0" parTransId="{38A69577-B504-8043-B614-00033C4667ED}" sibTransId="{F8E931C3-303A-2342-BE12-B6D4426BF06B}"/>
    <dgm:cxn modelId="{CCE384BD-E256-4971-96D0-726CA7AD6A35}" type="presOf" srcId="{D2DCA103-7A15-E541-8977-D49EBF5D392A}" destId="{0B45D9A2-4E18-634A-B70B-8ECBE0DC0AE6}" srcOrd="0" destOrd="0" presId="urn:microsoft.com/office/officeart/2005/8/layout/hierarchy1"/>
    <dgm:cxn modelId="{6C988DE8-AE7B-4156-998A-AE05BA2B191D}" type="presOf" srcId="{753D11A2-4524-7B47-8908-CBAE3F618FF3}" destId="{7EB04D44-ED91-8646-BCBE-3ED3306A03AD}" srcOrd="0" destOrd="0" presId="urn:microsoft.com/office/officeart/2005/8/layout/hierarchy1"/>
    <dgm:cxn modelId="{26E5D662-2A54-42F5-98D7-AEBE9BB47EAF}" type="presOf" srcId="{68FDA15D-0887-2443-A357-BD07E2464A58}" destId="{7527AFBF-24BC-6048-8CA6-468956327B51}" srcOrd="0" destOrd="0" presId="urn:microsoft.com/office/officeart/2005/8/layout/hierarchy1"/>
    <dgm:cxn modelId="{0A14D027-26E1-4C18-8F88-1991A3A4EED5}" type="presOf" srcId="{3E507491-2711-B94A-A1E9-461017E29ECB}" destId="{53AE8375-F2A8-764C-BA20-CDF18A3A8521}" srcOrd="0" destOrd="0" presId="urn:microsoft.com/office/officeart/2005/8/layout/hierarchy1"/>
    <dgm:cxn modelId="{BAF5150D-6320-46CB-83E7-3BEC3FBF6FCD}" type="presOf" srcId="{3D2D4D02-A5C3-494C-AA17-9E741C304F0A}" destId="{721901F3-629C-D545-8A4A-CFEFECBE41BF}"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AE2EB218-A112-44BF-A93F-EA717870FCA4}" type="presParOf" srcId="{1223D048-6377-0849-A74E-A44C69F627A7}" destId="{6BF0587A-F26B-F94E-80BA-9550E9BD1B6C}" srcOrd="0" destOrd="0" presId="urn:microsoft.com/office/officeart/2005/8/layout/hierarchy1"/>
    <dgm:cxn modelId="{AC1E7D2E-12B5-413F-A26E-0A8A07C6A455}" type="presParOf" srcId="{6BF0587A-F26B-F94E-80BA-9550E9BD1B6C}" destId="{5CF6D649-3736-C14A-8CE5-DF66A61B1B4F}" srcOrd="0" destOrd="0" presId="urn:microsoft.com/office/officeart/2005/8/layout/hierarchy1"/>
    <dgm:cxn modelId="{EF238C7E-C8B3-44D5-AA03-8E2B6E56EE89}" type="presParOf" srcId="{5CF6D649-3736-C14A-8CE5-DF66A61B1B4F}" destId="{157D4998-21CF-A248-83EB-0106527C25EC}" srcOrd="0" destOrd="0" presId="urn:microsoft.com/office/officeart/2005/8/layout/hierarchy1"/>
    <dgm:cxn modelId="{064550BB-7272-4E66-8F62-1E037834F852}" type="presParOf" srcId="{5CF6D649-3736-C14A-8CE5-DF66A61B1B4F}" destId="{7527AFBF-24BC-6048-8CA6-468956327B51}" srcOrd="1" destOrd="0" presId="urn:microsoft.com/office/officeart/2005/8/layout/hierarchy1"/>
    <dgm:cxn modelId="{4C5EAC1C-D121-486D-9A69-1036A808C6FB}" type="presParOf" srcId="{6BF0587A-F26B-F94E-80BA-9550E9BD1B6C}" destId="{39F965AE-B422-8447-9BA9-FC4015A2122A}" srcOrd="1" destOrd="0" presId="urn:microsoft.com/office/officeart/2005/8/layout/hierarchy1"/>
    <dgm:cxn modelId="{CBA6706D-979A-4688-89CE-5009105284BD}" type="presParOf" srcId="{39F965AE-B422-8447-9BA9-FC4015A2122A}" destId="{BD5CF76E-544D-E04C-BB86-76DDAD6F7AB3}" srcOrd="0" destOrd="0" presId="urn:microsoft.com/office/officeart/2005/8/layout/hierarchy1"/>
    <dgm:cxn modelId="{ED6712E8-3598-4D18-91A8-38BAA6553BD5}" type="presParOf" srcId="{39F965AE-B422-8447-9BA9-FC4015A2122A}" destId="{A51BDB54-F392-CB48-88B5-BF4D5FF8F3AE}" srcOrd="1" destOrd="0" presId="urn:microsoft.com/office/officeart/2005/8/layout/hierarchy1"/>
    <dgm:cxn modelId="{8791D041-93BA-42BF-A5C7-AB782488D20B}" type="presParOf" srcId="{A51BDB54-F392-CB48-88B5-BF4D5FF8F3AE}" destId="{A8AA713F-4182-2646-8D59-439D40ED64C9}" srcOrd="0" destOrd="0" presId="urn:microsoft.com/office/officeart/2005/8/layout/hierarchy1"/>
    <dgm:cxn modelId="{1BB9FBA1-D5CF-49EC-9E21-46E884B2E029}" type="presParOf" srcId="{A8AA713F-4182-2646-8D59-439D40ED64C9}" destId="{54A8B529-F9E3-4141-8DC9-99339199C884}" srcOrd="0" destOrd="0" presId="urn:microsoft.com/office/officeart/2005/8/layout/hierarchy1"/>
    <dgm:cxn modelId="{886DFE98-CA85-4772-8A68-744F975AFBAC}" type="presParOf" srcId="{A8AA713F-4182-2646-8D59-439D40ED64C9}" destId="{4435B795-5104-6F4A-8C6E-2A14B1B46FD7}" srcOrd="1" destOrd="0" presId="urn:microsoft.com/office/officeart/2005/8/layout/hierarchy1"/>
    <dgm:cxn modelId="{210B56D0-D3AA-4901-9910-6FB79D78A175}" type="presParOf" srcId="{A51BDB54-F392-CB48-88B5-BF4D5FF8F3AE}" destId="{8BD5E129-C5BB-164C-9FF5-228278421498}" srcOrd="1" destOrd="0" presId="urn:microsoft.com/office/officeart/2005/8/layout/hierarchy1"/>
    <dgm:cxn modelId="{F91CFA47-3469-4CEB-8A49-B0CACE7F7C63}" type="presParOf" srcId="{8BD5E129-C5BB-164C-9FF5-228278421498}" destId="{53AE8375-F2A8-764C-BA20-CDF18A3A8521}" srcOrd="0" destOrd="0" presId="urn:microsoft.com/office/officeart/2005/8/layout/hierarchy1"/>
    <dgm:cxn modelId="{200F005A-D06F-4C69-A1A1-C5565DC2320E}" type="presParOf" srcId="{8BD5E129-C5BB-164C-9FF5-228278421498}" destId="{EEFD2779-1B03-4243-8B58-BDFAB6E93AB1}" srcOrd="1" destOrd="0" presId="urn:microsoft.com/office/officeart/2005/8/layout/hierarchy1"/>
    <dgm:cxn modelId="{0C649373-D32E-4E1E-9A1E-0DE34EE64D4E}" type="presParOf" srcId="{EEFD2779-1B03-4243-8B58-BDFAB6E93AB1}" destId="{8CB8A041-395B-5543-AB2E-7DA6CCEB4966}" srcOrd="0" destOrd="0" presId="urn:microsoft.com/office/officeart/2005/8/layout/hierarchy1"/>
    <dgm:cxn modelId="{EE2B525F-36E9-4552-B68C-3AED26E5CCC8}" type="presParOf" srcId="{8CB8A041-395B-5543-AB2E-7DA6CCEB4966}" destId="{3240397F-0654-6F4E-864F-1CFB9BF37823}" srcOrd="0" destOrd="0" presId="urn:microsoft.com/office/officeart/2005/8/layout/hierarchy1"/>
    <dgm:cxn modelId="{13AAE68D-FA78-441F-B709-BCB2B9CC3BAA}" type="presParOf" srcId="{8CB8A041-395B-5543-AB2E-7DA6CCEB4966}" destId="{0B45D9A2-4E18-634A-B70B-8ECBE0DC0AE6}" srcOrd="1" destOrd="0" presId="urn:microsoft.com/office/officeart/2005/8/layout/hierarchy1"/>
    <dgm:cxn modelId="{62E1CA5F-CC8C-46B8-BD6E-937C9F50824B}" type="presParOf" srcId="{EEFD2779-1B03-4243-8B58-BDFAB6E93AB1}" destId="{AA360262-F3A2-8447-952A-460D4F0F1CAE}" srcOrd="1" destOrd="0" presId="urn:microsoft.com/office/officeart/2005/8/layout/hierarchy1"/>
    <dgm:cxn modelId="{8DC8F583-423C-42A4-B87C-613076A4FBFB}" type="presParOf" srcId="{39F965AE-B422-8447-9BA9-FC4015A2122A}" destId="{7EB04D44-ED91-8646-BCBE-3ED3306A03AD}" srcOrd="2" destOrd="0" presId="urn:microsoft.com/office/officeart/2005/8/layout/hierarchy1"/>
    <dgm:cxn modelId="{5632C4B6-644C-4CD0-B0C8-10D2980956FB}" type="presParOf" srcId="{39F965AE-B422-8447-9BA9-FC4015A2122A}" destId="{AC89B61D-711B-A64F-AB19-6B7CCC25AE55}" srcOrd="3" destOrd="0" presId="urn:microsoft.com/office/officeart/2005/8/layout/hierarchy1"/>
    <dgm:cxn modelId="{906F8AD4-2B1F-43DC-94A0-7B42B67A4616}" type="presParOf" srcId="{AC89B61D-711B-A64F-AB19-6B7CCC25AE55}" destId="{E2AB0108-79C5-AE45-B6D3-776B3E26AFE6}" srcOrd="0" destOrd="0" presId="urn:microsoft.com/office/officeart/2005/8/layout/hierarchy1"/>
    <dgm:cxn modelId="{F29F84EB-5426-4899-9AC2-D427FF58F260}" type="presParOf" srcId="{E2AB0108-79C5-AE45-B6D3-776B3E26AFE6}" destId="{48D7D30C-AB11-D946-8AEC-FD9B2A504183}" srcOrd="0" destOrd="0" presId="urn:microsoft.com/office/officeart/2005/8/layout/hierarchy1"/>
    <dgm:cxn modelId="{1964CEB3-F133-43DC-BE7D-E08E9A782CB4}" type="presParOf" srcId="{E2AB0108-79C5-AE45-B6D3-776B3E26AFE6}" destId="{721901F3-629C-D545-8A4A-CFEFECBE41BF}" srcOrd="1" destOrd="0" presId="urn:microsoft.com/office/officeart/2005/8/layout/hierarchy1"/>
    <dgm:cxn modelId="{260FA163-0419-4D53-804B-B239B2AB55ED}" type="presParOf" srcId="{AC89B61D-711B-A64F-AB19-6B7CCC25AE55}" destId="{01243898-A714-C948-9E12-68D3E20AB882}" srcOrd="1" destOrd="0" presId="urn:microsoft.com/office/officeart/2005/8/layout/hierarchy1"/>
    <dgm:cxn modelId="{F4227900-F69B-4BFF-9A85-54B941953EA1}" type="presParOf" srcId="{01243898-A714-C948-9E12-68D3E20AB882}" destId="{D4F4F276-AFD8-4247-8DC4-B4ACD3AC0C75}" srcOrd="0" destOrd="0" presId="urn:microsoft.com/office/officeart/2005/8/layout/hierarchy1"/>
    <dgm:cxn modelId="{68DE57CA-6BF0-410F-9C17-CB69919B46C0}" type="presParOf" srcId="{01243898-A714-C948-9E12-68D3E20AB882}" destId="{8225C9A2-E441-6E4C-92BC-572F9C84CE19}" srcOrd="1" destOrd="0" presId="urn:microsoft.com/office/officeart/2005/8/layout/hierarchy1"/>
    <dgm:cxn modelId="{DF64EFD6-8891-48A0-B66C-6F4C5094BC64}" type="presParOf" srcId="{8225C9A2-E441-6E4C-92BC-572F9C84CE19}" destId="{080163C8-52EB-204F-939F-477A90FEFD5F}" srcOrd="0" destOrd="0" presId="urn:microsoft.com/office/officeart/2005/8/layout/hierarchy1"/>
    <dgm:cxn modelId="{51907B24-58A7-41E6-A9F6-C1EFB04DEC79}" type="presParOf" srcId="{080163C8-52EB-204F-939F-477A90FEFD5F}" destId="{9166D8F7-1B4C-E041-81E9-30CF31DF6B1C}" srcOrd="0" destOrd="0" presId="urn:microsoft.com/office/officeart/2005/8/layout/hierarchy1"/>
    <dgm:cxn modelId="{2B1A3B2D-E828-4C64-8F9D-0A33A46A37D5}" type="presParOf" srcId="{080163C8-52EB-204F-939F-477A90FEFD5F}" destId="{0C3384DB-4E62-1343-9B29-EA318FB39799}" srcOrd="1" destOrd="0" presId="urn:microsoft.com/office/officeart/2005/8/layout/hierarchy1"/>
    <dgm:cxn modelId="{A2A71AFC-B1E3-4D5F-8BCA-BCAFD7F25E3C}" type="presParOf" srcId="{8225C9A2-E441-6E4C-92BC-572F9C84CE19}" destId="{336BB470-F2D1-5B46-AF15-3611975B4FEB}" srcOrd="1" destOrd="0" presId="urn:microsoft.com/office/officeart/2005/8/layout/hierarchy1"/>
    <dgm:cxn modelId="{4547CD8F-FE9C-4A6E-84E8-2B70794E2F8B}" type="presParOf" srcId="{39F965AE-B422-8447-9BA9-FC4015A2122A}" destId="{55508F5B-3B84-EF48-82B5-9D2C53F782BF}" srcOrd="4" destOrd="0" presId="urn:microsoft.com/office/officeart/2005/8/layout/hierarchy1"/>
    <dgm:cxn modelId="{C240C02D-BFBF-45EE-8C3F-9EA3053CDD0E}" type="presParOf" srcId="{39F965AE-B422-8447-9BA9-FC4015A2122A}" destId="{3F418DB2-B20B-7D44-A7EC-C64F53ECEB97}" srcOrd="5" destOrd="0" presId="urn:microsoft.com/office/officeart/2005/8/layout/hierarchy1"/>
    <dgm:cxn modelId="{22214B3E-2DBD-46C7-95E0-09C749BDA79F}" type="presParOf" srcId="{3F418DB2-B20B-7D44-A7EC-C64F53ECEB97}" destId="{DFC25FED-44BA-BB40-B97F-63549EDCF6DD}" srcOrd="0" destOrd="0" presId="urn:microsoft.com/office/officeart/2005/8/layout/hierarchy1"/>
    <dgm:cxn modelId="{2215AF39-9A5D-4E75-B21E-A0EC8880B14B}" type="presParOf" srcId="{DFC25FED-44BA-BB40-B97F-63549EDCF6DD}" destId="{24560018-146F-0341-BCE4-266F61ACA491}" srcOrd="0" destOrd="0" presId="urn:microsoft.com/office/officeart/2005/8/layout/hierarchy1"/>
    <dgm:cxn modelId="{521E6FA5-BDB8-41C8-982C-2B3D4BF2C012}" type="presParOf" srcId="{DFC25FED-44BA-BB40-B97F-63549EDCF6DD}" destId="{53ED3188-B4DA-7A45-BB61-4FA1E01CEE04}" srcOrd="1" destOrd="0" presId="urn:microsoft.com/office/officeart/2005/8/layout/hierarchy1"/>
    <dgm:cxn modelId="{968E2BCC-0AF0-44B0-A1DA-0E98FAB170E5}" type="presParOf" srcId="{3F418DB2-B20B-7D44-A7EC-C64F53ECEB97}" destId="{44C857B0-4564-104C-974B-CACC3D3843F2}" srcOrd="1" destOrd="0" presId="urn:microsoft.com/office/officeart/2005/8/layout/hierarchy1"/>
    <dgm:cxn modelId="{D6837734-239F-4127-82A4-93FE0BAE7D77}" type="presParOf" srcId="{44C857B0-4564-104C-974B-CACC3D3843F2}" destId="{158E4AD8-3313-1D47-B7CA-87E116655F38}" srcOrd="0" destOrd="0" presId="urn:microsoft.com/office/officeart/2005/8/layout/hierarchy1"/>
    <dgm:cxn modelId="{18A97F21-6C4F-452C-A12A-A6783CCFB985}" type="presParOf" srcId="{44C857B0-4564-104C-974B-CACC3D3843F2}" destId="{FADE98E4-877F-824E-8BEE-4F00578F1996}" srcOrd="1" destOrd="0" presId="urn:microsoft.com/office/officeart/2005/8/layout/hierarchy1"/>
    <dgm:cxn modelId="{B89FB01A-79B0-4A36-9227-D3953326A778}" type="presParOf" srcId="{FADE98E4-877F-824E-8BEE-4F00578F1996}" destId="{0B9EB50A-EC87-FB4E-950F-D3E7B3E32EF8}" srcOrd="0" destOrd="0" presId="urn:microsoft.com/office/officeart/2005/8/layout/hierarchy1"/>
    <dgm:cxn modelId="{5A307567-FE2F-4DA1-87AA-E7D789C607FA}" type="presParOf" srcId="{0B9EB50A-EC87-FB4E-950F-D3E7B3E32EF8}" destId="{978489A2-8BF7-9848-A9AC-08BA76F88668}" srcOrd="0" destOrd="0" presId="urn:microsoft.com/office/officeart/2005/8/layout/hierarchy1"/>
    <dgm:cxn modelId="{887ABF3B-FD91-419B-BF38-565493EB820D}" type="presParOf" srcId="{0B9EB50A-EC87-FB4E-950F-D3E7B3E32EF8}" destId="{A859854A-8142-9B40-8B3A-52E11BDD75A4}" srcOrd="1" destOrd="0" presId="urn:microsoft.com/office/officeart/2005/8/layout/hierarchy1"/>
    <dgm:cxn modelId="{4064C506-CBB3-47BF-98A8-EA70C3B09372}" type="presParOf" srcId="{FADE98E4-877F-824E-8BEE-4F00578F1996}" destId="{FA23B74A-3CD7-4442-B1CC-DC6348B08F59}" srcOrd="1" destOrd="0" presId="urn:microsoft.com/office/officeart/2005/8/layout/hierarchy1"/>
    <dgm:cxn modelId="{6E9F4580-1059-41C3-8954-A763214D38E5}" type="presParOf" srcId="{39F965AE-B422-8447-9BA9-FC4015A2122A}" destId="{5DD4A6E5-30D2-BC48-82EF-44AB6345F29B}" srcOrd="6" destOrd="0" presId="urn:microsoft.com/office/officeart/2005/8/layout/hierarchy1"/>
    <dgm:cxn modelId="{06BCA760-3C06-4041-9C98-2D7689BFD5D1}" type="presParOf" srcId="{39F965AE-B422-8447-9BA9-FC4015A2122A}" destId="{BCCFF5D7-617E-1D4C-BF22-78FC77D967A1}" srcOrd="7" destOrd="0" presId="urn:microsoft.com/office/officeart/2005/8/layout/hierarchy1"/>
    <dgm:cxn modelId="{1E7E68BA-0126-408F-B0A9-07A1A2C8B6B4}" type="presParOf" srcId="{BCCFF5D7-617E-1D4C-BF22-78FC77D967A1}" destId="{6DBF0123-4E23-6C41-A78B-B7BBE67D8E28}" srcOrd="0" destOrd="0" presId="urn:microsoft.com/office/officeart/2005/8/layout/hierarchy1"/>
    <dgm:cxn modelId="{F48DC4F2-C7BD-4F1A-922F-865F45F324C0}" type="presParOf" srcId="{6DBF0123-4E23-6C41-A78B-B7BBE67D8E28}" destId="{DC1DF888-6604-404C-9DB0-E21688DA45A4}" srcOrd="0" destOrd="0" presId="urn:microsoft.com/office/officeart/2005/8/layout/hierarchy1"/>
    <dgm:cxn modelId="{F9186215-63A6-4440-8CF2-B9D443C63C51}" type="presParOf" srcId="{6DBF0123-4E23-6C41-A78B-B7BBE67D8E28}" destId="{21A2662A-6AE3-1E4F-B5C1-E62D06573556}" srcOrd="1" destOrd="0" presId="urn:microsoft.com/office/officeart/2005/8/layout/hierarchy1"/>
    <dgm:cxn modelId="{987A3C39-EEB3-4E5B-B52A-0A3CE1128211}" type="presParOf" srcId="{BCCFF5D7-617E-1D4C-BF22-78FC77D967A1}" destId="{8EA1F0CC-2698-684A-BE71-C2C7FDE7D656}" srcOrd="1" destOrd="0" presId="urn:microsoft.com/office/officeart/2005/8/layout/hierarchy1"/>
    <dgm:cxn modelId="{010BB2CE-E6FC-4D8B-BEF8-0AFF8A77B738}" type="presParOf" srcId="{8EA1F0CC-2698-684A-BE71-C2C7FDE7D656}" destId="{CA9133C5-0C81-194A-B4FC-B30436310F7C}" srcOrd="0" destOrd="0" presId="urn:microsoft.com/office/officeart/2005/8/layout/hierarchy1"/>
    <dgm:cxn modelId="{1CC075F0-2AFA-4085-A270-B9434C029063}" type="presParOf" srcId="{8EA1F0CC-2698-684A-BE71-C2C7FDE7D656}" destId="{5E76053C-F5B1-874C-B7DA-073E93D3FDCF}" srcOrd="1" destOrd="0" presId="urn:microsoft.com/office/officeart/2005/8/layout/hierarchy1"/>
    <dgm:cxn modelId="{995B45D1-7FAA-4852-8B7C-DE17528354F8}" type="presParOf" srcId="{5E76053C-F5B1-874C-B7DA-073E93D3FDCF}" destId="{69A108B0-3048-D643-B46D-C8A50E5927D5}" srcOrd="0" destOrd="0" presId="urn:microsoft.com/office/officeart/2005/8/layout/hierarchy1"/>
    <dgm:cxn modelId="{BA29DEA7-B3B2-47A0-9C11-F965C40B9884}" type="presParOf" srcId="{69A108B0-3048-D643-B46D-C8A50E5927D5}" destId="{B8C5050B-80C8-CB42-9832-486811727B59}" srcOrd="0" destOrd="0" presId="urn:microsoft.com/office/officeart/2005/8/layout/hierarchy1"/>
    <dgm:cxn modelId="{B794DE20-7129-47D9-994A-BD963A214448}" type="presParOf" srcId="{69A108B0-3048-D643-B46D-C8A50E5927D5}" destId="{259E6A64-F5A9-594E-A4DE-04EA642F0B2C}" srcOrd="1" destOrd="0" presId="urn:microsoft.com/office/officeart/2005/8/layout/hierarchy1"/>
    <dgm:cxn modelId="{E42742CC-A736-4AB5-A76F-04CAC281160E}"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Case Conference Participation</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0-15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15-30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30-45 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45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r>
            <a:rPr lang="en-US" sz="1100" i="1"/>
            <a:t>80% of      MBS 23 ($29.04)</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r>
            <a:rPr lang="en-US" sz="1100" i="1"/>
            <a:t>80% of      MBS 116 ($51.36)</a:t>
          </a:r>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r>
            <a:rPr lang="en-US" sz="1100" b="1" i="1"/>
            <a:t>80% of      New Item ($77.04)</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r>
            <a:rPr lang="en-US" sz="1100" i="1"/>
            <a:t>80% of      MBS 110 ($102.64)</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3C28764C-DB1A-4BC0-A10F-340EDE2C3F74}" type="presOf" srcId="{BA4C6AE5-90E4-6F4B-AC3A-2BA1DBBDA93C}" destId="{A859854A-8142-9B40-8B3A-52E11BDD75A4}" srcOrd="0" destOrd="0" presId="urn:microsoft.com/office/officeart/2005/8/layout/hierarchy1"/>
    <dgm:cxn modelId="{0851FBD4-1908-451C-9752-2D9DA22CEC43}" type="presOf" srcId="{68AB0310-AB85-8B45-9D41-620E4C594CB9}" destId="{53ED3188-B4DA-7A45-BB61-4FA1E01CEE04}"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FB76BE70-2980-4D84-A050-27F4F72A668E}" type="presOf" srcId="{D2DCA103-7A15-E541-8977-D49EBF5D392A}" destId="{0B45D9A2-4E18-634A-B70B-8ECBE0DC0AE6}" srcOrd="0" destOrd="0" presId="urn:microsoft.com/office/officeart/2005/8/layout/hierarchy1"/>
    <dgm:cxn modelId="{1F2FDA07-147D-4CB1-8AD3-6A890E0C6F35}" type="presOf" srcId="{865DB265-2376-DB44-9068-8D396FBC6DA7}" destId="{21A2662A-6AE3-1E4F-B5C1-E62D06573556}" srcOrd="0" destOrd="0" presId="urn:microsoft.com/office/officeart/2005/8/layout/hierarchy1"/>
    <dgm:cxn modelId="{E7277451-6F21-5244-B955-07DC47A1AE22}" srcId="{68FDA15D-0887-2443-A357-BD07E2464A58}" destId="{3D2D4D02-A5C3-494C-AA17-9E741C304F0A}" srcOrd="1" destOrd="0" parTransId="{753D11A2-4524-7B47-8908-CBAE3F618FF3}" sibTransId="{EC748F1D-AD16-2449-99F5-527CC00A62C5}"/>
    <dgm:cxn modelId="{F7E5F7A3-9E41-2345-9E03-13E93E2D009F}" srcId="{68FDA15D-0887-2443-A357-BD07E2464A58}" destId="{6D2FF0AE-09F2-3B4F-8898-E83E0E959B53}" srcOrd="0" destOrd="0" parTransId="{1B681A8F-A554-1F44-BADD-518AA499E287}" sibTransId="{08A2C5CA-1BDC-A34B-989F-D07222DCBB12}"/>
    <dgm:cxn modelId="{004BCFB3-616B-FA40-BED8-9BD36B2DAB0D}" srcId="{68AB0310-AB85-8B45-9D41-620E4C594CB9}" destId="{BA4C6AE5-90E4-6F4B-AC3A-2BA1DBBDA93C}" srcOrd="0" destOrd="0" parTransId="{5AFFFC75-E306-A448-8ABD-18D9F8D6D3B9}" sibTransId="{6FC22C72-1DB9-B84F-AA76-96D45910536C}"/>
    <dgm:cxn modelId="{61115CE4-1C45-41EA-BF68-8E0C281CC2C5}" type="presOf" srcId="{646840C6-9D22-0940-94F4-BFE459C48682}" destId="{CA9133C5-0C81-194A-B4FC-B30436310F7C}" srcOrd="0" destOrd="0" presId="urn:microsoft.com/office/officeart/2005/8/layout/hierarchy1"/>
    <dgm:cxn modelId="{D900DCCC-F1E3-4AFC-B415-0AF5924851C4}" type="presOf" srcId="{753D11A2-4524-7B47-8908-CBAE3F618FF3}" destId="{7EB04D44-ED91-8646-BCBE-3ED3306A03AD}" srcOrd="0" destOrd="0" presId="urn:microsoft.com/office/officeart/2005/8/layout/hierarchy1"/>
    <dgm:cxn modelId="{E0743F1E-0806-4822-8F97-C5D5E85AFBF4}" type="presOf" srcId="{42E6C4B5-8A56-514D-9D10-12F50465C01E}" destId="{1223D048-6377-0849-A74E-A44C69F627A7}"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3AA3AFBF-9D8A-4C5C-867F-BDC408DA412A}" type="presOf" srcId="{D667295C-1BF9-CA4C-89FE-8067C2D1C6D9}" destId="{259E6A64-F5A9-594E-A4DE-04EA642F0B2C}" srcOrd="0" destOrd="0" presId="urn:microsoft.com/office/officeart/2005/8/layout/hierarchy1"/>
    <dgm:cxn modelId="{1003E971-FC1C-4188-A326-6356BBF032D1}" type="presOf" srcId="{5AFFFC75-E306-A448-8ABD-18D9F8D6D3B9}" destId="{158E4AD8-3313-1D47-B7CA-87E116655F38}" srcOrd="0" destOrd="0" presId="urn:microsoft.com/office/officeart/2005/8/layout/hierarchy1"/>
    <dgm:cxn modelId="{1FC4C663-06D3-4A59-8639-7F6C499275C0}" type="presOf" srcId="{6D2FF0AE-09F2-3B4F-8898-E83E0E959B53}" destId="{4435B795-5104-6F4A-8C6E-2A14B1B46FD7}"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FC1D1763-CBE2-4B0A-9E63-8F656BE21033}" type="presOf" srcId="{1B681A8F-A554-1F44-BADD-518AA499E287}" destId="{BD5CF76E-544D-E04C-BB86-76DDAD6F7AB3}" srcOrd="0" destOrd="0" presId="urn:microsoft.com/office/officeart/2005/8/layout/hierarchy1"/>
    <dgm:cxn modelId="{C93713C6-EAF6-4103-A94E-19F83C7D8BFA}" type="presOf" srcId="{68FDA15D-0887-2443-A357-BD07E2464A58}" destId="{7527AFBF-24BC-6048-8CA6-468956327B51}"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D97498A0-2266-FF40-91F3-B6BE55EDB390}" srcId="{68FDA15D-0887-2443-A357-BD07E2464A58}" destId="{865DB265-2376-DB44-9068-8D396FBC6DA7}" srcOrd="3" destOrd="0" parTransId="{38A69577-B504-8043-B614-00033C4667ED}" sibTransId="{F8E931C3-303A-2342-BE12-B6D4426BF06B}"/>
    <dgm:cxn modelId="{47508391-4D90-4864-B362-F2B7622C853C}" type="presOf" srcId="{F678D22A-E410-B44E-A48B-1A84784FE659}" destId="{0C3384DB-4E62-1343-9B29-EA318FB39799}" srcOrd="0" destOrd="0" presId="urn:microsoft.com/office/officeart/2005/8/layout/hierarchy1"/>
    <dgm:cxn modelId="{8DB6B168-73F6-4D23-A1A4-6694A37FF162}" type="presOf" srcId="{38A69577-B504-8043-B614-00033C4667ED}" destId="{5DD4A6E5-30D2-BC48-82EF-44AB6345F29B}" srcOrd="0" destOrd="0" presId="urn:microsoft.com/office/officeart/2005/8/layout/hierarchy1"/>
    <dgm:cxn modelId="{B0129449-D4E7-4086-9343-28858FD84178}" type="presOf" srcId="{A0416ECC-4A2A-1E45-B785-9209F187AC5C}" destId="{D4F4F276-AFD8-4247-8DC4-B4ACD3AC0C75}" srcOrd="0" destOrd="0" presId="urn:microsoft.com/office/officeart/2005/8/layout/hierarchy1"/>
    <dgm:cxn modelId="{ED64727B-EE4C-44BB-9132-F824E4E60E49}" type="presOf" srcId="{438CBF3B-D0F4-9D48-A142-5F2D9150F864}" destId="{55508F5B-3B84-EF48-82B5-9D2C53F782BF}"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054491D1-5832-4946-A505-423C1C4AD17C}" type="presOf" srcId="{3D2D4D02-A5C3-494C-AA17-9E741C304F0A}" destId="{721901F3-629C-D545-8A4A-CFEFECBE41BF}" srcOrd="0" destOrd="0" presId="urn:microsoft.com/office/officeart/2005/8/layout/hierarchy1"/>
    <dgm:cxn modelId="{B8F4D93C-4FA1-465B-AE4B-86FAA5C7BD13}" type="presOf" srcId="{3E507491-2711-B94A-A1E9-461017E29ECB}" destId="{53AE8375-F2A8-764C-BA20-CDF18A3A8521}" srcOrd="0" destOrd="0" presId="urn:microsoft.com/office/officeart/2005/8/layout/hierarchy1"/>
    <dgm:cxn modelId="{F1F22161-4991-4D86-97FA-2A6400F2795D}" type="presParOf" srcId="{1223D048-6377-0849-A74E-A44C69F627A7}" destId="{6BF0587A-F26B-F94E-80BA-9550E9BD1B6C}" srcOrd="0" destOrd="0" presId="urn:microsoft.com/office/officeart/2005/8/layout/hierarchy1"/>
    <dgm:cxn modelId="{2C81A188-5599-42C2-A8F9-BA648D3B114F}" type="presParOf" srcId="{6BF0587A-F26B-F94E-80BA-9550E9BD1B6C}" destId="{5CF6D649-3736-C14A-8CE5-DF66A61B1B4F}" srcOrd="0" destOrd="0" presId="urn:microsoft.com/office/officeart/2005/8/layout/hierarchy1"/>
    <dgm:cxn modelId="{44CD442F-31CF-4EDC-8D23-7BE45442477C}" type="presParOf" srcId="{5CF6D649-3736-C14A-8CE5-DF66A61B1B4F}" destId="{157D4998-21CF-A248-83EB-0106527C25EC}" srcOrd="0" destOrd="0" presId="urn:microsoft.com/office/officeart/2005/8/layout/hierarchy1"/>
    <dgm:cxn modelId="{419C954E-ED30-471B-BF60-8FFD5A476817}" type="presParOf" srcId="{5CF6D649-3736-C14A-8CE5-DF66A61B1B4F}" destId="{7527AFBF-24BC-6048-8CA6-468956327B51}" srcOrd="1" destOrd="0" presId="urn:microsoft.com/office/officeart/2005/8/layout/hierarchy1"/>
    <dgm:cxn modelId="{2329EDE4-B793-47AA-A8CE-96C65B4111DA}" type="presParOf" srcId="{6BF0587A-F26B-F94E-80BA-9550E9BD1B6C}" destId="{39F965AE-B422-8447-9BA9-FC4015A2122A}" srcOrd="1" destOrd="0" presId="urn:microsoft.com/office/officeart/2005/8/layout/hierarchy1"/>
    <dgm:cxn modelId="{07E77CD9-4819-455E-B074-AEFC0F1C4965}" type="presParOf" srcId="{39F965AE-B422-8447-9BA9-FC4015A2122A}" destId="{BD5CF76E-544D-E04C-BB86-76DDAD6F7AB3}" srcOrd="0" destOrd="0" presId="urn:microsoft.com/office/officeart/2005/8/layout/hierarchy1"/>
    <dgm:cxn modelId="{29025338-EEB8-4DF9-827D-A56D0B0C4AF6}" type="presParOf" srcId="{39F965AE-B422-8447-9BA9-FC4015A2122A}" destId="{A51BDB54-F392-CB48-88B5-BF4D5FF8F3AE}" srcOrd="1" destOrd="0" presId="urn:microsoft.com/office/officeart/2005/8/layout/hierarchy1"/>
    <dgm:cxn modelId="{48D5E7E0-A22E-4EF8-9C59-D8272DA96CA5}" type="presParOf" srcId="{A51BDB54-F392-CB48-88B5-BF4D5FF8F3AE}" destId="{A8AA713F-4182-2646-8D59-439D40ED64C9}" srcOrd="0" destOrd="0" presId="urn:microsoft.com/office/officeart/2005/8/layout/hierarchy1"/>
    <dgm:cxn modelId="{68AF7A78-1F23-4A17-A83F-B5652224616C}" type="presParOf" srcId="{A8AA713F-4182-2646-8D59-439D40ED64C9}" destId="{54A8B529-F9E3-4141-8DC9-99339199C884}" srcOrd="0" destOrd="0" presId="urn:microsoft.com/office/officeart/2005/8/layout/hierarchy1"/>
    <dgm:cxn modelId="{6332FDE5-7996-4ED4-BE83-FBE47869EDFF}" type="presParOf" srcId="{A8AA713F-4182-2646-8D59-439D40ED64C9}" destId="{4435B795-5104-6F4A-8C6E-2A14B1B46FD7}" srcOrd="1" destOrd="0" presId="urn:microsoft.com/office/officeart/2005/8/layout/hierarchy1"/>
    <dgm:cxn modelId="{B291A9BD-186D-4414-A2A0-E326A5F564A5}" type="presParOf" srcId="{A51BDB54-F392-CB48-88B5-BF4D5FF8F3AE}" destId="{8BD5E129-C5BB-164C-9FF5-228278421498}" srcOrd="1" destOrd="0" presId="urn:microsoft.com/office/officeart/2005/8/layout/hierarchy1"/>
    <dgm:cxn modelId="{D0E467F0-9DEF-454D-A507-055FA43F5A7F}" type="presParOf" srcId="{8BD5E129-C5BB-164C-9FF5-228278421498}" destId="{53AE8375-F2A8-764C-BA20-CDF18A3A8521}" srcOrd="0" destOrd="0" presId="urn:microsoft.com/office/officeart/2005/8/layout/hierarchy1"/>
    <dgm:cxn modelId="{0423EF9E-3032-4DDC-A97F-00DFDE9D4AE9}" type="presParOf" srcId="{8BD5E129-C5BB-164C-9FF5-228278421498}" destId="{EEFD2779-1B03-4243-8B58-BDFAB6E93AB1}" srcOrd="1" destOrd="0" presId="urn:microsoft.com/office/officeart/2005/8/layout/hierarchy1"/>
    <dgm:cxn modelId="{6A02E3EF-0E6A-472A-BBF6-3B19324073A5}" type="presParOf" srcId="{EEFD2779-1B03-4243-8B58-BDFAB6E93AB1}" destId="{8CB8A041-395B-5543-AB2E-7DA6CCEB4966}" srcOrd="0" destOrd="0" presId="urn:microsoft.com/office/officeart/2005/8/layout/hierarchy1"/>
    <dgm:cxn modelId="{A441077A-504D-49E8-B632-0CFEF23BBBD3}" type="presParOf" srcId="{8CB8A041-395B-5543-AB2E-7DA6CCEB4966}" destId="{3240397F-0654-6F4E-864F-1CFB9BF37823}" srcOrd="0" destOrd="0" presId="urn:microsoft.com/office/officeart/2005/8/layout/hierarchy1"/>
    <dgm:cxn modelId="{F517B4C4-385E-48F9-801B-F028A6DE18C6}" type="presParOf" srcId="{8CB8A041-395B-5543-AB2E-7DA6CCEB4966}" destId="{0B45D9A2-4E18-634A-B70B-8ECBE0DC0AE6}" srcOrd="1" destOrd="0" presId="urn:microsoft.com/office/officeart/2005/8/layout/hierarchy1"/>
    <dgm:cxn modelId="{E5DB18A5-9334-4FE9-8B5E-0E73B39C767E}" type="presParOf" srcId="{EEFD2779-1B03-4243-8B58-BDFAB6E93AB1}" destId="{AA360262-F3A2-8447-952A-460D4F0F1CAE}" srcOrd="1" destOrd="0" presId="urn:microsoft.com/office/officeart/2005/8/layout/hierarchy1"/>
    <dgm:cxn modelId="{5A60FC17-14DE-43F8-AC56-840CCDFDFB76}" type="presParOf" srcId="{39F965AE-B422-8447-9BA9-FC4015A2122A}" destId="{7EB04D44-ED91-8646-BCBE-3ED3306A03AD}" srcOrd="2" destOrd="0" presId="urn:microsoft.com/office/officeart/2005/8/layout/hierarchy1"/>
    <dgm:cxn modelId="{BD3211C3-29F0-4775-9802-214BDF47282F}" type="presParOf" srcId="{39F965AE-B422-8447-9BA9-FC4015A2122A}" destId="{AC89B61D-711B-A64F-AB19-6B7CCC25AE55}" srcOrd="3" destOrd="0" presId="urn:microsoft.com/office/officeart/2005/8/layout/hierarchy1"/>
    <dgm:cxn modelId="{82C1A1CC-5303-4AED-8337-0368A4A66910}" type="presParOf" srcId="{AC89B61D-711B-A64F-AB19-6B7CCC25AE55}" destId="{E2AB0108-79C5-AE45-B6D3-776B3E26AFE6}" srcOrd="0" destOrd="0" presId="urn:microsoft.com/office/officeart/2005/8/layout/hierarchy1"/>
    <dgm:cxn modelId="{F2BD7385-5DE4-47E2-8E11-CEB08857B0BA}" type="presParOf" srcId="{E2AB0108-79C5-AE45-B6D3-776B3E26AFE6}" destId="{48D7D30C-AB11-D946-8AEC-FD9B2A504183}" srcOrd="0" destOrd="0" presId="urn:microsoft.com/office/officeart/2005/8/layout/hierarchy1"/>
    <dgm:cxn modelId="{28914135-961B-4C18-936B-41E8297688DF}" type="presParOf" srcId="{E2AB0108-79C5-AE45-B6D3-776B3E26AFE6}" destId="{721901F3-629C-D545-8A4A-CFEFECBE41BF}" srcOrd="1" destOrd="0" presId="urn:microsoft.com/office/officeart/2005/8/layout/hierarchy1"/>
    <dgm:cxn modelId="{E5AFD86B-7FB1-47A2-A5FA-8AE78DB62AA9}" type="presParOf" srcId="{AC89B61D-711B-A64F-AB19-6B7CCC25AE55}" destId="{01243898-A714-C948-9E12-68D3E20AB882}" srcOrd="1" destOrd="0" presId="urn:microsoft.com/office/officeart/2005/8/layout/hierarchy1"/>
    <dgm:cxn modelId="{88449FAE-0DBC-4731-8294-57DF2B02D969}" type="presParOf" srcId="{01243898-A714-C948-9E12-68D3E20AB882}" destId="{D4F4F276-AFD8-4247-8DC4-B4ACD3AC0C75}" srcOrd="0" destOrd="0" presId="urn:microsoft.com/office/officeart/2005/8/layout/hierarchy1"/>
    <dgm:cxn modelId="{188D279C-83E9-4BB1-8905-D847A648F1A6}" type="presParOf" srcId="{01243898-A714-C948-9E12-68D3E20AB882}" destId="{8225C9A2-E441-6E4C-92BC-572F9C84CE19}" srcOrd="1" destOrd="0" presId="urn:microsoft.com/office/officeart/2005/8/layout/hierarchy1"/>
    <dgm:cxn modelId="{6661ADD5-17F3-494F-A351-3801E81413A1}" type="presParOf" srcId="{8225C9A2-E441-6E4C-92BC-572F9C84CE19}" destId="{080163C8-52EB-204F-939F-477A90FEFD5F}" srcOrd="0" destOrd="0" presId="urn:microsoft.com/office/officeart/2005/8/layout/hierarchy1"/>
    <dgm:cxn modelId="{7A95327B-4021-40C8-B534-46BA9AC9913D}" type="presParOf" srcId="{080163C8-52EB-204F-939F-477A90FEFD5F}" destId="{9166D8F7-1B4C-E041-81E9-30CF31DF6B1C}" srcOrd="0" destOrd="0" presId="urn:microsoft.com/office/officeart/2005/8/layout/hierarchy1"/>
    <dgm:cxn modelId="{9BA66766-9305-49F5-B13A-D4B68F08D0BA}" type="presParOf" srcId="{080163C8-52EB-204F-939F-477A90FEFD5F}" destId="{0C3384DB-4E62-1343-9B29-EA318FB39799}" srcOrd="1" destOrd="0" presId="urn:microsoft.com/office/officeart/2005/8/layout/hierarchy1"/>
    <dgm:cxn modelId="{29BF65BF-7DB3-4C7C-9310-90D846F5A4B4}" type="presParOf" srcId="{8225C9A2-E441-6E4C-92BC-572F9C84CE19}" destId="{336BB470-F2D1-5B46-AF15-3611975B4FEB}" srcOrd="1" destOrd="0" presId="urn:microsoft.com/office/officeart/2005/8/layout/hierarchy1"/>
    <dgm:cxn modelId="{BD393C35-06A6-49C2-B784-FF5ECBF020BB}" type="presParOf" srcId="{39F965AE-B422-8447-9BA9-FC4015A2122A}" destId="{55508F5B-3B84-EF48-82B5-9D2C53F782BF}" srcOrd="4" destOrd="0" presId="urn:microsoft.com/office/officeart/2005/8/layout/hierarchy1"/>
    <dgm:cxn modelId="{3665ACFB-189F-409B-9051-3719A73F5D75}" type="presParOf" srcId="{39F965AE-B422-8447-9BA9-FC4015A2122A}" destId="{3F418DB2-B20B-7D44-A7EC-C64F53ECEB97}" srcOrd="5" destOrd="0" presId="urn:microsoft.com/office/officeart/2005/8/layout/hierarchy1"/>
    <dgm:cxn modelId="{279FC464-199E-49AB-824C-8823A5AAC109}" type="presParOf" srcId="{3F418DB2-B20B-7D44-A7EC-C64F53ECEB97}" destId="{DFC25FED-44BA-BB40-B97F-63549EDCF6DD}" srcOrd="0" destOrd="0" presId="urn:microsoft.com/office/officeart/2005/8/layout/hierarchy1"/>
    <dgm:cxn modelId="{7AAF9308-6F30-4212-9117-EAB8B27C20F1}" type="presParOf" srcId="{DFC25FED-44BA-BB40-B97F-63549EDCF6DD}" destId="{24560018-146F-0341-BCE4-266F61ACA491}" srcOrd="0" destOrd="0" presId="urn:microsoft.com/office/officeart/2005/8/layout/hierarchy1"/>
    <dgm:cxn modelId="{00FD5688-B6CE-446B-9DEF-BE5611E98840}" type="presParOf" srcId="{DFC25FED-44BA-BB40-B97F-63549EDCF6DD}" destId="{53ED3188-B4DA-7A45-BB61-4FA1E01CEE04}" srcOrd="1" destOrd="0" presId="urn:microsoft.com/office/officeart/2005/8/layout/hierarchy1"/>
    <dgm:cxn modelId="{150AA735-108B-4390-BF49-8B494D9BCF72}" type="presParOf" srcId="{3F418DB2-B20B-7D44-A7EC-C64F53ECEB97}" destId="{44C857B0-4564-104C-974B-CACC3D3843F2}" srcOrd="1" destOrd="0" presId="urn:microsoft.com/office/officeart/2005/8/layout/hierarchy1"/>
    <dgm:cxn modelId="{DBFF7A52-DB1F-4B50-ABFE-AE96C7194020}" type="presParOf" srcId="{44C857B0-4564-104C-974B-CACC3D3843F2}" destId="{158E4AD8-3313-1D47-B7CA-87E116655F38}" srcOrd="0" destOrd="0" presId="urn:microsoft.com/office/officeart/2005/8/layout/hierarchy1"/>
    <dgm:cxn modelId="{0C613B23-BB7A-454A-A54B-64E57B825C9F}" type="presParOf" srcId="{44C857B0-4564-104C-974B-CACC3D3843F2}" destId="{FADE98E4-877F-824E-8BEE-4F00578F1996}" srcOrd="1" destOrd="0" presId="urn:microsoft.com/office/officeart/2005/8/layout/hierarchy1"/>
    <dgm:cxn modelId="{8F75D5CD-18CC-4627-AA16-BBDE8A6511EE}" type="presParOf" srcId="{FADE98E4-877F-824E-8BEE-4F00578F1996}" destId="{0B9EB50A-EC87-FB4E-950F-D3E7B3E32EF8}" srcOrd="0" destOrd="0" presId="urn:microsoft.com/office/officeart/2005/8/layout/hierarchy1"/>
    <dgm:cxn modelId="{401BDA13-ABBA-4EFD-B634-3A7DC7D416DE}" type="presParOf" srcId="{0B9EB50A-EC87-FB4E-950F-D3E7B3E32EF8}" destId="{978489A2-8BF7-9848-A9AC-08BA76F88668}" srcOrd="0" destOrd="0" presId="urn:microsoft.com/office/officeart/2005/8/layout/hierarchy1"/>
    <dgm:cxn modelId="{F6AEED73-1DB6-4E8F-B1F5-AFAA53C7AD92}" type="presParOf" srcId="{0B9EB50A-EC87-FB4E-950F-D3E7B3E32EF8}" destId="{A859854A-8142-9B40-8B3A-52E11BDD75A4}" srcOrd="1" destOrd="0" presId="urn:microsoft.com/office/officeart/2005/8/layout/hierarchy1"/>
    <dgm:cxn modelId="{1341A097-672B-426A-B813-706D925B64B1}" type="presParOf" srcId="{FADE98E4-877F-824E-8BEE-4F00578F1996}" destId="{FA23B74A-3CD7-4442-B1CC-DC6348B08F59}" srcOrd="1" destOrd="0" presId="urn:microsoft.com/office/officeart/2005/8/layout/hierarchy1"/>
    <dgm:cxn modelId="{DAC6CD28-70C2-484D-96DE-B87658B71973}" type="presParOf" srcId="{39F965AE-B422-8447-9BA9-FC4015A2122A}" destId="{5DD4A6E5-30D2-BC48-82EF-44AB6345F29B}" srcOrd="6" destOrd="0" presId="urn:microsoft.com/office/officeart/2005/8/layout/hierarchy1"/>
    <dgm:cxn modelId="{7C577945-662E-4C32-87DA-41209464A6D9}" type="presParOf" srcId="{39F965AE-B422-8447-9BA9-FC4015A2122A}" destId="{BCCFF5D7-617E-1D4C-BF22-78FC77D967A1}" srcOrd="7" destOrd="0" presId="urn:microsoft.com/office/officeart/2005/8/layout/hierarchy1"/>
    <dgm:cxn modelId="{26994454-F35F-4E61-B3EA-FDA56F4416DA}" type="presParOf" srcId="{BCCFF5D7-617E-1D4C-BF22-78FC77D967A1}" destId="{6DBF0123-4E23-6C41-A78B-B7BBE67D8E28}" srcOrd="0" destOrd="0" presId="urn:microsoft.com/office/officeart/2005/8/layout/hierarchy1"/>
    <dgm:cxn modelId="{B970FA74-4109-4B35-922E-C85485CD4353}" type="presParOf" srcId="{6DBF0123-4E23-6C41-A78B-B7BBE67D8E28}" destId="{DC1DF888-6604-404C-9DB0-E21688DA45A4}" srcOrd="0" destOrd="0" presId="urn:microsoft.com/office/officeart/2005/8/layout/hierarchy1"/>
    <dgm:cxn modelId="{DD368945-B335-4219-B91E-55BBBD965FC1}" type="presParOf" srcId="{6DBF0123-4E23-6C41-A78B-B7BBE67D8E28}" destId="{21A2662A-6AE3-1E4F-B5C1-E62D06573556}" srcOrd="1" destOrd="0" presId="urn:microsoft.com/office/officeart/2005/8/layout/hierarchy1"/>
    <dgm:cxn modelId="{9A361676-9EE6-4C2B-BF15-CFCC889CC64A}" type="presParOf" srcId="{BCCFF5D7-617E-1D4C-BF22-78FC77D967A1}" destId="{8EA1F0CC-2698-684A-BE71-C2C7FDE7D656}" srcOrd="1" destOrd="0" presId="urn:microsoft.com/office/officeart/2005/8/layout/hierarchy1"/>
    <dgm:cxn modelId="{51CA3257-8E7F-48DA-97E4-BE45820568FB}" type="presParOf" srcId="{8EA1F0CC-2698-684A-BE71-C2C7FDE7D656}" destId="{CA9133C5-0C81-194A-B4FC-B30436310F7C}" srcOrd="0" destOrd="0" presId="urn:microsoft.com/office/officeart/2005/8/layout/hierarchy1"/>
    <dgm:cxn modelId="{E3D01B7A-2A53-40B3-80F3-16A162DBDE94}" type="presParOf" srcId="{8EA1F0CC-2698-684A-BE71-C2C7FDE7D656}" destId="{5E76053C-F5B1-874C-B7DA-073E93D3FDCF}" srcOrd="1" destOrd="0" presId="urn:microsoft.com/office/officeart/2005/8/layout/hierarchy1"/>
    <dgm:cxn modelId="{16791B51-87CA-4A50-B039-6E85870B30D3}" type="presParOf" srcId="{5E76053C-F5B1-874C-B7DA-073E93D3FDCF}" destId="{69A108B0-3048-D643-B46D-C8A50E5927D5}" srcOrd="0" destOrd="0" presId="urn:microsoft.com/office/officeart/2005/8/layout/hierarchy1"/>
    <dgm:cxn modelId="{EDB03383-5FA9-4395-9F61-EEFCFE406BBC}" type="presParOf" srcId="{69A108B0-3048-D643-B46D-C8A50E5927D5}" destId="{B8C5050B-80C8-CB42-9832-486811727B59}" srcOrd="0" destOrd="0" presId="urn:microsoft.com/office/officeart/2005/8/layout/hierarchy1"/>
    <dgm:cxn modelId="{D3D6FE83-A318-45F2-9BE9-F7C1CAE19EA2}" type="presParOf" srcId="{69A108B0-3048-D643-B46D-C8A50E5927D5}" destId="{259E6A64-F5A9-594E-A4DE-04EA642F0B2C}" srcOrd="1" destOrd="0" presId="urn:microsoft.com/office/officeart/2005/8/layout/hierarchy1"/>
    <dgm:cxn modelId="{0DE02219-3644-44FF-B3E8-52A8B3060A89}"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90744C-1E69-CA40-884B-1C6770C98198}">
      <dsp:nvSpPr>
        <dsp:cNvPr id="0" name=""/>
        <dsp:cNvSpPr/>
      </dsp:nvSpPr>
      <dsp:spPr>
        <a:xfrm>
          <a:off x="2704231" y="897128"/>
          <a:ext cx="987449" cy="469936"/>
        </a:xfrm>
        <a:custGeom>
          <a:avLst/>
          <a:gdLst/>
          <a:ahLst/>
          <a:cxnLst/>
          <a:rect l="0" t="0" r="0" b="0"/>
          <a:pathLst>
            <a:path>
              <a:moveTo>
                <a:pt x="0" y="0"/>
              </a:moveTo>
              <a:lnTo>
                <a:pt x="0" y="320247"/>
              </a:lnTo>
              <a:lnTo>
                <a:pt x="987449" y="320247"/>
              </a:lnTo>
              <a:lnTo>
                <a:pt x="987449" y="469936"/>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664816-2E8D-4847-84B7-3FC981C17C8E}">
      <dsp:nvSpPr>
        <dsp:cNvPr id="0" name=""/>
        <dsp:cNvSpPr/>
      </dsp:nvSpPr>
      <dsp:spPr>
        <a:xfrm>
          <a:off x="1716782" y="897128"/>
          <a:ext cx="987449" cy="469936"/>
        </a:xfrm>
        <a:custGeom>
          <a:avLst/>
          <a:gdLst/>
          <a:ahLst/>
          <a:cxnLst/>
          <a:rect l="0" t="0" r="0" b="0"/>
          <a:pathLst>
            <a:path>
              <a:moveTo>
                <a:pt x="987449" y="0"/>
              </a:moveTo>
              <a:lnTo>
                <a:pt x="987449" y="320247"/>
              </a:lnTo>
              <a:lnTo>
                <a:pt x="0" y="320247"/>
              </a:lnTo>
              <a:lnTo>
                <a:pt x="0" y="469936"/>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FAE81E2-A002-A24C-95E0-54C39DD3FB0B}">
      <dsp:nvSpPr>
        <dsp:cNvPr id="0" name=""/>
        <dsp:cNvSpPr/>
      </dsp:nvSpPr>
      <dsp:spPr>
        <a:xfrm>
          <a:off x="1887221" y="1725"/>
          <a:ext cx="1634021" cy="895403"/>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552213-8C23-2B4D-91B5-75224F940322}">
      <dsp:nvSpPr>
        <dsp:cNvPr id="0" name=""/>
        <dsp:cNvSpPr/>
      </dsp:nvSpPr>
      <dsp:spPr>
        <a:xfrm>
          <a:off x="2066757" y="172284"/>
          <a:ext cx="1634021" cy="895403"/>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Option 1: Referred Item           Physician equivalence</a:t>
          </a:r>
        </a:p>
      </dsp:txBody>
      <dsp:txXfrm>
        <a:off x="2092982" y="198509"/>
        <a:ext cx="1581571" cy="842953"/>
      </dsp:txXfrm>
    </dsp:sp>
    <dsp:sp modelId="{12F0C1A1-3FAB-3743-AF51-1B8851A7E3FA}">
      <dsp:nvSpPr>
        <dsp:cNvPr id="0" name=""/>
        <dsp:cNvSpPr/>
      </dsp:nvSpPr>
      <dsp:spPr>
        <a:xfrm>
          <a:off x="908868" y="1367064"/>
          <a:ext cx="1615826" cy="1026050"/>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F87D328-29DE-844E-A09F-23EEA1BCB81F}">
      <dsp:nvSpPr>
        <dsp:cNvPr id="0" name=""/>
        <dsp:cNvSpPr/>
      </dsp:nvSpPr>
      <dsp:spPr>
        <a:xfrm>
          <a:off x="1088404" y="1537624"/>
          <a:ext cx="1615826" cy="1026050"/>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1 x Initial  attendance       MBS 110   ($128.30)</a:t>
          </a:r>
        </a:p>
      </dsp:txBody>
      <dsp:txXfrm>
        <a:off x="1118456" y="1567676"/>
        <a:ext cx="1555722" cy="965946"/>
      </dsp:txXfrm>
    </dsp:sp>
    <dsp:sp modelId="{C145001D-75CD-DC4D-AE18-D1DA4CC1A81F}">
      <dsp:nvSpPr>
        <dsp:cNvPr id="0" name=""/>
        <dsp:cNvSpPr/>
      </dsp:nvSpPr>
      <dsp:spPr>
        <a:xfrm>
          <a:off x="2883768" y="1367064"/>
          <a:ext cx="1615826" cy="1026050"/>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A734F8A-4E9F-1947-956B-D27128F613A9}">
      <dsp:nvSpPr>
        <dsp:cNvPr id="0" name=""/>
        <dsp:cNvSpPr/>
      </dsp:nvSpPr>
      <dsp:spPr>
        <a:xfrm>
          <a:off x="3063304" y="1537624"/>
          <a:ext cx="1615826" cy="1026050"/>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Subsequent attendances     MBS 116      ($64.20)</a:t>
          </a:r>
        </a:p>
      </dsp:txBody>
      <dsp:txXfrm>
        <a:off x="3093356" y="1567676"/>
        <a:ext cx="1555722" cy="965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232806" y="1630637"/>
          <a:ext cx="91440" cy="298540"/>
        </a:xfrm>
        <a:custGeom>
          <a:avLst/>
          <a:gdLst/>
          <a:ahLst/>
          <a:cxnLst/>
          <a:rect l="0" t="0" r="0" b="0"/>
          <a:pathLst>
            <a:path>
              <a:moveTo>
                <a:pt x="45720" y="0"/>
              </a:moveTo>
              <a:lnTo>
                <a:pt x="45720" y="29854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396607" y="680268"/>
          <a:ext cx="1881919" cy="298540"/>
        </a:xfrm>
        <a:custGeom>
          <a:avLst/>
          <a:gdLst/>
          <a:ahLst/>
          <a:cxnLst/>
          <a:rect l="0" t="0" r="0" b="0"/>
          <a:pathLst>
            <a:path>
              <a:moveTo>
                <a:pt x="0" y="0"/>
              </a:moveTo>
              <a:lnTo>
                <a:pt x="0" y="203446"/>
              </a:lnTo>
              <a:lnTo>
                <a:pt x="1881919" y="203446"/>
              </a:lnTo>
              <a:lnTo>
                <a:pt x="1881919" y="29854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2978194" y="1630637"/>
          <a:ext cx="91440" cy="298540"/>
        </a:xfrm>
        <a:custGeom>
          <a:avLst/>
          <a:gdLst/>
          <a:ahLst/>
          <a:cxnLst/>
          <a:rect l="0" t="0" r="0" b="0"/>
          <a:pathLst>
            <a:path>
              <a:moveTo>
                <a:pt x="45720" y="0"/>
              </a:moveTo>
              <a:lnTo>
                <a:pt x="45720" y="29854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396607" y="680268"/>
          <a:ext cx="627306" cy="298540"/>
        </a:xfrm>
        <a:custGeom>
          <a:avLst/>
          <a:gdLst/>
          <a:ahLst/>
          <a:cxnLst/>
          <a:rect l="0" t="0" r="0" b="0"/>
          <a:pathLst>
            <a:path>
              <a:moveTo>
                <a:pt x="0" y="0"/>
              </a:moveTo>
              <a:lnTo>
                <a:pt x="0" y="203446"/>
              </a:lnTo>
              <a:lnTo>
                <a:pt x="627306" y="203446"/>
              </a:lnTo>
              <a:lnTo>
                <a:pt x="627306" y="29854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1723581" y="1630637"/>
          <a:ext cx="91440" cy="298540"/>
        </a:xfrm>
        <a:custGeom>
          <a:avLst/>
          <a:gdLst/>
          <a:ahLst/>
          <a:cxnLst/>
          <a:rect l="0" t="0" r="0" b="0"/>
          <a:pathLst>
            <a:path>
              <a:moveTo>
                <a:pt x="45720" y="0"/>
              </a:moveTo>
              <a:lnTo>
                <a:pt x="45720" y="29854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1769301" y="680268"/>
          <a:ext cx="627306" cy="298540"/>
        </a:xfrm>
        <a:custGeom>
          <a:avLst/>
          <a:gdLst/>
          <a:ahLst/>
          <a:cxnLst/>
          <a:rect l="0" t="0" r="0" b="0"/>
          <a:pathLst>
            <a:path>
              <a:moveTo>
                <a:pt x="627306" y="0"/>
              </a:moveTo>
              <a:lnTo>
                <a:pt x="627306" y="203446"/>
              </a:lnTo>
              <a:lnTo>
                <a:pt x="0" y="203446"/>
              </a:lnTo>
              <a:lnTo>
                <a:pt x="0" y="29854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468968" y="1630637"/>
          <a:ext cx="91440" cy="298540"/>
        </a:xfrm>
        <a:custGeom>
          <a:avLst/>
          <a:gdLst/>
          <a:ahLst/>
          <a:cxnLst/>
          <a:rect l="0" t="0" r="0" b="0"/>
          <a:pathLst>
            <a:path>
              <a:moveTo>
                <a:pt x="45720" y="0"/>
              </a:moveTo>
              <a:lnTo>
                <a:pt x="45720" y="29854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514688" y="680268"/>
          <a:ext cx="1881919" cy="298540"/>
        </a:xfrm>
        <a:custGeom>
          <a:avLst/>
          <a:gdLst/>
          <a:ahLst/>
          <a:cxnLst/>
          <a:rect l="0" t="0" r="0" b="0"/>
          <a:pathLst>
            <a:path>
              <a:moveTo>
                <a:pt x="1881919" y="0"/>
              </a:moveTo>
              <a:lnTo>
                <a:pt x="1881919" y="203446"/>
              </a:lnTo>
              <a:lnTo>
                <a:pt x="0" y="203446"/>
              </a:lnTo>
              <a:lnTo>
                <a:pt x="0" y="29854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1307037" y="28440"/>
          <a:ext cx="2179139" cy="651828"/>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1421093" y="136793"/>
          <a:ext cx="2179139" cy="651828"/>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Option 2: Referred Item      Time tiered</a:t>
          </a:r>
        </a:p>
      </dsp:txBody>
      <dsp:txXfrm>
        <a:off x="1440184" y="155884"/>
        <a:ext cx="2140957" cy="613646"/>
      </dsp:txXfrm>
    </dsp:sp>
    <dsp:sp modelId="{54A8B529-F9E3-4141-8DC9-99339199C884}">
      <dsp:nvSpPr>
        <dsp:cNvPr id="0" name=""/>
        <dsp:cNvSpPr/>
      </dsp:nvSpPr>
      <dsp:spPr>
        <a:xfrm>
          <a:off x="1437" y="978809"/>
          <a:ext cx="1026501" cy="65182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115493" y="1087162"/>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134584" y="1106253"/>
        <a:ext cx="988319" cy="613646"/>
      </dsp:txXfrm>
    </dsp:sp>
    <dsp:sp modelId="{3240397F-0654-6F4E-864F-1CFB9BF37823}">
      <dsp:nvSpPr>
        <dsp:cNvPr id="0" name=""/>
        <dsp:cNvSpPr/>
      </dsp:nvSpPr>
      <dsp:spPr>
        <a:xfrm>
          <a:off x="1437" y="1929178"/>
          <a:ext cx="1026501" cy="65182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115493" y="2037531"/>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23 ($36.30)</a:t>
          </a:r>
        </a:p>
      </dsp:txBody>
      <dsp:txXfrm>
        <a:off x="134584" y="2056622"/>
        <a:ext cx="988319" cy="613646"/>
      </dsp:txXfrm>
    </dsp:sp>
    <dsp:sp modelId="{48D7D30C-AB11-D946-8AEC-FD9B2A504183}">
      <dsp:nvSpPr>
        <dsp:cNvPr id="0" name=""/>
        <dsp:cNvSpPr/>
      </dsp:nvSpPr>
      <dsp:spPr>
        <a:xfrm>
          <a:off x="1256050" y="978809"/>
          <a:ext cx="1026501" cy="65182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370106" y="1087162"/>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389197" y="1106253"/>
        <a:ext cx="988319" cy="613646"/>
      </dsp:txXfrm>
    </dsp:sp>
    <dsp:sp modelId="{9166D8F7-1B4C-E041-81E9-30CF31DF6B1C}">
      <dsp:nvSpPr>
        <dsp:cNvPr id="0" name=""/>
        <dsp:cNvSpPr/>
      </dsp:nvSpPr>
      <dsp:spPr>
        <a:xfrm>
          <a:off x="1256050" y="1929178"/>
          <a:ext cx="1026501" cy="65182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370106" y="2037531"/>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116 ($64.20)</a:t>
          </a:r>
        </a:p>
      </dsp:txBody>
      <dsp:txXfrm>
        <a:off x="1389197" y="2056622"/>
        <a:ext cx="988319" cy="613646"/>
      </dsp:txXfrm>
    </dsp:sp>
    <dsp:sp modelId="{24560018-146F-0341-BCE4-266F61ACA491}">
      <dsp:nvSpPr>
        <dsp:cNvPr id="0" name=""/>
        <dsp:cNvSpPr/>
      </dsp:nvSpPr>
      <dsp:spPr>
        <a:xfrm>
          <a:off x="2510663" y="978809"/>
          <a:ext cx="1026501" cy="65182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624719" y="1087162"/>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2643810" y="1106253"/>
        <a:ext cx="988319" cy="613646"/>
      </dsp:txXfrm>
    </dsp:sp>
    <dsp:sp modelId="{978489A2-8BF7-9848-A9AC-08BA76F88668}">
      <dsp:nvSpPr>
        <dsp:cNvPr id="0" name=""/>
        <dsp:cNvSpPr/>
      </dsp:nvSpPr>
      <dsp:spPr>
        <a:xfrm>
          <a:off x="2510663" y="1929178"/>
          <a:ext cx="1026501" cy="65182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624719" y="2037531"/>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New Item ($96.30)</a:t>
          </a:r>
        </a:p>
      </dsp:txBody>
      <dsp:txXfrm>
        <a:off x="2643810" y="2056622"/>
        <a:ext cx="988319" cy="613646"/>
      </dsp:txXfrm>
    </dsp:sp>
    <dsp:sp modelId="{DC1DF888-6604-404C-9DB0-E21688DA45A4}">
      <dsp:nvSpPr>
        <dsp:cNvPr id="0" name=""/>
        <dsp:cNvSpPr/>
      </dsp:nvSpPr>
      <dsp:spPr>
        <a:xfrm>
          <a:off x="3765276" y="978809"/>
          <a:ext cx="1026501" cy="65182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3879331" y="1087162"/>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3898422" y="1106253"/>
        <a:ext cx="988319" cy="613646"/>
      </dsp:txXfrm>
    </dsp:sp>
    <dsp:sp modelId="{B8C5050B-80C8-CB42-9832-486811727B59}">
      <dsp:nvSpPr>
        <dsp:cNvPr id="0" name=""/>
        <dsp:cNvSpPr/>
      </dsp:nvSpPr>
      <dsp:spPr>
        <a:xfrm>
          <a:off x="3765276" y="1929178"/>
          <a:ext cx="1026501" cy="65182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3879331" y="2037531"/>
          <a:ext cx="1026501" cy="65182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110 ($128.30)</a:t>
          </a:r>
        </a:p>
      </dsp:txBody>
      <dsp:txXfrm>
        <a:off x="3898422" y="2056622"/>
        <a:ext cx="988319" cy="6136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67FA6-9FB1-5B43-B86A-7EEEA41F71AC}">
      <dsp:nvSpPr>
        <dsp:cNvPr id="0" name=""/>
        <dsp:cNvSpPr/>
      </dsp:nvSpPr>
      <dsp:spPr>
        <a:xfrm>
          <a:off x="3392536" y="1445136"/>
          <a:ext cx="91440" cy="269151"/>
        </a:xfrm>
        <a:custGeom>
          <a:avLst/>
          <a:gdLst/>
          <a:ahLst/>
          <a:cxnLst/>
          <a:rect l="0" t="0" r="0" b="0"/>
          <a:pathLst>
            <a:path>
              <a:moveTo>
                <a:pt x="45720" y="0"/>
              </a:moveTo>
              <a:lnTo>
                <a:pt x="45720" y="269151"/>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924054-80EA-A449-9724-38342A2168F5}">
      <dsp:nvSpPr>
        <dsp:cNvPr id="0" name=""/>
        <dsp:cNvSpPr/>
      </dsp:nvSpPr>
      <dsp:spPr>
        <a:xfrm>
          <a:off x="2498111" y="588326"/>
          <a:ext cx="940144" cy="269151"/>
        </a:xfrm>
        <a:custGeom>
          <a:avLst/>
          <a:gdLst/>
          <a:ahLst/>
          <a:cxnLst/>
          <a:rect l="0" t="0" r="0" b="0"/>
          <a:pathLst>
            <a:path>
              <a:moveTo>
                <a:pt x="0" y="0"/>
              </a:moveTo>
              <a:lnTo>
                <a:pt x="0" y="183418"/>
              </a:lnTo>
              <a:lnTo>
                <a:pt x="940144" y="183418"/>
              </a:lnTo>
              <a:lnTo>
                <a:pt x="940144" y="269151"/>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70C8AB-C671-4448-8321-706CAAC5F716}">
      <dsp:nvSpPr>
        <dsp:cNvPr id="0" name=""/>
        <dsp:cNvSpPr/>
      </dsp:nvSpPr>
      <dsp:spPr>
        <a:xfrm>
          <a:off x="1512246" y="1445136"/>
          <a:ext cx="91440" cy="269151"/>
        </a:xfrm>
        <a:custGeom>
          <a:avLst/>
          <a:gdLst/>
          <a:ahLst/>
          <a:cxnLst/>
          <a:rect l="0" t="0" r="0" b="0"/>
          <a:pathLst>
            <a:path>
              <a:moveTo>
                <a:pt x="45720" y="0"/>
              </a:moveTo>
              <a:lnTo>
                <a:pt x="45720" y="269151"/>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A2D233-EEF1-D249-9E6A-BA4BC5AE6323}">
      <dsp:nvSpPr>
        <dsp:cNvPr id="0" name=""/>
        <dsp:cNvSpPr/>
      </dsp:nvSpPr>
      <dsp:spPr>
        <a:xfrm>
          <a:off x="1557966" y="588326"/>
          <a:ext cx="940144" cy="269151"/>
        </a:xfrm>
        <a:custGeom>
          <a:avLst/>
          <a:gdLst/>
          <a:ahLst/>
          <a:cxnLst/>
          <a:rect l="0" t="0" r="0" b="0"/>
          <a:pathLst>
            <a:path>
              <a:moveTo>
                <a:pt x="940144" y="0"/>
              </a:moveTo>
              <a:lnTo>
                <a:pt x="940144" y="183418"/>
              </a:lnTo>
              <a:lnTo>
                <a:pt x="0" y="183418"/>
              </a:lnTo>
              <a:lnTo>
                <a:pt x="0" y="269151"/>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6BEEC9-1343-4F4B-8EB6-9ED18D585908}">
      <dsp:nvSpPr>
        <dsp:cNvPr id="0" name=""/>
        <dsp:cNvSpPr/>
      </dsp:nvSpPr>
      <dsp:spPr>
        <a:xfrm>
          <a:off x="1466847" y="666"/>
          <a:ext cx="2062526" cy="587659"/>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AE4C5FB-99FD-3746-A426-8B7B82B0ECF8}">
      <dsp:nvSpPr>
        <dsp:cNvPr id="0" name=""/>
        <dsp:cNvSpPr/>
      </dsp:nvSpPr>
      <dsp:spPr>
        <a:xfrm>
          <a:off x="1569675" y="98353"/>
          <a:ext cx="2062526" cy="587659"/>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Referred Item                      Complex treatment and management planning</a:t>
          </a:r>
        </a:p>
      </dsp:txBody>
      <dsp:txXfrm>
        <a:off x="1586887" y="115565"/>
        <a:ext cx="2028102" cy="553235"/>
      </dsp:txXfrm>
    </dsp:sp>
    <dsp:sp modelId="{B6247777-C52F-2A4D-B35E-65A25504D12A}">
      <dsp:nvSpPr>
        <dsp:cNvPr id="0" name=""/>
        <dsp:cNvSpPr/>
      </dsp:nvSpPr>
      <dsp:spPr>
        <a:xfrm>
          <a:off x="720649" y="857477"/>
          <a:ext cx="1674634" cy="587659"/>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CCF486-59F8-D745-9825-46D66E0AEB8B}">
      <dsp:nvSpPr>
        <dsp:cNvPr id="0" name=""/>
        <dsp:cNvSpPr/>
      </dsp:nvSpPr>
      <dsp:spPr>
        <a:xfrm>
          <a:off x="823476" y="955163"/>
          <a:ext cx="1674634" cy="587659"/>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 x Development of management plan</a:t>
          </a:r>
        </a:p>
      </dsp:txBody>
      <dsp:txXfrm>
        <a:off x="840688" y="972375"/>
        <a:ext cx="1640210" cy="553235"/>
      </dsp:txXfrm>
    </dsp:sp>
    <dsp:sp modelId="{7D031A81-3C79-E24E-9B61-A667317C7378}">
      <dsp:nvSpPr>
        <dsp:cNvPr id="0" name=""/>
        <dsp:cNvSpPr/>
      </dsp:nvSpPr>
      <dsp:spPr>
        <a:xfrm>
          <a:off x="720649" y="1714287"/>
          <a:ext cx="1674634" cy="587659"/>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231145B-628B-7145-B228-E5144462EFD2}">
      <dsp:nvSpPr>
        <dsp:cNvPr id="0" name=""/>
        <dsp:cNvSpPr/>
      </dsp:nvSpPr>
      <dsp:spPr>
        <a:xfrm>
          <a:off x="823476" y="1811973"/>
          <a:ext cx="1674634" cy="587659"/>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MBS 132 </a:t>
          </a:r>
        </a:p>
        <a:p>
          <a:pPr lvl="0" algn="ctr" defTabSz="488950">
            <a:lnSpc>
              <a:spcPct val="90000"/>
            </a:lnSpc>
            <a:spcBef>
              <a:spcPct val="0"/>
            </a:spcBef>
            <a:spcAft>
              <a:spcPct val="35000"/>
            </a:spcAft>
          </a:pPr>
          <a:r>
            <a:rPr lang="en-US" sz="1100" b="0" i="1" kern="1200"/>
            <a:t>($224.35)</a:t>
          </a:r>
        </a:p>
      </dsp:txBody>
      <dsp:txXfrm>
        <a:off x="840688" y="1829185"/>
        <a:ext cx="1640210" cy="553235"/>
      </dsp:txXfrm>
    </dsp:sp>
    <dsp:sp modelId="{97A62F18-7A00-374E-8986-EDAC22F48AD6}">
      <dsp:nvSpPr>
        <dsp:cNvPr id="0" name=""/>
        <dsp:cNvSpPr/>
      </dsp:nvSpPr>
      <dsp:spPr>
        <a:xfrm>
          <a:off x="2600938" y="857477"/>
          <a:ext cx="1674634" cy="587659"/>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EE312E0-BF0E-2544-BF55-126502F3871B}">
      <dsp:nvSpPr>
        <dsp:cNvPr id="0" name=""/>
        <dsp:cNvSpPr/>
      </dsp:nvSpPr>
      <dsp:spPr>
        <a:xfrm>
          <a:off x="2703766" y="955163"/>
          <a:ext cx="1674634" cy="587659"/>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2 x Review of management plan</a:t>
          </a:r>
        </a:p>
      </dsp:txBody>
      <dsp:txXfrm>
        <a:off x="2720978" y="972375"/>
        <a:ext cx="1640210" cy="553235"/>
      </dsp:txXfrm>
    </dsp:sp>
    <dsp:sp modelId="{E7AFA2AB-AD42-3849-B252-C1049F268CFA}">
      <dsp:nvSpPr>
        <dsp:cNvPr id="0" name=""/>
        <dsp:cNvSpPr/>
      </dsp:nvSpPr>
      <dsp:spPr>
        <a:xfrm>
          <a:off x="2600938" y="1714287"/>
          <a:ext cx="1674634" cy="587659"/>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A36CA82-5AD9-0D41-AC08-7586BB839B98}">
      <dsp:nvSpPr>
        <dsp:cNvPr id="0" name=""/>
        <dsp:cNvSpPr/>
      </dsp:nvSpPr>
      <dsp:spPr>
        <a:xfrm>
          <a:off x="2703766" y="1811973"/>
          <a:ext cx="1674634" cy="587659"/>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MBS 133 </a:t>
          </a:r>
        </a:p>
        <a:p>
          <a:pPr lvl="0" algn="ctr" defTabSz="488950">
            <a:lnSpc>
              <a:spcPct val="90000"/>
            </a:lnSpc>
            <a:spcBef>
              <a:spcPct val="0"/>
            </a:spcBef>
            <a:spcAft>
              <a:spcPct val="35000"/>
            </a:spcAft>
          </a:pPr>
          <a:r>
            <a:rPr lang="en-US" sz="1100" b="0" i="1" kern="1200"/>
            <a:t>($112.30)</a:t>
          </a:r>
        </a:p>
      </dsp:txBody>
      <dsp:txXfrm>
        <a:off x="2720978" y="1829185"/>
        <a:ext cx="1640210" cy="5532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416579"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499547" y="783199"/>
          <a:ext cx="1962752" cy="311363"/>
        </a:xfrm>
        <a:custGeom>
          <a:avLst/>
          <a:gdLst/>
          <a:ahLst/>
          <a:cxnLst/>
          <a:rect l="0" t="0" r="0" b="0"/>
          <a:pathLst>
            <a:path>
              <a:moveTo>
                <a:pt x="0" y="0"/>
              </a:moveTo>
              <a:lnTo>
                <a:pt x="0" y="212185"/>
              </a:lnTo>
              <a:lnTo>
                <a:pt x="1962752" y="212185"/>
              </a:lnTo>
              <a:lnTo>
                <a:pt x="1962752"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108078"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499547" y="783199"/>
          <a:ext cx="654250" cy="311363"/>
        </a:xfrm>
        <a:custGeom>
          <a:avLst/>
          <a:gdLst/>
          <a:ahLst/>
          <a:cxnLst/>
          <a:rect l="0" t="0" r="0" b="0"/>
          <a:pathLst>
            <a:path>
              <a:moveTo>
                <a:pt x="0" y="0"/>
              </a:moveTo>
              <a:lnTo>
                <a:pt x="0" y="212185"/>
              </a:lnTo>
              <a:lnTo>
                <a:pt x="654250" y="212185"/>
              </a:lnTo>
              <a:lnTo>
                <a:pt x="654250"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1799576"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1845296" y="783199"/>
          <a:ext cx="654250" cy="311363"/>
        </a:xfrm>
        <a:custGeom>
          <a:avLst/>
          <a:gdLst/>
          <a:ahLst/>
          <a:cxnLst/>
          <a:rect l="0" t="0" r="0" b="0"/>
          <a:pathLst>
            <a:path>
              <a:moveTo>
                <a:pt x="654250" y="0"/>
              </a:moveTo>
              <a:lnTo>
                <a:pt x="654250" y="212185"/>
              </a:lnTo>
              <a:lnTo>
                <a:pt x="0" y="212185"/>
              </a:lnTo>
              <a:lnTo>
                <a:pt x="0"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491075"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536795" y="783199"/>
          <a:ext cx="1962752" cy="311363"/>
        </a:xfrm>
        <a:custGeom>
          <a:avLst/>
          <a:gdLst/>
          <a:ahLst/>
          <a:cxnLst/>
          <a:rect l="0" t="0" r="0" b="0"/>
          <a:pathLst>
            <a:path>
              <a:moveTo>
                <a:pt x="1962752" y="0"/>
              </a:moveTo>
              <a:lnTo>
                <a:pt x="1962752" y="212185"/>
              </a:lnTo>
              <a:lnTo>
                <a:pt x="0" y="212185"/>
              </a:lnTo>
              <a:lnTo>
                <a:pt x="0"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1964251" y="103373"/>
          <a:ext cx="1070592" cy="679825"/>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2083206" y="21638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Case Conference Co-ordination and Chair</a:t>
          </a:r>
        </a:p>
      </dsp:txBody>
      <dsp:txXfrm>
        <a:off x="2103117" y="236291"/>
        <a:ext cx="1030770" cy="640003"/>
      </dsp:txXfrm>
    </dsp:sp>
    <dsp:sp modelId="{54A8B529-F9E3-4141-8DC9-99339199C884}">
      <dsp:nvSpPr>
        <dsp:cNvPr id="0" name=""/>
        <dsp:cNvSpPr/>
      </dsp:nvSpPr>
      <dsp:spPr>
        <a:xfrm>
          <a:off x="1499"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120454"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140365" y="1227481"/>
        <a:ext cx="1030770" cy="640003"/>
      </dsp:txXfrm>
    </dsp:sp>
    <dsp:sp modelId="{3240397F-0654-6F4E-864F-1CFB9BF37823}">
      <dsp:nvSpPr>
        <dsp:cNvPr id="0" name=""/>
        <dsp:cNvSpPr/>
      </dsp:nvSpPr>
      <dsp:spPr>
        <a:xfrm>
          <a:off x="1499"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120454"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23 ($36.30)</a:t>
          </a:r>
        </a:p>
      </dsp:txBody>
      <dsp:txXfrm>
        <a:off x="140365" y="2218671"/>
        <a:ext cx="1030770" cy="640003"/>
      </dsp:txXfrm>
    </dsp:sp>
    <dsp:sp modelId="{48D7D30C-AB11-D946-8AEC-FD9B2A504183}">
      <dsp:nvSpPr>
        <dsp:cNvPr id="0" name=""/>
        <dsp:cNvSpPr/>
      </dsp:nvSpPr>
      <dsp:spPr>
        <a:xfrm>
          <a:off x="1310000"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428955"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448866" y="1227481"/>
        <a:ext cx="1030770" cy="640003"/>
      </dsp:txXfrm>
    </dsp:sp>
    <dsp:sp modelId="{9166D8F7-1B4C-E041-81E9-30CF31DF6B1C}">
      <dsp:nvSpPr>
        <dsp:cNvPr id="0" name=""/>
        <dsp:cNvSpPr/>
      </dsp:nvSpPr>
      <dsp:spPr>
        <a:xfrm>
          <a:off x="1310000"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428955"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116 ($64.20)</a:t>
          </a:r>
        </a:p>
      </dsp:txBody>
      <dsp:txXfrm>
        <a:off x="1448866" y="2218671"/>
        <a:ext cx="1030770" cy="640003"/>
      </dsp:txXfrm>
    </dsp:sp>
    <dsp:sp modelId="{24560018-146F-0341-BCE4-266F61ACA491}">
      <dsp:nvSpPr>
        <dsp:cNvPr id="0" name=""/>
        <dsp:cNvSpPr/>
      </dsp:nvSpPr>
      <dsp:spPr>
        <a:xfrm>
          <a:off x="2618502"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737457"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2757368" y="1227481"/>
        <a:ext cx="1030770" cy="640003"/>
      </dsp:txXfrm>
    </dsp:sp>
    <dsp:sp modelId="{978489A2-8BF7-9848-A9AC-08BA76F88668}">
      <dsp:nvSpPr>
        <dsp:cNvPr id="0" name=""/>
        <dsp:cNvSpPr/>
      </dsp:nvSpPr>
      <dsp:spPr>
        <a:xfrm>
          <a:off x="2618502"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737457"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New Item ($96.30)</a:t>
          </a:r>
        </a:p>
      </dsp:txBody>
      <dsp:txXfrm>
        <a:off x="2757368" y="2218671"/>
        <a:ext cx="1030770" cy="640003"/>
      </dsp:txXfrm>
    </dsp:sp>
    <dsp:sp modelId="{DC1DF888-6604-404C-9DB0-E21688DA45A4}">
      <dsp:nvSpPr>
        <dsp:cNvPr id="0" name=""/>
        <dsp:cNvSpPr/>
      </dsp:nvSpPr>
      <dsp:spPr>
        <a:xfrm>
          <a:off x="3927003"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045958"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4065869" y="1227481"/>
        <a:ext cx="1030770" cy="640003"/>
      </dsp:txXfrm>
    </dsp:sp>
    <dsp:sp modelId="{B8C5050B-80C8-CB42-9832-486811727B59}">
      <dsp:nvSpPr>
        <dsp:cNvPr id="0" name=""/>
        <dsp:cNvSpPr/>
      </dsp:nvSpPr>
      <dsp:spPr>
        <a:xfrm>
          <a:off x="3927003"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045958"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110 ($128.30)</a:t>
          </a:r>
        </a:p>
      </dsp:txBody>
      <dsp:txXfrm>
        <a:off x="4065869" y="2218671"/>
        <a:ext cx="1030770" cy="6400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416579"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499547" y="783199"/>
          <a:ext cx="1962752" cy="311363"/>
        </a:xfrm>
        <a:custGeom>
          <a:avLst/>
          <a:gdLst/>
          <a:ahLst/>
          <a:cxnLst/>
          <a:rect l="0" t="0" r="0" b="0"/>
          <a:pathLst>
            <a:path>
              <a:moveTo>
                <a:pt x="0" y="0"/>
              </a:moveTo>
              <a:lnTo>
                <a:pt x="0" y="212185"/>
              </a:lnTo>
              <a:lnTo>
                <a:pt x="1962752" y="212185"/>
              </a:lnTo>
              <a:lnTo>
                <a:pt x="1962752"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108078"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499547" y="783199"/>
          <a:ext cx="654250" cy="311363"/>
        </a:xfrm>
        <a:custGeom>
          <a:avLst/>
          <a:gdLst/>
          <a:ahLst/>
          <a:cxnLst/>
          <a:rect l="0" t="0" r="0" b="0"/>
          <a:pathLst>
            <a:path>
              <a:moveTo>
                <a:pt x="0" y="0"/>
              </a:moveTo>
              <a:lnTo>
                <a:pt x="0" y="212185"/>
              </a:lnTo>
              <a:lnTo>
                <a:pt x="654250" y="212185"/>
              </a:lnTo>
              <a:lnTo>
                <a:pt x="654250"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1799576"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1845296" y="783199"/>
          <a:ext cx="654250" cy="311363"/>
        </a:xfrm>
        <a:custGeom>
          <a:avLst/>
          <a:gdLst/>
          <a:ahLst/>
          <a:cxnLst/>
          <a:rect l="0" t="0" r="0" b="0"/>
          <a:pathLst>
            <a:path>
              <a:moveTo>
                <a:pt x="654250" y="0"/>
              </a:moveTo>
              <a:lnTo>
                <a:pt x="654250" y="212185"/>
              </a:lnTo>
              <a:lnTo>
                <a:pt x="0" y="212185"/>
              </a:lnTo>
              <a:lnTo>
                <a:pt x="0"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491075" y="1774389"/>
          <a:ext cx="91440" cy="311363"/>
        </a:xfrm>
        <a:custGeom>
          <a:avLst/>
          <a:gdLst/>
          <a:ahLst/>
          <a:cxnLst/>
          <a:rect l="0" t="0" r="0" b="0"/>
          <a:pathLst>
            <a:path>
              <a:moveTo>
                <a:pt x="45720" y="0"/>
              </a:moveTo>
              <a:lnTo>
                <a:pt x="45720" y="31136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536795" y="783199"/>
          <a:ext cx="1962752" cy="311363"/>
        </a:xfrm>
        <a:custGeom>
          <a:avLst/>
          <a:gdLst/>
          <a:ahLst/>
          <a:cxnLst/>
          <a:rect l="0" t="0" r="0" b="0"/>
          <a:pathLst>
            <a:path>
              <a:moveTo>
                <a:pt x="1962752" y="0"/>
              </a:moveTo>
              <a:lnTo>
                <a:pt x="1962752" y="212185"/>
              </a:lnTo>
              <a:lnTo>
                <a:pt x="0" y="212185"/>
              </a:lnTo>
              <a:lnTo>
                <a:pt x="0" y="31136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1964251" y="103373"/>
          <a:ext cx="1070592" cy="679825"/>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2083206" y="21638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Case Conference Co-ordination and Chair</a:t>
          </a:r>
        </a:p>
      </dsp:txBody>
      <dsp:txXfrm>
        <a:off x="2103117" y="236291"/>
        <a:ext cx="1030770" cy="640003"/>
      </dsp:txXfrm>
    </dsp:sp>
    <dsp:sp modelId="{54A8B529-F9E3-4141-8DC9-99339199C884}">
      <dsp:nvSpPr>
        <dsp:cNvPr id="0" name=""/>
        <dsp:cNvSpPr/>
      </dsp:nvSpPr>
      <dsp:spPr>
        <a:xfrm>
          <a:off x="1499"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120454"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140365" y="1227481"/>
        <a:ext cx="1030770" cy="640003"/>
      </dsp:txXfrm>
    </dsp:sp>
    <dsp:sp modelId="{3240397F-0654-6F4E-864F-1CFB9BF37823}">
      <dsp:nvSpPr>
        <dsp:cNvPr id="0" name=""/>
        <dsp:cNvSpPr/>
      </dsp:nvSpPr>
      <dsp:spPr>
        <a:xfrm>
          <a:off x="1499"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120454"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23 ($36.30)</a:t>
          </a:r>
        </a:p>
      </dsp:txBody>
      <dsp:txXfrm>
        <a:off x="140365" y="2218671"/>
        <a:ext cx="1030770" cy="640003"/>
      </dsp:txXfrm>
    </dsp:sp>
    <dsp:sp modelId="{48D7D30C-AB11-D946-8AEC-FD9B2A504183}">
      <dsp:nvSpPr>
        <dsp:cNvPr id="0" name=""/>
        <dsp:cNvSpPr/>
      </dsp:nvSpPr>
      <dsp:spPr>
        <a:xfrm>
          <a:off x="1310000"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428955"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448866" y="1227481"/>
        <a:ext cx="1030770" cy="640003"/>
      </dsp:txXfrm>
    </dsp:sp>
    <dsp:sp modelId="{9166D8F7-1B4C-E041-81E9-30CF31DF6B1C}">
      <dsp:nvSpPr>
        <dsp:cNvPr id="0" name=""/>
        <dsp:cNvSpPr/>
      </dsp:nvSpPr>
      <dsp:spPr>
        <a:xfrm>
          <a:off x="1310000"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428955"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116 ($64.20)</a:t>
          </a:r>
        </a:p>
      </dsp:txBody>
      <dsp:txXfrm>
        <a:off x="1448866" y="2218671"/>
        <a:ext cx="1030770" cy="640003"/>
      </dsp:txXfrm>
    </dsp:sp>
    <dsp:sp modelId="{24560018-146F-0341-BCE4-266F61ACA491}">
      <dsp:nvSpPr>
        <dsp:cNvPr id="0" name=""/>
        <dsp:cNvSpPr/>
      </dsp:nvSpPr>
      <dsp:spPr>
        <a:xfrm>
          <a:off x="2618502"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737457"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2757368" y="1227481"/>
        <a:ext cx="1030770" cy="640003"/>
      </dsp:txXfrm>
    </dsp:sp>
    <dsp:sp modelId="{978489A2-8BF7-9848-A9AC-08BA76F88668}">
      <dsp:nvSpPr>
        <dsp:cNvPr id="0" name=""/>
        <dsp:cNvSpPr/>
      </dsp:nvSpPr>
      <dsp:spPr>
        <a:xfrm>
          <a:off x="2618502"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737457"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New Item ($96.30)</a:t>
          </a:r>
        </a:p>
      </dsp:txBody>
      <dsp:txXfrm>
        <a:off x="2757368" y="2218671"/>
        <a:ext cx="1030770" cy="640003"/>
      </dsp:txXfrm>
    </dsp:sp>
    <dsp:sp modelId="{DC1DF888-6604-404C-9DB0-E21688DA45A4}">
      <dsp:nvSpPr>
        <dsp:cNvPr id="0" name=""/>
        <dsp:cNvSpPr/>
      </dsp:nvSpPr>
      <dsp:spPr>
        <a:xfrm>
          <a:off x="3927003" y="1094563"/>
          <a:ext cx="1070592" cy="679825"/>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045958" y="120757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4065869" y="1227481"/>
        <a:ext cx="1030770" cy="640003"/>
      </dsp:txXfrm>
    </dsp:sp>
    <dsp:sp modelId="{B8C5050B-80C8-CB42-9832-486811727B59}">
      <dsp:nvSpPr>
        <dsp:cNvPr id="0" name=""/>
        <dsp:cNvSpPr/>
      </dsp:nvSpPr>
      <dsp:spPr>
        <a:xfrm>
          <a:off x="3927003" y="2085753"/>
          <a:ext cx="1070592" cy="679825"/>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045958" y="2198760"/>
          <a:ext cx="1070592" cy="679825"/>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110 ($128.30)</a:t>
          </a:r>
        </a:p>
      </dsp:txBody>
      <dsp:txXfrm>
        <a:off x="4065869" y="2218671"/>
        <a:ext cx="1030770" cy="6400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542853" y="1826944"/>
          <a:ext cx="91440" cy="320174"/>
        </a:xfrm>
        <a:custGeom>
          <a:avLst/>
          <a:gdLst/>
          <a:ahLst/>
          <a:cxnLst/>
          <a:rect l="0" t="0" r="0" b="0"/>
          <a:pathLst>
            <a:path>
              <a:moveTo>
                <a:pt x="45720" y="0"/>
              </a:moveTo>
              <a:lnTo>
                <a:pt x="45720" y="32017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570279" y="807706"/>
          <a:ext cx="2018293" cy="320174"/>
        </a:xfrm>
        <a:custGeom>
          <a:avLst/>
          <a:gdLst/>
          <a:ahLst/>
          <a:cxnLst/>
          <a:rect l="0" t="0" r="0" b="0"/>
          <a:pathLst>
            <a:path>
              <a:moveTo>
                <a:pt x="0" y="0"/>
              </a:moveTo>
              <a:lnTo>
                <a:pt x="0" y="218189"/>
              </a:lnTo>
              <a:lnTo>
                <a:pt x="2018293" y="218189"/>
              </a:lnTo>
              <a:lnTo>
                <a:pt x="2018293" y="32017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197324" y="1826944"/>
          <a:ext cx="91440" cy="320174"/>
        </a:xfrm>
        <a:custGeom>
          <a:avLst/>
          <a:gdLst/>
          <a:ahLst/>
          <a:cxnLst/>
          <a:rect l="0" t="0" r="0" b="0"/>
          <a:pathLst>
            <a:path>
              <a:moveTo>
                <a:pt x="45720" y="0"/>
              </a:moveTo>
              <a:lnTo>
                <a:pt x="45720" y="32017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570279" y="807706"/>
          <a:ext cx="672764" cy="320174"/>
        </a:xfrm>
        <a:custGeom>
          <a:avLst/>
          <a:gdLst/>
          <a:ahLst/>
          <a:cxnLst/>
          <a:rect l="0" t="0" r="0" b="0"/>
          <a:pathLst>
            <a:path>
              <a:moveTo>
                <a:pt x="0" y="0"/>
              </a:moveTo>
              <a:lnTo>
                <a:pt x="0" y="218189"/>
              </a:lnTo>
              <a:lnTo>
                <a:pt x="672764" y="218189"/>
              </a:lnTo>
              <a:lnTo>
                <a:pt x="672764" y="32017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1851794" y="1826944"/>
          <a:ext cx="91440" cy="320174"/>
        </a:xfrm>
        <a:custGeom>
          <a:avLst/>
          <a:gdLst/>
          <a:ahLst/>
          <a:cxnLst/>
          <a:rect l="0" t="0" r="0" b="0"/>
          <a:pathLst>
            <a:path>
              <a:moveTo>
                <a:pt x="45720" y="0"/>
              </a:moveTo>
              <a:lnTo>
                <a:pt x="45720" y="32017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1897514" y="807706"/>
          <a:ext cx="672764" cy="320174"/>
        </a:xfrm>
        <a:custGeom>
          <a:avLst/>
          <a:gdLst/>
          <a:ahLst/>
          <a:cxnLst/>
          <a:rect l="0" t="0" r="0" b="0"/>
          <a:pathLst>
            <a:path>
              <a:moveTo>
                <a:pt x="672764" y="0"/>
              </a:moveTo>
              <a:lnTo>
                <a:pt x="672764" y="218189"/>
              </a:lnTo>
              <a:lnTo>
                <a:pt x="0" y="218189"/>
              </a:lnTo>
              <a:lnTo>
                <a:pt x="0" y="32017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506265" y="1826944"/>
          <a:ext cx="91440" cy="320174"/>
        </a:xfrm>
        <a:custGeom>
          <a:avLst/>
          <a:gdLst/>
          <a:ahLst/>
          <a:cxnLst/>
          <a:rect l="0" t="0" r="0" b="0"/>
          <a:pathLst>
            <a:path>
              <a:moveTo>
                <a:pt x="45720" y="0"/>
              </a:moveTo>
              <a:lnTo>
                <a:pt x="45720" y="32017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551985" y="807706"/>
          <a:ext cx="2018293" cy="320174"/>
        </a:xfrm>
        <a:custGeom>
          <a:avLst/>
          <a:gdLst/>
          <a:ahLst/>
          <a:cxnLst/>
          <a:rect l="0" t="0" r="0" b="0"/>
          <a:pathLst>
            <a:path>
              <a:moveTo>
                <a:pt x="2018293" y="0"/>
              </a:moveTo>
              <a:lnTo>
                <a:pt x="2018293" y="218189"/>
              </a:lnTo>
              <a:lnTo>
                <a:pt x="0" y="218189"/>
              </a:lnTo>
              <a:lnTo>
                <a:pt x="0" y="32017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2019835" y="108642"/>
          <a:ext cx="1100887" cy="699063"/>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2142156" y="224847"/>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Case Conference Participation</a:t>
          </a:r>
        </a:p>
      </dsp:txBody>
      <dsp:txXfrm>
        <a:off x="2162631" y="245322"/>
        <a:ext cx="1059937" cy="658113"/>
      </dsp:txXfrm>
    </dsp:sp>
    <dsp:sp modelId="{54A8B529-F9E3-4141-8DC9-99339199C884}">
      <dsp:nvSpPr>
        <dsp:cNvPr id="0" name=""/>
        <dsp:cNvSpPr/>
      </dsp:nvSpPr>
      <dsp:spPr>
        <a:xfrm>
          <a:off x="1541" y="1127881"/>
          <a:ext cx="1100887" cy="699063"/>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123862" y="1244086"/>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144337" y="1264561"/>
        <a:ext cx="1059937" cy="658113"/>
      </dsp:txXfrm>
    </dsp:sp>
    <dsp:sp modelId="{3240397F-0654-6F4E-864F-1CFB9BF37823}">
      <dsp:nvSpPr>
        <dsp:cNvPr id="0" name=""/>
        <dsp:cNvSpPr/>
      </dsp:nvSpPr>
      <dsp:spPr>
        <a:xfrm>
          <a:off x="1541" y="2147119"/>
          <a:ext cx="1100887" cy="699063"/>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123862" y="2263324"/>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80% of      MBS 23 ($29.04)</a:t>
          </a:r>
        </a:p>
      </dsp:txBody>
      <dsp:txXfrm>
        <a:off x="144337" y="2283799"/>
        <a:ext cx="1059937" cy="658113"/>
      </dsp:txXfrm>
    </dsp:sp>
    <dsp:sp modelId="{48D7D30C-AB11-D946-8AEC-FD9B2A504183}">
      <dsp:nvSpPr>
        <dsp:cNvPr id="0" name=""/>
        <dsp:cNvSpPr/>
      </dsp:nvSpPr>
      <dsp:spPr>
        <a:xfrm>
          <a:off x="1347071" y="1127881"/>
          <a:ext cx="1100887" cy="699063"/>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469391" y="1244086"/>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489866" y="1264561"/>
        <a:ext cx="1059937" cy="658113"/>
      </dsp:txXfrm>
    </dsp:sp>
    <dsp:sp modelId="{9166D8F7-1B4C-E041-81E9-30CF31DF6B1C}">
      <dsp:nvSpPr>
        <dsp:cNvPr id="0" name=""/>
        <dsp:cNvSpPr/>
      </dsp:nvSpPr>
      <dsp:spPr>
        <a:xfrm>
          <a:off x="1347071" y="2147119"/>
          <a:ext cx="1100887" cy="699063"/>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469391" y="2263324"/>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80% of      MBS 116 ($51.36)</a:t>
          </a:r>
        </a:p>
      </dsp:txBody>
      <dsp:txXfrm>
        <a:off x="1489866" y="2283799"/>
        <a:ext cx="1059937" cy="658113"/>
      </dsp:txXfrm>
    </dsp:sp>
    <dsp:sp modelId="{24560018-146F-0341-BCE4-266F61ACA491}">
      <dsp:nvSpPr>
        <dsp:cNvPr id="0" name=""/>
        <dsp:cNvSpPr/>
      </dsp:nvSpPr>
      <dsp:spPr>
        <a:xfrm>
          <a:off x="2692600" y="1127881"/>
          <a:ext cx="1100887" cy="699063"/>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814921" y="1244086"/>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2835396" y="1264561"/>
        <a:ext cx="1059937" cy="658113"/>
      </dsp:txXfrm>
    </dsp:sp>
    <dsp:sp modelId="{978489A2-8BF7-9848-A9AC-08BA76F88668}">
      <dsp:nvSpPr>
        <dsp:cNvPr id="0" name=""/>
        <dsp:cNvSpPr/>
      </dsp:nvSpPr>
      <dsp:spPr>
        <a:xfrm>
          <a:off x="2692600" y="2147119"/>
          <a:ext cx="1100887" cy="699063"/>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814921" y="2263324"/>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80% of      New Item ($77.04)</a:t>
          </a:r>
        </a:p>
      </dsp:txBody>
      <dsp:txXfrm>
        <a:off x="2835396" y="2283799"/>
        <a:ext cx="1059937" cy="658113"/>
      </dsp:txXfrm>
    </dsp:sp>
    <dsp:sp modelId="{DC1DF888-6604-404C-9DB0-E21688DA45A4}">
      <dsp:nvSpPr>
        <dsp:cNvPr id="0" name=""/>
        <dsp:cNvSpPr/>
      </dsp:nvSpPr>
      <dsp:spPr>
        <a:xfrm>
          <a:off x="4038129" y="1127881"/>
          <a:ext cx="1100887" cy="699063"/>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160450" y="1244086"/>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4180925" y="1264561"/>
        <a:ext cx="1059937" cy="658113"/>
      </dsp:txXfrm>
    </dsp:sp>
    <dsp:sp modelId="{B8C5050B-80C8-CB42-9832-486811727B59}">
      <dsp:nvSpPr>
        <dsp:cNvPr id="0" name=""/>
        <dsp:cNvSpPr/>
      </dsp:nvSpPr>
      <dsp:spPr>
        <a:xfrm>
          <a:off x="4038129" y="2147119"/>
          <a:ext cx="1100887" cy="699063"/>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160450" y="2263324"/>
          <a:ext cx="1100887" cy="699063"/>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80% of      MBS 110 ($102.64)</a:t>
          </a:r>
        </a:p>
      </dsp:txBody>
      <dsp:txXfrm>
        <a:off x="4180925" y="2283799"/>
        <a:ext cx="1059937" cy="6581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2F2F5-62BB-41D9-AD16-54358D432C65}">
  <ds:schemaRefs>
    <ds:schemaRef ds:uri="http://schemas.openxmlformats.org/officeDocument/2006/bibliography"/>
  </ds:schemaRefs>
</ds:datastoreItem>
</file>

<file path=customXml/itemProps2.xml><?xml version="1.0" encoding="utf-8"?>
<ds:datastoreItem xmlns:ds="http://schemas.openxmlformats.org/officeDocument/2006/customXml" ds:itemID="{A8372CAB-A5FE-481F-9731-5A5B108FE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Aspex_Consulting_Report.dotm</Template>
  <TotalTime>63</TotalTime>
  <Pages>196</Pages>
  <Words>46177</Words>
  <Characters>263210</Characters>
  <Application>Microsoft Office Word</Application>
  <DocSecurity>0</DocSecurity>
  <Lines>2193</Lines>
  <Paragraphs>617</Paragraphs>
  <ScaleCrop>false</ScaleCrop>
  <HeadingPairs>
    <vt:vector size="2" baseType="variant">
      <vt:variant>
        <vt:lpstr>Title</vt:lpstr>
      </vt:variant>
      <vt:variant>
        <vt:i4>1</vt:i4>
      </vt:variant>
    </vt:vector>
  </HeadingPairs>
  <TitlesOfParts>
    <vt:vector size="1" baseType="lpstr">
      <vt:lpstr>Aspex Consulting Report -Sexual Health - 000621</vt:lpstr>
    </vt:vector>
  </TitlesOfParts>
  <Company>Aspex Consulting</Company>
  <LinksUpToDate>false</LinksUpToDate>
  <CharactersWithSpaces>308770</CharactersWithSpaces>
  <SharedDoc>false</SharedDoc>
  <HLinks>
    <vt:vector size="30" baseType="variant">
      <vt:variant>
        <vt:i4>3342436</vt:i4>
      </vt:variant>
      <vt:variant>
        <vt:i4>957</vt:i4>
      </vt:variant>
      <vt:variant>
        <vt:i4>0</vt:i4>
      </vt:variant>
      <vt:variant>
        <vt:i4>5</vt:i4>
      </vt:variant>
      <vt:variant>
        <vt:lpwstr>http://nchsr.arts.unsw.edu.au/media/File/SRB08.pdf</vt:lpwstr>
      </vt:variant>
      <vt:variant>
        <vt:lpwstr/>
      </vt:variant>
      <vt:variant>
        <vt:i4>6881320</vt:i4>
      </vt:variant>
      <vt:variant>
        <vt:i4>954</vt:i4>
      </vt:variant>
      <vt:variant>
        <vt:i4>0</vt:i4>
      </vt:variant>
      <vt:variant>
        <vt:i4>5</vt:i4>
      </vt:variant>
      <vt:variant>
        <vt:lpwstr>http://www.hepatitisaustralia.com/__data/assets/pdf_file/0003/3945/the-economic-impact-of-hepatitis-c-in-australia_final-3.pdf</vt:lpwstr>
      </vt:variant>
      <vt:variant>
        <vt:lpwstr/>
      </vt:variant>
      <vt:variant>
        <vt:i4>1835023</vt:i4>
      </vt:variant>
      <vt:variant>
        <vt:i4>492</vt:i4>
      </vt:variant>
      <vt:variant>
        <vt:i4>0</vt:i4>
      </vt:variant>
      <vt:variant>
        <vt:i4>5</vt:i4>
      </vt:variant>
      <vt:variant>
        <vt:lpwstr>http://www.stdservices.on.net/std/gonorrhoea/details.htm</vt:lpwstr>
      </vt:variant>
      <vt:variant>
        <vt:lpwstr/>
      </vt:variant>
      <vt:variant>
        <vt:i4>7012364</vt:i4>
      </vt:variant>
      <vt:variant>
        <vt:i4>489</vt:i4>
      </vt:variant>
      <vt:variant>
        <vt:i4>0</vt:i4>
      </vt:variant>
      <vt:variant>
        <vt:i4>5</vt:i4>
      </vt:variant>
      <vt:variant>
        <vt:lpwstr>http://www.stdservices.on.net/std/chlamydia/details.htm</vt:lpwstr>
      </vt:variant>
      <vt:variant>
        <vt:lpwstr/>
      </vt:variant>
      <vt:variant>
        <vt:i4>3997744</vt:i4>
      </vt:variant>
      <vt:variant>
        <vt:i4>477</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Aspex Consulting Report -Sexual Health - 000621</dc:title>
  <dc:subject>Aspex Consulting Report</dc:subject>
  <dc:creator>Darren Harris</dc:creator>
  <cp:lastModifiedBy>McCandless Sean</cp:lastModifiedBy>
  <cp:revision>7</cp:revision>
  <cp:lastPrinted>2014-03-27T01:36:00Z</cp:lastPrinted>
  <dcterms:created xsi:type="dcterms:W3CDTF">2014-03-21T01:03:00Z</dcterms:created>
  <dcterms:modified xsi:type="dcterms:W3CDTF">2014-03-27T01:46:00Z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ReportTitle">
    <vt:lpwstr>Analysis of proposed MBS items for Sexual Health Medicine </vt:lpwstr>
  </property>
  <property fmtid="{D5CDD505-2E9C-101B-9397-08002B2CF9AE}" pid="3" name="xClient">
    <vt:lpwstr>Department of Health and Ageing</vt:lpwstr>
  </property>
  <property fmtid="{D5CDD505-2E9C-101B-9397-08002B2CF9AE}" pid="4" name="xDate">
    <vt:lpwstr>12 March 2013</vt:lpwstr>
  </property>
  <property fmtid="{D5CDD505-2E9C-101B-9397-08002B2CF9AE}" pid="5" name="xProject">
    <vt:lpwstr>Analysis of proposed MBS items for Sexual Health Medicine</vt:lpwstr>
  </property>
  <property fmtid="{D5CDD505-2E9C-101B-9397-08002B2CF9AE}" pid="6" name="xDoc">
    <vt:lpwstr>Consultant Report</vt:lpwstr>
  </property>
  <property fmtid="{D5CDD505-2E9C-101B-9397-08002B2CF9AE}" pid="7" name="xDisc">
    <vt:lpwstr>The Department of Health and Ageing</vt:lpwstr>
  </property>
  <property fmtid="{D5CDD505-2E9C-101B-9397-08002B2CF9AE}" pid="8" name="xAck">
    <vt:lpwstr/>
  </property>
  <property fmtid="{D5CDD505-2E9C-101B-9397-08002B2CF9AE}" pid="9" name="xVersion">
    <vt:lpwstr/>
  </property>
  <property fmtid="{D5CDD505-2E9C-101B-9397-08002B2CF9AE}" pid="10" name="xChapter">
    <vt:lpwstr>Y</vt:lpwstr>
  </property>
  <property fmtid="{D5CDD505-2E9C-101B-9397-08002B2CF9AE}" pid="11" name="DMSDOCTYPE">
    <vt:lpwstr/>
  </property>
  <property fmtid="{D5CDD505-2E9C-101B-9397-08002B2CF9AE}" pid="12" name="DraftType">
    <vt:lpwstr/>
  </property>
  <property fmtid="{D5CDD505-2E9C-101B-9397-08002B2CF9AE}" pid="13" name="WPLUSServerName">
    <vt:lpwstr/>
  </property>
  <property fmtid="{D5CDD505-2E9C-101B-9397-08002B2CF9AE}" pid="14" name="WPLUSDataBaseName">
    <vt:lpwstr/>
  </property>
  <property fmtid="{D5CDD505-2E9C-101B-9397-08002B2CF9AE}" pid="15" name="WPLUSDocumentUNID">
    <vt:lpwstr/>
  </property>
  <property fmtid="{D5CDD505-2E9C-101B-9397-08002B2CF9AE}" pid="16" name="NeverSavedToNT">
    <vt:lpwstr/>
  </property>
</Properties>
</file>