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AC77A" w14:textId="77777777" w:rsidR="0006068A" w:rsidRDefault="0006068A" w:rsidP="0006068A">
      <w:pPr>
        <w:spacing w:line="360" w:lineRule="auto"/>
        <w:jc w:val="center"/>
        <w:rPr>
          <w:rFonts w:ascii="Arial" w:hAnsi="Arial" w:cs="Arial"/>
          <w:b/>
          <w:color w:val="000080"/>
          <w:sz w:val="28"/>
          <w:szCs w:val="28"/>
        </w:rPr>
      </w:pPr>
      <w:r>
        <w:rPr>
          <w:rFonts w:ascii="Arial" w:hAnsi="Arial" w:cs="Arial"/>
          <w:b/>
          <w:noProof/>
          <w:color w:val="000080"/>
          <w:sz w:val="28"/>
          <w:szCs w:val="28"/>
        </w:rPr>
        <w:drawing>
          <wp:inline distT="0" distB="0" distL="0" distR="0" wp14:anchorId="5752506D" wp14:editId="0993EA2D">
            <wp:extent cx="2627630" cy="1078865"/>
            <wp:effectExtent l="0" t="0" r="1270" b="6985"/>
            <wp:docPr id="1" name="Picture 1"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4637002" w14:textId="77777777" w:rsidR="0006068A" w:rsidRPr="00BB418D" w:rsidRDefault="0006068A" w:rsidP="0006068A">
      <w:pPr>
        <w:spacing w:line="360" w:lineRule="auto"/>
        <w:jc w:val="center"/>
        <w:rPr>
          <w:rFonts w:ascii="Arial" w:hAnsi="Arial" w:cs="Arial"/>
          <w:b/>
          <w:color w:val="000080"/>
          <w:sz w:val="28"/>
          <w:szCs w:val="28"/>
        </w:rPr>
      </w:pPr>
    </w:p>
    <w:p w14:paraId="35CCCAA7" w14:textId="77777777" w:rsidR="004C0814" w:rsidRDefault="004C0814" w:rsidP="00946E3D">
      <w:pPr>
        <w:jc w:val="center"/>
        <w:rPr>
          <w:b/>
          <w:sz w:val="36"/>
          <w:szCs w:val="36"/>
        </w:rPr>
      </w:pPr>
      <w:r w:rsidRPr="00946E3D">
        <w:rPr>
          <w:b/>
          <w:sz w:val="36"/>
          <w:szCs w:val="36"/>
        </w:rPr>
        <w:t>Public Summary Document</w:t>
      </w:r>
    </w:p>
    <w:p w14:paraId="0C873EEA" w14:textId="77777777" w:rsidR="00946E3D" w:rsidRPr="00946E3D" w:rsidRDefault="00946E3D" w:rsidP="00946E3D">
      <w:pPr>
        <w:jc w:val="center"/>
        <w:rPr>
          <w:b/>
          <w:sz w:val="36"/>
          <w:szCs w:val="36"/>
        </w:rPr>
      </w:pPr>
    </w:p>
    <w:p w14:paraId="3B854D1B" w14:textId="77777777" w:rsidR="004C0814" w:rsidRPr="00BB418D" w:rsidRDefault="00946E3D" w:rsidP="00DA714F">
      <w:pPr>
        <w:tabs>
          <w:tab w:val="left" w:pos="0"/>
        </w:tabs>
        <w:rPr>
          <w:rFonts w:ascii="Arial" w:hAnsi="Arial" w:cs="Arial"/>
          <w:szCs w:val="24"/>
        </w:rPr>
      </w:pPr>
      <w:r w:rsidRPr="00946E3D">
        <w:rPr>
          <w:rFonts w:ascii="Arial" w:hAnsi="Arial" w:cs="Arial"/>
          <w:b/>
          <w:i/>
          <w:color w:val="000099"/>
          <w:sz w:val="28"/>
          <w:szCs w:val="28"/>
        </w:rPr>
        <w:t>Application No. 1346 – Amendm</w:t>
      </w:r>
      <w:r w:rsidR="00DA714F">
        <w:rPr>
          <w:rFonts w:ascii="Arial" w:hAnsi="Arial" w:cs="Arial"/>
          <w:b/>
          <w:i/>
          <w:color w:val="000099"/>
          <w:sz w:val="28"/>
          <w:szCs w:val="28"/>
        </w:rPr>
        <w:t xml:space="preserve">ent to MBS item 11820 – Capsule </w:t>
      </w:r>
      <w:r w:rsidRPr="00946E3D">
        <w:rPr>
          <w:rFonts w:ascii="Arial" w:hAnsi="Arial" w:cs="Arial"/>
          <w:b/>
          <w:i/>
          <w:color w:val="000099"/>
          <w:sz w:val="28"/>
          <w:szCs w:val="28"/>
        </w:rPr>
        <w:t>Endoscopy</w:t>
      </w:r>
    </w:p>
    <w:p w14:paraId="03EBE432" w14:textId="77777777" w:rsidR="00E8253A" w:rsidRPr="00BB418D" w:rsidRDefault="00E8253A" w:rsidP="004C0814">
      <w:pPr>
        <w:tabs>
          <w:tab w:val="left" w:pos="3600"/>
        </w:tabs>
        <w:ind w:left="3600" w:hanging="3600"/>
        <w:rPr>
          <w:rFonts w:ascii="Arial" w:hAnsi="Arial" w:cs="Arial"/>
          <w:szCs w:val="24"/>
        </w:rPr>
      </w:pPr>
    </w:p>
    <w:p w14:paraId="0B9E0E69" w14:textId="77777777" w:rsidR="00E8253A" w:rsidRPr="00BB418D" w:rsidRDefault="00E8253A" w:rsidP="004C0814">
      <w:pPr>
        <w:tabs>
          <w:tab w:val="left" w:pos="3600"/>
        </w:tabs>
        <w:ind w:left="3600" w:hanging="3600"/>
        <w:rPr>
          <w:rFonts w:ascii="Arial" w:hAnsi="Arial" w:cs="Arial"/>
          <w:szCs w:val="24"/>
        </w:rPr>
      </w:pPr>
    </w:p>
    <w:p w14:paraId="499B871E" w14:textId="77777777" w:rsidR="006156C1" w:rsidRPr="00BB418D" w:rsidRDefault="004C0814" w:rsidP="0006068A">
      <w:pPr>
        <w:tabs>
          <w:tab w:val="left" w:pos="2265"/>
          <w:tab w:val="left" w:pos="3544"/>
          <w:tab w:val="left" w:pos="4320"/>
        </w:tabs>
        <w:rPr>
          <w:rFonts w:ascii="Arial" w:hAnsi="Arial" w:cs="Arial"/>
          <w:b/>
          <w:szCs w:val="24"/>
        </w:rPr>
      </w:pPr>
      <w:r w:rsidRPr="00BB418D">
        <w:rPr>
          <w:rFonts w:ascii="Arial" w:hAnsi="Arial" w:cs="Arial"/>
          <w:b/>
          <w:szCs w:val="24"/>
        </w:rPr>
        <w:t>Sponsor</w:t>
      </w:r>
      <w:r w:rsidR="003D0F7D" w:rsidRPr="00BB418D">
        <w:rPr>
          <w:rFonts w:ascii="Arial" w:hAnsi="Arial" w:cs="Arial"/>
          <w:b/>
          <w:szCs w:val="24"/>
        </w:rPr>
        <w:t>/Applicant</w:t>
      </w:r>
      <w:r w:rsidR="006F0F76" w:rsidRPr="00BB418D">
        <w:rPr>
          <w:rFonts w:ascii="Arial" w:hAnsi="Arial" w:cs="Arial"/>
          <w:b/>
          <w:szCs w:val="24"/>
        </w:rPr>
        <w:t>/s</w:t>
      </w:r>
      <w:r w:rsidRPr="00BB418D">
        <w:rPr>
          <w:rFonts w:ascii="Arial" w:hAnsi="Arial" w:cs="Arial"/>
          <w:b/>
          <w:szCs w:val="24"/>
        </w:rPr>
        <w:t>:</w:t>
      </w:r>
      <w:r w:rsidR="00937076" w:rsidRPr="00BB418D">
        <w:rPr>
          <w:rFonts w:ascii="Arial" w:hAnsi="Arial" w:cs="Arial"/>
          <w:b/>
          <w:szCs w:val="24"/>
        </w:rPr>
        <w:tab/>
      </w:r>
      <w:r w:rsidR="00946E3D">
        <w:rPr>
          <w:rFonts w:ascii="Arial" w:hAnsi="Arial" w:cs="Arial"/>
          <w:b/>
          <w:szCs w:val="24"/>
        </w:rPr>
        <w:t>Given Imaging Pty Ltd</w:t>
      </w:r>
    </w:p>
    <w:p w14:paraId="6E9B73D8" w14:textId="77777777" w:rsidR="006F0F76" w:rsidRPr="00BB418D" w:rsidRDefault="006F0F76" w:rsidP="00D0483F">
      <w:pPr>
        <w:tabs>
          <w:tab w:val="left" w:pos="2265"/>
          <w:tab w:val="left" w:pos="3420"/>
          <w:tab w:val="left" w:pos="4320"/>
        </w:tabs>
        <w:rPr>
          <w:rFonts w:ascii="Arial" w:hAnsi="Arial" w:cs="Arial"/>
          <w:b/>
        </w:rPr>
      </w:pPr>
    </w:p>
    <w:p w14:paraId="5CB81F87" w14:textId="37F06D82" w:rsidR="00DF4B27" w:rsidRPr="002B4CE2" w:rsidRDefault="004C0814" w:rsidP="002B4CE2">
      <w:pPr>
        <w:tabs>
          <w:tab w:val="left" w:pos="3402"/>
          <w:tab w:val="left" w:pos="4320"/>
        </w:tabs>
        <w:ind w:left="3544" w:hanging="3544"/>
        <w:rPr>
          <w:rFonts w:ascii="Arial" w:hAnsi="Arial" w:cs="Arial"/>
          <w:b/>
          <w:szCs w:val="24"/>
        </w:rPr>
      </w:pPr>
      <w:r w:rsidRPr="00BB418D">
        <w:rPr>
          <w:rFonts w:ascii="Arial" w:hAnsi="Arial" w:cs="Arial"/>
          <w:b/>
          <w:szCs w:val="24"/>
        </w:rPr>
        <w:t xml:space="preserve">Date of </w:t>
      </w:r>
      <w:r w:rsidR="0006068A">
        <w:rPr>
          <w:rFonts w:ascii="Arial" w:hAnsi="Arial" w:cs="Arial"/>
          <w:b/>
          <w:szCs w:val="24"/>
        </w:rPr>
        <w:t>MSAC</w:t>
      </w:r>
      <w:r w:rsidRPr="00BB418D">
        <w:rPr>
          <w:rFonts w:ascii="Arial" w:hAnsi="Arial" w:cs="Arial"/>
          <w:b/>
          <w:szCs w:val="24"/>
        </w:rPr>
        <w:t xml:space="preserve"> consideration:</w:t>
      </w:r>
      <w:r w:rsidR="00201963" w:rsidRPr="00BB418D">
        <w:rPr>
          <w:rFonts w:ascii="Arial" w:hAnsi="Arial" w:cs="Arial"/>
          <w:b/>
          <w:szCs w:val="24"/>
        </w:rPr>
        <w:tab/>
      </w:r>
      <w:r w:rsidR="0006068A">
        <w:rPr>
          <w:rFonts w:ascii="Arial" w:hAnsi="Arial" w:cs="Arial"/>
          <w:b/>
          <w:szCs w:val="24"/>
        </w:rPr>
        <w:tab/>
      </w:r>
      <w:r w:rsidR="00946E3D">
        <w:rPr>
          <w:rFonts w:ascii="Arial" w:hAnsi="Arial" w:cs="Arial"/>
          <w:b/>
          <w:szCs w:val="24"/>
        </w:rPr>
        <w:t>1 August 2013</w:t>
      </w:r>
    </w:p>
    <w:p w14:paraId="1E9E53D7" w14:textId="77777777" w:rsidR="002B4CE2" w:rsidRPr="002B4CE2" w:rsidRDefault="002B4CE2" w:rsidP="0070792A">
      <w:pPr>
        <w:pStyle w:val="Heading1"/>
        <w:numPr>
          <w:ilvl w:val="0"/>
          <w:numId w:val="8"/>
        </w:numPr>
        <w:ind w:left="0" w:firstLine="0"/>
        <w:rPr>
          <w:rFonts w:cs="Arial"/>
          <w:szCs w:val="24"/>
        </w:rPr>
      </w:pPr>
      <w:r w:rsidRPr="002B4CE2">
        <w:rPr>
          <w:rFonts w:cs="Arial"/>
          <w:szCs w:val="24"/>
        </w:rPr>
        <w:t>Purpose of application</w:t>
      </w:r>
    </w:p>
    <w:p w14:paraId="3B0311C2" w14:textId="77777777" w:rsidR="00946E3D" w:rsidRPr="00744C2E" w:rsidRDefault="00946E3D" w:rsidP="00E10252">
      <w:pPr>
        <w:tabs>
          <w:tab w:val="left" w:pos="720"/>
          <w:tab w:val="left" w:pos="1140"/>
        </w:tabs>
        <w:rPr>
          <w:szCs w:val="24"/>
        </w:rPr>
      </w:pPr>
      <w:r w:rsidRPr="00744C2E">
        <w:rPr>
          <w:szCs w:val="24"/>
        </w:rPr>
        <w:t>A submission based assessment (SBA) report requesting two amendments to the Medicare Benefits Schedule (MBS) listing of item 11820 for capsule endoscopy (CE) for the investigation of obscure gastrointestinal bleeding (OGIB) was received from Given Imaging Pty Ltd by the Department of Health and Ageing in February 2013. The two amendments include:</w:t>
      </w:r>
    </w:p>
    <w:p w14:paraId="7FCD1138" w14:textId="77777777" w:rsidR="00946E3D" w:rsidRPr="00744C2E" w:rsidRDefault="00946E3D" w:rsidP="00E10252">
      <w:pPr>
        <w:pStyle w:val="ListParagraph"/>
        <w:numPr>
          <w:ilvl w:val="0"/>
          <w:numId w:val="7"/>
        </w:numPr>
        <w:tabs>
          <w:tab w:val="left" w:pos="720"/>
          <w:tab w:val="left" w:pos="1140"/>
        </w:tabs>
        <w:rPr>
          <w:szCs w:val="24"/>
        </w:rPr>
      </w:pPr>
      <w:r w:rsidRPr="00744C2E">
        <w:rPr>
          <w:szCs w:val="24"/>
        </w:rPr>
        <w:t xml:space="preserve">Change of the age restriction to allow children aged 2 and above to receive the service (i.e. change “10 years and over” to “2 years and over”); and </w:t>
      </w:r>
    </w:p>
    <w:p w14:paraId="791A9810" w14:textId="77777777" w:rsidR="00946E3D" w:rsidRPr="00744C2E" w:rsidRDefault="00946E3D" w:rsidP="00E10252">
      <w:pPr>
        <w:pStyle w:val="ListParagraph"/>
        <w:numPr>
          <w:ilvl w:val="0"/>
          <w:numId w:val="7"/>
        </w:numPr>
        <w:tabs>
          <w:tab w:val="left" w:pos="720"/>
          <w:tab w:val="left" w:pos="1140"/>
        </w:tabs>
        <w:ind w:left="714" w:hanging="357"/>
        <w:contextualSpacing w:val="0"/>
        <w:rPr>
          <w:szCs w:val="24"/>
        </w:rPr>
      </w:pPr>
      <w:r w:rsidRPr="00744C2E">
        <w:rPr>
          <w:szCs w:val="24"/>
        </w:rPr>
        <w:t>Removal of the restriction specifying the time duration since the preceding endoscopy and colonoscopy (i.e. removing part (d) of the restriction).</w:t>
      </w:r>
    </w:p>
    <w:p w14:paraId="0C488E6F" w14:textId="77777777" w:rsidR="00946E3D" w:rsidRPr="00744C2E" w:rsidRDefault="00946E3D" w:rsidP="00E10252">
      <w:pPr>
        <w:tabs>
          <w:tab w:val="left" w:pos="720"/>
          <w:tab w:val="left" w:pos="1140"/>
        </w:tabs>
        <w:rPr>
          <w:szCs w:val="24"/>
        </w:rPr>
      </w:pPr>
    </w:p>
    <w:p w14:paraId="568CEC19" w14:textId="77777777" w:rsidR="00946E3D" w:rsidRPr="00744C2E" w:rsidRDefault="00946E3D" w:rsidP="00E10252">
      <w:pPr>
        <w:tabs>
          <w:tab w:val="left" w:pos="720"/>
          <w:tab w:val="left" w:pos="1140"/>
        </w:tabs>
        <w:rPr>
          <w:szCs w:val="24"/>
        </w:rPr>
      </w:pPr>
      <w:r w:rsidRPr="00744C2E">
        <w:rPr>
          <w:szCs w:val="24"/>
        </w:rPr>
        <w:t xml:space="preserve">CE is a non-invasive diagnosis test, usually conducted in an outpatient setting, in which the gastrointestinal (GI) system is visualised via a camera inside an ingested capsule. The test visualises the GI tract mucosa and can be used to diagnose a range of conditions such as OGIB, coeliac disease, small bowel tumours and </w:t>
      </w:r>
      <w:proofErr w:type="spellStart"/>
      <w:r w:rsidRPr="00744C2E">
        <w:rPr>
          <w:szCs w:val="24"/>
        </w:rPr>
        <w:t>Peutz-Jeghers</w:t>
      </w:r>
      <w:proofErr w:type="spellEnd"/>
      <w:r w:rsidRPr="00744C2E">
        <w:rPr>
          <w:szCs w:val="24"/>
        </w:rPr>
        <w:t xml:space="preserve"> syndrome. </w:t>
      </w:r>
    </w:p>
    <w:p w14:paraId="78DD9B1A" w14:textId="77777777" w:rsidR="00E10252" w:rsidRDefault="00E10252" w:rsidP="00E10252">
      <w:pPr>
        <w:tabs>
          <w:tab w:val="left" w:pos="720"/>
          <w:tab w:val="left" w:pos="1140"/>
        </w:tabs>
        <w:rPr>
          <w:szCs w:val="24"/>
        </w:rPr>
      </w:pPr>
    </w:p>
    <w:p w14:paraId="774A68A0" w14:textId="77777777" w:rsidR="00946E3D" w:rsidRPr="00744C2E" w:rsidRDefault="00946E3D" w:rsidP="00E10252">
      <w:pPr>
        <w:tabs>
          <w:tab w:val="left" w:pos="720"/>
          <w:tab w:val="left" w:pos="1140"/>
        </w:tabs>
        <w:rPr>
          <w:szCs w:val="24"/>
        </w:rPr>
      </w:pPr>
      <w:r w:rsidRPr="00744C2E">
        <w:rPr>
          <w:szCs w:val="24"/>
        </w:rPr>
        <w:t>The submission is for an extension of the use of CE for OGIB.</w:t>
      </w:r>
    </w:p>
    <w:p w14:paraId="7C9CB164" w14:textId="77777777" w:rsidR="00D32311" w:rsidRPr="00744C2E" w:rsidRDefault="00D32311" w:rsidP="00E10252">
      <w:pPr>
        <w:tabs>
          <w:tab w:val="left" w:pos="720"/>
          <w:tab w:val="left" w:pos="1140"/>
        </w:tabs>
        <w:rPr>
          <w:szCs w:val="24"/>
        </w:rPr>
      </w:pPr>
    </w:p>
    <w:p w14:paraId="224E3F7E" w14:textId="77777777" w:rsidR="00946E3D" w:rsidRPr="00744C2E" w:rsidRDefault="00946E3D" w:rsidP="00E10252">
      <w:pPr>
        <w:tabs>
          <w:tab w:val="left" w:pos="720"/>
          <w:tab w:val="left" w:pos="1140"/>
        </w:tabs>
        <w:rPr>
          <w:szCs w:val="24"/>
        </w:rPr>
      </w:pPr>
      <w:r w:rsidRPr="00744C2E">
        <w:rPr>
          <w:szCs w:val="24"/>
        </w:rPr>
        <w:t>OGIB is defined as bleeding of unknown origin that persists or recurs after a negative initial or primary endoscopy result. Small intestinal sources of bleeding, whilst uncommon, are responsible for the majority of cases of OGIB.</w:t>
      </w:r>
    </w:p>
    <w:p w14:paraId="68942EF3" w14:textId="77777777" w:rsidR="00E10252" w:rsidRDefault="00E10252" w:rsidP="00E10252">
      <w:pPr>
        <w:tabs>
          <w:tab w:val="left" w:pos="720"/>
          <w:tab w:val="left" w:pos="1140"/>
        </w:tabs>
        <w:rPr>
          <w:szCs w:val="24"/>
        </w:rPr>
      </w:pPr>
    </w:p>
    <w:p w14:paraId="2EE6897C" w14:textId="77777777" w:rsidR="00946E3D" w:rsidRPr="00744C2E" w:rsidRDefault="00946E3D" w:rsidP="00E10252">
      <w:pPr>
        <w:tabs>
          <w:tab w:val="left" w:pos="720"/>
          <w:tab w:val="left" w:pos="1140"/>
        </w:tabs>
        <w:rPr>
          <w:szCs w:val="24"/>
        </w:rPr>
      </w:pPr>
      <w:r w:rsidRPr="00744C2E">
        <w:rPr>
          <w:szCs w:val="24"/>
        </w:rPr>
        <w:t>Clinically, patients may suffer from chronic fatigue and weariness due to persistent or recurrent anaemia. Patients may also suffer from anxiety arising from the uncertainty of the aetiology and pathology of their condition. Patients with severe bleeding may require regular hospitalisation for transfusion procedures (Source: MSAC Application 1057 Assessment Report: 2003).</w:t>
      </w:r>
    </w:p>
    <w:p w14:paraId="5D35232D" w14:textId="77777777" w:rsidR="005746BC" w:rsidRDefault="005746BC" w:rsidP="005746BC">
      <w:pPr>
        <w:pStyle w:val="Heading1"/>
      </w:pPr>
    </w:p>
    <w:p w14:paraId="5A9359FA" w14:textId="77777777" w:rsidR="00B149C6" w:rsidRPr="005746BC" w:rsidRDefault="00B149C6" w:rsidP="00E10252">
      <w:pPr>
        <w:pStyle w:val="Heading1"/>
        <w:numPr>
          <w:ilvl w:val="0"/>
          <w:numId w:val="8"/>
        </w:numPr>
        <w:spacing w:before="0"/>
        <w:ind w:left="0" w:firstLine="0"/>
        <w:rPr>
          <w:rFonts w:cs="Arial"/>
          <w:szCs w:val="24"/>
        </w:rPr>
      </w:pPr>
      <w:r w:rsidRPr="005746BC">
        <w:rPr>
          <w:rFonts w:cs="Arial"/>
          <w:szCs w:val="24"/>
        </w:rPr>
        <w:t>Background</w:t>
      </w:r>
    </w:p>
    <w:p w14:paraId="61EFA37C" w14:textId="30FC6B97" w:rsidR="005746BC" w:rsidRDefault="005746BC" w:rsidP="00E10252">
      <w:pPr>
        <w:tabs>
          <w:tab w:val="left" w:pos="720"/>
          <w:tab w:val="left" w:pos="1140"/>
        </w:tabs>
        <w:rPr>
          <w:szCs w:val="24"/>
        </w:rPr>
      </w:pPr>
      <w:r w:rsidRPr="00744C2E">
        <w:rPr>
          <w:szCs w:val="24"/>
        </w:rPr>
        <w:t>CE for investigation of OGIB in adult patients originally received interim MBS funding following consideration by MSAC in 2003 (Application 1057). In 2005</w:t>
      </w:r>
      <w:r w:rsidR="00E10252">
        <w:rPr>
          <w:szCs w:val="24"/>
        </w:rPr>
        <w:t>,</w:t>
      </w:r>
      <w:r w:rsidRPr="00744C2E">
        <w:rPr>
          <w:szCs w:val="24"/>
        </w:rPr>
        <w:t xml:space="preserve"> the indication was broadened to include patients aged 10 years and over, and in 2007 MSAC reconsidered this indication and recommended full MBS listing.</w:t>
      </w:r>
    </w:p>
    <w:p w14:paraId="2E5C963D" w14:textId="77777777" w:rsidR="00E10252" w:rsidRPr="00744C2E" w:rsidRDefault="00E10252" w:rsidP="00E10252">
      <w:pPr>
        <w:tabs>
          <w:tab w:val="left" w:pos="720"/>
          <w:tab w:val="left" w:pos="1140"/>
        </w:tabs>
        <w:rPr>
          <w:szCs w:val="24"/>
        </w:rPr>
      </w:pPr>
    </w:p>
    <w:p w14:paraId="415FB9D1" w14:textId="77777777" w:rsidR="00B149C6" w:rsidRPr="002B4CE2" w:rsidRDefault="002B4CE2" w:rsidP="00E10252">
      <w:pPr>
        <w:pStyle w:val="Heading1"/>
        <w:spacing w:before="0"/>
      </w:pPr>
      <w:r>
        <w:t>3.</w:t>
      </w:r>
      <w:r>
        <w:tab/>
      </w:r>
      <w:r w:rsidR="00B149C6" w:rsidRPr="002B4CE2">
        <w:t>Prerequisites</w:t>
      </w:r>
      <w:r w:rsidR="00E857D4" w:rsidRPr="002B4CE2">
        <w:t xml:space="preserve"> to implementation of any funding advice</w:t>
      </w:r>
    </w:p>
    <w:p w14:paraId="106864BD" w14:textId="3EE98236" w:rsidR="005746BC" w:rsidRPr="00744C2E" w:rsidRDefault="005746BC" w:rsidP="005653FD">
      <w:pPr>
        <w:tabs>
          <w:tab w:val="left" w:pos="720"/>
          <w:tab w:val="left" w:pos="1140"/>
        </w:tabs>
        <w:rPr>
          <w:szCs w:val="24"/>
        </w:rPr>
      </w:pPr>
      <w:r w:rsidRPr="00744C2E">
        <w:rPr>
          <w:szCs w:val="24"/>
        </w:rPr>
        <w:t xml:space="preserve">The </w:t>
      </w:r>
      <w:proofErr w:type="spellStart"/>
      <w:r w:rsidRPr="00744C2E">
        <w:rPr>
          <w:szCs w:val="24"/>
        </w:rPr>
        <w:t>PillCam</w:t>
      </w:r>
      <w:proofErr w:type="spellEnd"/>
      <w:r w:rsidRPr="00744C2E">
        <w:rPr>
          <w:szCs w:val="24"/>
          <w:vertAlign w:val="superscript"/>
        </w:rPr>
        <w:t>®</w:t>
      </w:r>
      <w:r w:rsidRPr="00744C2E">
        <w:rPr>
          <w:szCs w:val="24"/>
        </w:rPr>
        <w:t xml:space="preserve"> CE system</w:t>
      </w:r>
      <w:r w:rsidR="00E10252">
        <w:rPr>
          <w:szCs w:val="24"/>
        </w:rPr>
        <w:t>, manufactured by</w:t>
      </w:r>
      <w:r w:rsidRPr="00744C2E">
        <w:rPr>
          <w:szCs w:val="24"/>
        </w:rPr>
        <w:t xml:space="preserve"> Given Imaging, was registered on the Australian Register of Therapeutic Goods (ARTG) in 2006. The wording of the intended purpose specified in the registration is </w:t>
      </w:r>
      <w:r w:rsidRPr="00744C2E">
        <w:rPr>
          <w:i/>
          <w:szCs w:val="24"/>
        </w:rPr>
        <w:t xml:space="preserve">The </w:t>
      </w:r>
      <w:proofErr w:type="spellStart"/>
      <w:r w:rsidRPr="00744C2E">
        <w:rPr>
          <w:i/>
          <w:szCs w:val="24"/>
        </w:rPr>
        <w:t>PillCam</w:t>
      </w:r>
      <w:proofErr w:type="spellEnd"/>
      <w:r w:rsidRPr="00744C2E">
        <w:rPr>
          <w:i/>
          <w:szCs w:val="24"/>
        </w:rPr>
        <w:t xml:space="preserve"> Platform with a </w:t>
      </w:r>
      <w:proofErr w:type="spellStart"/>
      <w:r w:rsidRPr="00744C2E">
        <w:rPr>
          <w:i/>
          <w:szCs w:val="24"/>
        </w:rPr>
        <w:t>PillCam</w:t>
      </w:r>
      <w:proofErr w:type="spellEnd"/>
      <w:r w:rsidRPr="00744C2E">
        <w:rPr>
          <w:i/>
          <w:szCs w:val="24"/>
        </w:rPr>
        <w:t xml:space="preserve"> SB capsule is intended for visualisation of the small bowel. The </w:t>
      </w:r>
      <w:proofErr w:type="spellStart"/>
      <w:r w:rsidRPr="00744C2E">
        <w:rPr>
          <w:i/>
          <w:szCs w:val="24"/>
        </w:rPr>
        <w:t>PillCam</w:t>
      </w:r>
      <w:proofErr w:type="spellEnd"/>
      <w:r w:rsidRPr="00744C2E">
        <w:rPr>
          <w:i/>
          <w:szCs w:val="24"/>
        </w:rPr>
        <w:t xml:space="preserve"> SB capsules are intended for use in adults and children from 2 years of age” (ARTG Identifier 130833 Class </w:t>
      </w:r>
      <w:proofErr w:type="spellStart"/>
      <w:r w:rsidRPr="00744C2E">
        <w:rPr>
          <w:i/>
          <w:szCs w:val="24"/>
        </w:rPr>
        <w:t>IIa</w:t>
      </w:r>
      <w:proofErr w:type="spellEnd"/>
      <w:r w:rsidRPr="00744C2E">
        <w:rPr>
          <w:i/>
          <w:szCs w:val="24"/>
        </w:rPr>
        <w:t>)</w:t>
      </w:r>
      <w:r w:rsidRPr="00744C2E">
        <w:rPr>
          <w:szCs w:val="24"/>
        </w:rPr>
        <w:t>. The CE device upon which the interim MSAC listing was made in 2003, the M2A</w:t>
      </w:r>
      <w:r w:rsidRPr="00744C2E">
        <w:rPr>
          <w:szCs w:val="24"/>
          <w:vertAlign w:val="superscript"/>
        </w:rPr>
        <w:t xml:space="preserve">® </w:t>
      </w:r>
      <w:r w:rsidRPr="00744C2E">
        <w:rPr>
          <w:szCs w:val="24"/>
        </w:rPr>
        <w:t>Capsule Endoscope, is no longer listed on the ARTG (formerly ARTG no. AUST L 78651).</w:t>
      </w:r>
    </w:p>
    <w:p w14:paraId="7F631665" w14:textId="77777777" w:rsidR="005653FD" w:rsidRDefault="005653FD" w:rsidP="005653FD">
      <w:pPr>
        <w:tabs>
          <w:tab w:val="left" w:pos="720"/>
          <w:tab w:val="left" w:pos="1140"/>
        </w:tabs>
        <w:rPr>
          <w:szCs w:val="24"/>
        </w:rPr>
      </w:pPr>
    </w:p>
    <w:p w14:paraId="220926F9" w14:textId="77777777" w:rsidR="00D32311" w:rsidRDefault="005746BC" w:rsidP="005653FD">
      <w:pPr>
        <w:tabs>
          <w:tab w:val="left" w:pos="720"/>
          <w:tab w:val="left" w:pos="1140"/>
        </w:tabs>
        <w:rPr>
          <w:szCs w:val="24"/>
        </w:rPr>
      </w:pPr>
      <w:r w:rsidRPr="00744C2E">
        <w:rPr>
          <w:szCs w:val="24"/>
        </w:rPr>
        <w:t>The current descriptor for MBS item 11820 includes the requirement that patients have undergone both upper GI endoscopy and colonoscopy which have not identified the cause of the GI bleeding. The CE procedure is to be performed within six months of the upper GI endoscopy and colonoscopy, and provided to patients aged 10 years or over.</w:t>
      </w:r>
    </w:p>
    <w:p w14:paraId="175F1BA7" w14:textId="77777777" w:rsidR="005653FD" w:rsidRPr="00744C2E" w:rsidRDefault="005653FD" w:rsidP="005653FD">
      <w:pPr>
        <w:tabs>
          <w:tab w:val="left" w:pos="720"/>
          <w:tab w:val="left" w:pos="1140"/>
        </w:tabs>
        <w:rPr>
          <w:szCs w:val="24"/>
        </w:rPr>
      </w:pPr>
    </w:p>
    <w:p w14:paraId="5428DA2D" w14:textId="77777777" w:rsidR="00A34BD3" w:rsidRPr="002B4CE2" w:rsidRDefault="002B4CE2" w:rsidP="005653FD">
      <w:pPr>
        <w:pStyle w:val="Heading1"/>
        <w:spacing w:before="0"/>
      </w:pPr>
      <w:r>
        <w:t>4.</w:t>
      </w:r>
      <w:r>
        <w:tab/>
      </w:r>
      <w:r w:rsidR="00133D8B" w:rsidRPr="002B4CE2">
        <w:t>Proposal for public funding</w:t>
      </w:r>
    </w:p>
    <w:p w14:paraId="3E46C145" w14:textId="77777777" w:rsidR="005746BC" w:rsidRPr="00744C2E" w:rsidRDefault="005746BC" w:rsidP="005653FD">
      <w:pPr>
        <w:tabs>
          <w:tab w:val="left" w:pos="720"/>
          <w:tab w:val="left" w:pos="1140"/>
        </w:tabs>
        <w:rPr>
          <w:szCs w:val="24"/>
        </w:rPr>
      </w:pPr>
      <w:r w:rsidRPr="00744C2E">
        <w:rPr>
          <w:szCs w:val="24"/>
        </w:rPr>
        <w:t>The proposal for public funding is amendments for item 11820 to include children aged 2 years and over, and the removal of the ‘six month’ rule specifying the time restriction for the preceding endoscopy and colonoscopy.</w:t>
      </w:r>
    </w:p>
    <w:p w14:paraId="3B715480" w14:textId="77777777" w:rsidR="005746BC" w:rsidRPr="00E70677" w:rsidRDefault="005746BC" w:rsidP="00E70677">
      <w:pPr>
        <w:pStyle w:val="Heading2"/>
      </w:pPr>
      <w:proofErr w:type="gramStart"/>
      <w:r w:rsidRPr="00E70677">
        <w:t>Table 1.</w:t>
      </w:r>
      <w:proofErr w:type="gramEnd"/>
      <w:r w:rsidRPr="00E70677">
        <w:t xml:space="preserve"> Proposed MBS item descriptor included in the SBA report</w:t>
      </w:r>
    </w:p>
    <w:tbl>
      <w:tblPr>
        <w:tblW w:w="491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item descriptor"/>
      </w:tblPr>
      <w:tblGrid>
        <w:gridCol w:w="9090"/>
      </w:tblGrid>
      <w:tr w:rsidR="005746BC" w:rsidRPr="00D33FC3" w14:paraId="389B6669" w14:textId="77777777" w:rsidTr="003A1C75">
        <w:tc>
          <w:tcPr>
            <w:tcW w:w="5000" w:type="pct"/>
          </w:tcPr>
          <w:p w14:paraId="05C38394" w14:textId="77777777" w:rsidR="005746BC" w:rsidRPr="00D33FC3" w:rsidRDefault="005746BC" w:rsidP="003A1C75">
            <w:pPr>
              <w:pStyle w:val="Tabletextright"/>
              <w:rPr>
                <w:sz w:val="24"/>
              </w:rPr>
            </w:pPr>
            <w:r w:rsidRPr="006747FC">
              <w:t>Category 2 - DIAGNOSTIC PROCEDURES AND INVESTIGATIONS</w:t>
            </w:r>
          </w:p>
        </w:tc>
      </w:tr>
      <w:tr w:rsidR="005746BC" w:rsidRPr="00C03585" w14:paraId="030B479E" w14:textId="77777777" w:rsidTr="003A1C75">
        <w:tc>
          <w:tcPr>
            <w:tcW w:w="5000" w:type="pct"/>
          </w:tcPr>
          <w:p w14:paraId="3CB492FA" w14:textId="77777777" w:rsidR="005746BC" w:rsidRDefault="005746BC" w:rsidP="003A1C75">
            <w:pPr>
              <w:pStyle w:val="Tabletext"/>
              <w:rPr>
                <w:snapToGrid w:val="0"/>
              </w:rPr>
            </w:pPr>
            <w:r>
              <w:rPr>
                <w:snapToGrid w:val="0"/>
              </w:rPr>
              <w:t>11820</w:t>
            </w:r>
          </w:p>
          <w:p w14:paraId="76774993" w14:textId="77777777" w:rsidR="005746BC" w:rsidRPr="006747FC" w:rsidRDefault="005746BC" w:rsidP="003A1C75">
            <w:pPr>
              <w:pStyle w:val="Tabletext"/>
              <w:rPr>
                <w:snapToGrid w:val="0"/>
              </w:rPr>
            </w:pPr>
            <w:r w:rsidRPr="006747FC">
              <w:rPr>
                <w:snapToGrid w:val="0"/>
              </w:rPr>
              <w:t>CAPSULE ENDOSCOPY to investigate an episode of obscure gastrointestinal bleeding, using a capsule endoscopy device approved by the Therapeutic Goods Administration (including administration of the capsule, imaging, image reading and interpretation, and all attendances for providing the service on the day the capsule is administered), (not being a service associated with double balloon enteroscopy), if:</w:t>
            </w:r>
          </w:p>
          <w:p w14:paraId="594E748D" w14:textId="77777777" w:rsidR="005746BC" w:rsidRPr="006747FC" w:rsidRDefault="005746BC" w:rsidP="003A1C75">
            <w:pPr>
              <w:pStyle w:val="Tabletext"/>
              <w:rPr>
                <w:snapToGrid w:val="0"/>
              </w:rPr>
            </w:pPr>
            <w:r>
              <w:rPr>
                <w:snapToGrid w:val="0"/>
              </w:rPr>
              <w:t xml:space="preserve">(a) </w:t>
            </w:r>
            <w:r w:rsidRPr="006747FC">
              <w:rPr>
                <w:snapToGrid w:val="0"/>
              </w:rPr>
              <w:t>the service is performed by a specialist or consultant physician with endoscopic training that is recognised by The Conjoint Committee for the Recognition of Training in Gastrointestinal Endoscopy; and</w:t>
            </w:r>
          </w:p>
          <w:p w14:paraId="31DA31A5" w14:textId="77777777" w:rsidR="005746BC" w:rsidRPr="006747FC" w:rsidRDefault="005746BC" w:rsidP="003A1C75">
            <w:pPr>
              <w:pStyle w:val="Tabletext"/>
              <w:rPr>
                <w:snapToGrid w:val="0"/>
              </w:rPr>
            </w:pPr>
            <w:r>
              <w:rPr>
                <w:snapToGrid w:val="0"/>
              </w:rPr>
              <w:t xml:space="preserve">(b) </w:t>
            </w:r>
            <w:r w:rsidRPr="006747FC">
              <w:rPr>
                <w:snapToGrid w:val="0"/>
              </w:rPr>
              <w:t>the patient to whom the service is provided:</w:t>
            </w:r>
          </w:p>
          <w:p w14:paraId="1AAF5A6A" w14:textId="424F8505" w:rsidR="005746BC" w:rsidRPr="006747FC" w:rsidRDefault="005746BC" w:rsidP="003A1C75">
            <w:pPr>
              <w:pStyle w:val="Tabletext"/>
              <w:ind w:left="720"/>
              <w:rPr>
                <w:snapToGrid w:val="0"/>
              </w:rPr>
            </w:pPr>
            <w:r w:rsidRPr="006747FC">
              <w:rPr>
                <w:snapToGrid w:val="0"/>
              </w:rPr>
              <w:t>(</w:t>
            </w:r>
            <w:proofErr w:type="spellStart"/>
            <w:r w:rsidRPr="006747FC">
              <w:rPr>
                <w:snapToGrid w:val="0"/>
              </w:rPr>
              <w:t>i</w:t>
            </w:r>
            <w:proofErr w:type="spellEnd"/>
            <w:r w:rsidRPr="006747FC">
              <w:rPr>
                <w:snapToGrid w:val="0"/>
              </w:rPr>
              <w:t>) is aged 2 years or over; and</w:t>
            </w:r>
          </w:p>
          <w:p w14:paraId="542C5552" w14:textId="7FAED79F" w:rsidR="005746BC" w:rsidRPr="006747FC" w:rsidRDefault="005746BC" w:rsidP="003A1C75">
            <w:pPr>
              <w:pStyle w:val="Tabletext"/>
              <w:ind w:left="720"/>
              <w:rPr>
                <w:snapToGrid w:val="0"/>
              </w:rPr>
            </w:pPr>
            <w:r w:rsidRPr="006747FC">
              <w:rPr>
                <w:snapToGrid w:val="0"/>
              </w:rPr>
              <w:t>(ii) has recurrent or persistent bleeding; and</w:t>
            </w:r>
          </w:p>
          <w:p w14:paraId="43D20933" w14:textId="7192E18D" w:rsidR="005746BC" w:rsidRPr="006747FC" w:rsidRDefault="005746BC" w:rsidP="003A1C75">
            <w:pPr>
              <w:pStyle w:val="Tabletext"/>
              <w:ind w:left="720"/>
              <w:rPr>
                <w:snapToGrid w:val="0"/>
              </w:rPr>
            </w:pPr>
            <w:r w:rsidRPr="006747FC">
              <w:rPr>
                <w:snapToGrid w:val="0"/>
              </w:rPr>
              <w:t>(iii) is anaemic or has active bleeding; and</w:t>
            </w:r>
          </w:p>
          <w:p w14:paraId="6BB7BE45" w14:textId="77777777" w:rsidR="005746BC" w:rsidRPr="007F029F" w:rsidRDefault="005746BC" w:rsidP="003A1C75">
            <w:pPr>
              <w:pStyle w:val="Tabletext"/>
              <w:rPr>
                <w:snapToGrid w:val="0"/>
              </w:rPr>
            </w:pPr>
            <w:r>
              <w:rPr>
                <w:snapToGrid w:val="0"/>
              </w:rPr>
              <w:t xml:space="preserve">(c) </w:t>
            </w:r>
            <w:r w:rsidRPr="006747FC">
              <w:rPr>
                <w:snapToGrid w:val="0"/>
              </w:rPr>
              <w:t>an upper gastrointestinal endoscopy and a colonoscopy have been performed on the patient and have not ident</w:t>
            </w:r>
            <w:r>
              <w:rPr>
                <w:snapToGrid w:val="0"/>
              </w:rPr>
              <w:t>ified the cause of the bleeding</w:t>
            </w:r>
          </w:p>
        </w:tc>
      </w:tr>
      <w:tr w:rsidR="005746BC" w:rsidRPr="00C03585" w14:paraId="0F9FEE65" w14:textId="77777777" w:rsidTr="003A1C75">
        <w:tc>
          <w:tcPr>
            <w:tcW w:w="5000" w:type="pct"/>
          </w:tcPr>
          <w:p w14:paraId="62C73743" w14:textId="77777777" w:rsidR="005746BC" w:rsidRDefault="005746BC" w:rsidP="003A1C75">
            <w:pPr>
              <w:pStyle w:val="Tabletext"/>
              <w:rPr>
                <w:sz w:val="24"/>
              </w:rPr>
            </w:pPr>
            <w:r w:rsidRPr="00C03585">
              <w:t xml:space="preserve">Fee: </w:t>
            </w:r>
            <w:r w:rsidRPr="006747FC">
              <w:t>$2,039.20 Benefit: 75% = $1,529.40 85% = $1,964.70</w:t>
            </w:r>
          </w:p>
        </w:tc>
      </w:tr>
    </w:tbl>
    <w:p w14:paraId="00BA2E19" w14:textId="77777777" w:rsidR="005746BC" w:rsidRDefault="005746BC" w:rsidP="005653FD">
      <w:pPr>
        <w:tabs>
          <w:tab w:val="left" w:pos="720"/>
          <w:tab w:val="left" w:pos="1140"/>
        </w:tabs>
        <w:rPr>
          <w:rFonts w:ascii="Arial" w:hAnsi="Arial" w:cs="Arial"/>
          <w:szCs w:val="24"/>
        </w:rPr>
      </w:pPr>
    </w:p>
    <w:p w14:paraId="01871D19" w14:textId="7B542F00" w:rsidR="005746BC" w:rsidRPr="00744C2E" w:rsidRDefault="005746BC" w:rsidP="005653FD">
      <w:pPr>
        <w:tabs>
          <w:tab w:val="left" w:pos="720"/>
          <w:tab w:val="left" w:pos="1140"/>
        </w:tabs>
        <w:rPr>
          <w:szCs w:val="24"/>
        </w:rPr>
      </w:pPr>
      <w:r w:rsidRPr="00744C2E">
        <w:rPr>
          <w:szCs w:val="24"/>
        </w:rPr>
        <w:t>The proposal indicate</w:t>
      </w:r>
      <w:r w:rsidR="005653FD">
        <w:rPr>
          <w:szCs w:val="24"/>
        </w:rPr>
        <w:t>d</w:t>
      </w:r>
      <w:r w:rsidRPr="00744C2E">
        <w:rPr>
          <w:szCs w:val="24"/>
        </w:rPr>
        <w:t xml:space="preserve"> that CE </w:t>
      </w:r>
      <w:proofErr w:type="gramStart"/>
      <w:r w:rsidRPr="00744C2E">
        <w:rPr>
          <w:szCs w:val="24"/>
        </w:rPr>
        <w:t>be</w:t>
      </w:r>
      <w:proofErr w:type="gramEnd"/>
      <w:r w:rsidRPr="00744C2E">
        <w:rPr>
          <w:szCs w:val="24"/>
        </w:rPr>
        <w:t xml:space="preserve"> restricted to patients who:</w:t>
      </w:r>
    </w:p>
    <w:p w14:paraId="3773FB69" w14:textId="77777777" w:rsidR="005746BC" w:rsidRPr="00744C2E" w:rsidRDefault="005746BC" w:rsidP="005653FD">
      <w:pPr>
        <w:pStyle w:val="ListParagraph"/>
        <w:numPr>
          <w:ilvl w:val="0"/>
          <w:numId w:val="9"/>
        </w:numPr>
        <w:tabs>
          <w:tab w:val="left" w:pos="720"/>
          <w:tab w:val="left" w:pos="1140"/>
        </w:tabs>
        <w:rPr>
          <w:szCs w:val="24"/>
        </w:rPr>
      </w:pPr>
      <w:r w:rsidRPr="00744C2E">
        <w:rPr>
          <w:szCs w:val="24"/>
        </w:rPr>
        <w:t>Are aged 2 years or over; and</w:t>
      </w:r>
    </w:p>
    <w:p w14:paraId="7780BA60" w14:textId="77777777" w:rsidR="005746BC" w:rsidRPr="00744C2E" w:rsidRDefault="005746BC" w:rsidP="005653FD">
      <w:pPr>
        <w:pStyle w:val="ListParagraph"/>
        <w:numPr>
          <w:ilvl w:val="0"/>
          <w:numId w:val="9"/>
        </w:numPr>
        <w:tabs>
          <w:tab w:val="left" w:pos="720"/>
          <w:tab w:val="left" w:pos="1140"/>
        </w:tabs>
        <w:rPr>
          <w:szCs w:val="24"/>
        </w:rPr>
      </w:pPr>
      <w:r w:rsidRPr="00744C2E">
        <w:rPr>
          <w:szCs w:val="24"/>
        </w:rPr>
        <w:t>Have recurrent or persistent bleeding; and</w:t>
      </w:r>
    </w:p>
    <w:p w14:paraId="207AF48E" w14:textId="77777777" w:rsidR="005746BC" w:rsidRPr="00744C2E" w:rsidRDefault="005746BC" w:rsidP="005653FD">
      <w:pPr>
        <w:pStyle w:val="ListParagraph"/>
        <w:numPr>
          <w:ilvl w:val="0"/>
          <w:numId w:val="9"/>
        </w:numPr>
        <w:tabs>
          <w:tab w:val="left" w:pos="720"/>
          <w:tab w:val="left" w:pos="1140"/>
        </w:tabs>
        <w:rPr>
          <w:szCs w:val="24"/>
        </w:rPr>
      </w:pPr>
      <w:r w:rsidRPr="00744C2E">
        <w:rPr>
          <w:szCs w:val="24"/>
        </w:rPr>
        <w:t>Are anaemic or have active bleeding.</w:t>
      </w:r>
    </w:p>
    <w:p w14:paraId="60C13086" w14:textId="77777777" w:rsidR="005653FD" w:rsidRDefault="005653FD" w:rsidP="005653FD">
      <w:pPr>
        <w:tabs>
          <w:tab w:val="left" w:pos="720"/>
          <w:tab w:val="left" w:pos="1140"/>
        </w:tabs>
        <w:rPr>
          <w:szCs w:val="24"/>
        </w:rPr>
      </w:pPr>
    </w:p>
    <w:p w14:paraId="2804B2D8" w14:textId="679C1C31" w:rsidR="005746BC" w:rsidRPr="00744C2E" w:rsidRDefault="005746BC" w:rsidP="005653FD">
      <w:pPr>
        <w:tabs>
          <w:tab w:val="left" w:pos="720"/>
          <w:tab w:val="left" w:pos="1140"/>
        </w:tabs>
        <w:rPr>
          <w:szCs w:val="24"/>
        </w:rPr>
      </w:pPr>
      <w:r w:rsidRPr="00744C2E">
        <w:rPr>
          <w:szCs w:val="24"/>
        </w:rPr>
        <w:t>The proposal specifie</w:t>
      </w:r>
      <w:r w:rsidR="005653FD">
        <w:rPr>
          <w:szCs w:val="24"/>
        </w:rPr>
        <w:t>d</w:t>
      </w:r>
      <w:r w:rsidRPr="00744C2E">
        <w:rPr>
          <w:szCs w:val="24"/>
        </w:rPr>
        <w:t xml:space="preserve"> that an upper GI endoscopy and a colonoscopy have been performed on the patient and have not identified the cause of the bleeding.</w:t>
      </w:r>
    </w:p>
    <w:p w14:paraId="6E6F5DFE" w14:textId="77777777" w:rsidR="005653FD" w:rsidRDefault="005653FD" w:rsidP="005653FD">
      <w:pPr>
        <w:tabs>
          <w:tab w:val="left" w:pos="720"/>
          <w:tab w:val="left" w:pos="1140"/>
        </w:tabs>
        <w:rPr>
          <w:szCs w:val="24"/>
        </w:rPr>
      </w:pPr>
    </w:p>
    <w:p w14:paraId="574DD857" w14:textId="77777777" w:rsidR="0079412A" w:rsidRPr="00BB418D" w:rsidRDefault="005746BC" w:rsidP="005653FD">
      <w:pPr>
        <w:tabs>
          <w:tab w:val="left" w:pos="720"/>
          <w:tab w:val="left" w:pos="1140"/>
        </w:tabs>
        <w:rPr>
          <w:szCs w:val="24"/>
        </w:rPr>
      </w:pPr>
      <w:r w:rsidRPr="00744C2E">
        <w:rPr>
          <w:szCs w:val="24"/>
        </w:rPr>
        <w:t>The service is to be performed by specialists or consultant physicians with endoscopic training that is recognised by The Conjoint Committee for the Recognition of Training in Gastrointestinal Endoscopy.</w:t>
      </w:r>
    </w:p>
    <w:p w14:paraId="60717392" w14:textId="77777777" w:rsidR="00426F5C" w:rsidRPr="002B4CE2" w:rsidRDefault="002B4CE2" w:rsidP="005653FD">
      <w:pPr>
        <w:pStyle w:val="Heading1"/>
        <w:spacing w:before="0"/>
      </w:pPr>
      <w:r>
        <w:lastRenderedPageBreak/>
        <w:t>5.</w:t>
      </w:r>
      <w:r>
        <w:tab/>
      </w:r>
      <w:r w:rsidR="00D03BC1" w:rsidRPr="002B4CE2">
        <w:t>Consumer Impact Statement</w:t>
      </w:r>
    </w:p>
    <w:p w14:paraId="33027283" w14:textId="2D142EBE" w:rsidR="005653FD" w:rsidRDefault="005653FD" w:rsidP="005653FD">
      <w:pPr>
        <w:tabs>
          <w:tab w:val="left" w:pos="720"/>
          <w:tab w:val="left" w:pos="1140"/>
        </w:tabs>
        <w:rPr>
          <w:szCs w:val="24"/>
        </w:rPr>
      </w:pPr>
      <w:r>
        <w:rPr>
          <w:szCs w:val="24"/>
        </w:rPr>
        <w:t>Nil</w:t>
      </w:r>
    </w:p>
    <w:p w14:paraId="7FEFC98D" w14:textId="77777777" w:rsidR="005653FD" w:rsidRPr="00BB418D" w:rsidRDefault="005653FD" w:rsidP="005653FD">
      <w:pPr>
        <w:tabs>
          <w:tab w:val="left" w:pos="720"/>
          <w:tab w:val="left" w:pos="1140"/>
        </w:tabs>
        <w:rPr>
          <w:szCs w:val="24"/>
        </w:rPr>
      </w:pPr>
    </w:p>
    <w:p w14:paraId="67F7B42C" w14:textId="77777777" w:rsidR="003D0F7D" w:rsidRPr="002B4CE2" w:rsidRDefault="002B4CE2" w:rsidP="005653FD">
      <w:pPr>
        <w:pStyle w:val="Heading1"/>
        <w:spacing w:before="0"/>
      </w:pPr>
      <w:r>
        <w:t>6.</w:t>
      </w:r>
      <w:r>
        <w:tab/>
      </w:r>
      <w:r w:rsidR="004E6F63" w:rsidRPr="002B4CE2">
        <w:t>Proposed i</w:t>
      </w:r>
      <w:r w:rsidR="00422B7E" w:rsidRPr="002B4CE2">
        <w:t>ntervention’s place in clinical management</w:t>
      </w:r>
    </w:p>
    <w:p w14:paraId="24C7F632" w14:textId="09223DD8" w:rsidR="003A1C75" w:rsidRPr="00744C2E" w:rsidRDefault="003A1C75" w:rsidP="005653FD">
      <w:pPr>
        <w:tabs>
          <w:tab w:val="left" w:pos="720"/>
          <w:tab w:val="left" w:pos="1140"/>
        </w:tabs>
        <w:rPr>
          <w:szCs w:val="24"/>
        </w:rPr>
      </w:pPr>
      <w:r w:rsidRPr="00744C2E">
        <w:rPr>
          <w:szCs w:val="24"/>
        </w:rPr>
        <w:t>The applicant indicate</w:t>
      </w:r>
      <w:r w:rsidR="00B844F6">
        <w:rPr>
          <w:szCs w:val="24"/>
        </w:rPr>
        <w:t>d</w:t>
      </w:r>
      <w:r w:rsidRPr="00744C2E">
        <w:rPr>
          <w:szCs w:val="24"/>
        </w:rPr>
        <w:t xml:space="preserve"> that, for paediatric patients, the additional diagnostic ability offered by CE means that treatment can be better targeted and these patients are not exposed to treatments with potentially harmful side effects or adverse events unnecessarily, thereby providing superior effectiveness in the clinical management of these patients.</w:t>
      </w:r>
    </w:p>
    <w:p w14:paraId="48ADBF4B" w14:textId="77777777" w:rsidR="00B844F6" w:rsidRDefault="00B844F6" w:rsidP="005653FD">
      <w:pPr>
        <w:tabs>
          <w:tab w:val="left" w:pos="720"/>
          <w:tab w:val="left" w:pos="1140"/>
        </w:tabs>
        <w:rPr>
          <w:szCs w:val="24"/>
        </w:rPr>
      </w:pPr>
    </w:p>
    <w:p w14:paraId="263C9975" w14:textId="01AB2CB6" w:rsidR="003A1C75" w:rsidRDefault="003A1C75" w:rsidP="005653FD">
      <w:pPr>
        <w:tabs>
          <w:tab w:val="left" w:pos="720"/>
          <w:tab w:val="left" w:pos="1140"/>
        </w:tabs>
        <w:rPr>
          <w:szCs w:val="24"/>
        </w:rPr>
      </w:pPr>
      <w:r w:rsidRPr="00744C2E">
        <w:rPr>
          <w:szCs w:val="24"/>
        </w:rPr>
        <w:t>The applicant also suggest</w:t>
      </w:r>
      <w:r w:rsidR="00B844F6">
        <w:rPr>
          <w:szCs w:val="24"/>
        </w:rPr>
        <w:t>ed</w:t>
      </w:r>
      <w:r w:rsidRPr="00744C2E">
        <w:rPr>
          <w:szCs w:val="24"/>
        </w:rPr>
        <w:t xml:space="preserve"> that, by removing the ‘six-month’ rule, patients will avoid repeat colonoscopy and endoscopy procedures that have been shown to have a high chance of producing no clinical benefit in this particular patient population. The removal of the ‘six month’ rule will improve the clinical management of these patients (by avoiding unnecessary invasive tests).</w:t>
      </w:r>
    </w:p>
    <w:p w14:paraId="0CEEEAC9" w14:textId="77777777" w:rsidR="005653FD" w:rsidRPr="00744C2E" w:rsidRDefault="005653FD" w:rsidP="005653FD">
      <w:pPr>
        <w:tabs>
          <w:tab w:val="left" w:pos="720"/>
          <w:tab w:val="left" w:pos="1140"/>
        </w:tabs>
        <w:rPr>
          <w:szCs w:val="24"/>
        </w:rPr>
      </w:pPr>
    </w:p>
    <w:p w14:paraId="7DD7E74E" w14:textId="77777777" w:rsidR="0079412A" w:rsidRDefault="003A1C75" w:rsidP="005653FD">
      <w:pPr>
        <w:tabs>
          <w:tab w:val="left" w:pos="720"/>
          <w:tab w:val="left" w:pos="1140"/>
        </w:tabs>
        <w:rPr>
          <w:szCs w:val="24"/>
        </w:rPr>
      </w:pPr>
      <w:r w:rsidRPr="00744C2E">
        <w:rPr>
          <w:szCs w:val="24"/>
        </w:rPr>
        <w:t>The SBA report did not include a clinical management algorithm.</w:t>
      </w:r>
    </w:p>
    <w:p w14:paraId="44B1D46C" w14:textId="77777777" w:rsidR="005653FD" w:rsidRPr="00BB418D" w:rsidRDefault="005653FD" w:rsidP="005653FD">
      <w:pPr>
        <w:tabs>
          <w:tab w:val="left" w:pos="720"/>
          <w:tab w:val="left" w:pos="1140"/>
        </w:tabs>
        <w:rPr>
          <w:szCs w:val="24"/>
        </w:rPr>
      </w:pPr>
    </w:p>
    <w:p w14:paraId="5ED19851" w14:textId="77777777" w:rsidR="00865C26" w:rsidRPr="002B4CE2" w:rsidRDefault="002B4CE2" w:rsidP="005653FD">
      <w:pPr>
        <w:pStyle w:val="Heading1"/>
        <w:spacing w:before="0"/>
      </w:pPr>
      <w:r>
        <w:t>7.</w:t>
      </w:r>
      <w:r>
        <w:tab/>
      </w:r>
      <w:r w:rsidR="00865C26" w:rsidRPr="002B4CE2">
        <w:t>Other options for MSAC consideration</w:t>
      </w:r>
    </w:p>
    <w:p w14:paraId="6D727BE9" w14:textId="4E064DFB" w:rsidR="00B844F6" w:rsidRDefault="00B844F6" w:rsidP="00B844F6">
      <w:pPr>
        <w:jc w:val="both"/>
        <w:rPr>
          <w:szCs w:val="24"/>
        </w:rPr>
      </w:pPr>
      <w:r>
        <w:rPr>
          <w:szCs w:val="24"/>
        </w:rPr>
        <w:t>Nil</w:t>
      </w:r>
    </w:p>
    <w:p w14:paraId="5C0885EA" w14:textId="77777777" w:rsidR="00B844F6" w:rsidRPr="00744C2E" w:rsidRDefault="00B844F6">
      <w:pPr>
        <w:jc w:val="both"/>
        <w:rPr>
          <w:szCs w:val="24"/>
        </w:rPr>
      </w:pPr>
    </w:p>
    <w:p w14:paraId="405EC4ED" w14:textId="77777777" w:rsidR="00937076" w:rsidRPr="002B4CE2" w:rsidRDefault="002B4CE2">
      <w:pPr>
        <w:pStyle w:val="Heading1"/>
        <w:spacing w:before="0"/>
      </w:pPr>
      <w:r>
        <w:t>8.</w:t>
      </w:r>
      <w:r>
        <w:tab/>
      </w:r>
      <w:r w:rsidR="00937076" w:rsidRPr="002B4CE2">
        <w:t>Comparator</w:t>
      </w:r>
      <w:r w:rsidR="00094129" w:rsidRPr="002B4CE2">
        <w:t xml:space="preserve"> to the </w:t>
      </w:r>
      <w:r w:rsidR="00B7306D" w:rsidRPr="002B4CE2">
        <w:t>proposed i</w:t>
      </w:r>
      <w:r w:rsidR="00094129" w:rsidRPr="002B4CE2">
        <w:t>ntervention</w:t>
      </w:r>
    </w:p>
    <w:p w14:paraId="0EB59C94" w14:textId="6C15E7A8" w:rsidR="003A1C75" w:rsidRDefault="003A1C75" w:rsidP="00B844F6">
      <w:r w:rsidRPr="00744C2E">
        <w:t xml:space="preserve">The SBA report </w:t>
      </w:r>
      <w:r w:rsidR="00B844F6" w:rsidRPr="00744C2E">
        <w:t>d</w:t>
      </w:r>
      <w:r w:rsidR="00B844F6">
        <w:t>id</w:t>
      </w:r>
      <w:r w:rsidR="00B844F6" w:rsidRPr="00744C2E">
        <w:t xml:space="preserve"> </w:t>
      </w:r>
      <w:r w:rsidRPr="00744C2E">
        <w:t>not nominate a comparator for CE in patients aged 2-10 years. The prior assessment of CE for the evaluation of OGIB in adult patients nominated small bowel series (SBS) as the main comparator.</w:t>
      </w:r>
    </w:p>
    <w:p w14:paraId="7164D6DD" w14:textId="77777777" w:rsidR="00B844F6" w:rsidRPr="00744C2E" w:rsidRDefault="00B844F6" w:rsidP="00B844F6"/>
    <w:p w14:paraId="6844A37E" w14:textId="1F6502CE" w:rsidR="003A1C75" w:rsidRDefault="003A1C75" w:rsidP="00B844F6">
      <w:r w:rsidRPr="00744C2E">
        <w:t>In regard to the removal of the ‘six month’ rule, the SBA report use</w:t>
      </w:r>
      <w:r w:rsidR="00B844F6">
        <w:t>d</w:t>
      </w:r>
      <w:r w:rsidRPr="00744C2E">
        <w:t xml:space="preserve"> the current requirement that CE be performed within 6 months of the upper GI endoscopy and colonoscopy as the comparator.</w:t>
      </w:r>
      <w:r w:rsidR="0003690A">
        <w:t xml:space="preserve"> In other words, if a patient required further investigation of OGIB over 6 months following upper GI endoscopy and colonoscopy, then these procedures would need to be repeated prior to CE</w:t>
      </w:r>
      <w:r w:rsidR="000F4375">
        <w:t>.</w:t>
      </w:r>
    </w:p>
    <w:p w14:paraId="4493CA0E" w14:textId="77777777" w:rsidR="00B844F6" w:rsidRPr="00744C2E" w:rsidRDefault="00B844F6" w:rsidP="00B844F6"/>
    <w:p w14:paraId="2C410EC9" w14:textId="77777777" w:rsidR="003A1C75" w:rsidRDefault="003A1C75" w:rsidP="00B844F6">
      <w:r w:rsidRPr="00744C2E">
        <w:t>The SBA report has been submitted without prior development of a DAP. As such, the PASC has not had the opportunity to consider the appropriate comparator for each requested amendment.</w:t>
      </w:r>
    </w:p>
    <w:p w14:paraId="74BB58F8" w14:textId="77777777" w:rsidR="00B844F6" w:rsidRPr="00744C2E" w:rsidRDefault="00B844F6" w:rsidP="00B844F6"/>
    <w:p w14:paraId="56E11214" w14:textId="77777777" w:rsidR="003A1C75" w:rsidRPr="00744C2E" w:rsidRDefault="003A1C75" w:rsidP="00B844F6">
      <w:pPr>
        <w:tabs>
          <w:tab w:val="left" w:pos="720"/>
          <w:tab w:val="left" w:pos="1140"/>
        </w:tabs>
        <w:rPr>
          <w:szCs w:val="24"/>
        </w:rPr>
      </w:pPr>
      <w:r w:rsidRPr="00744C2E">
        <w:rPr>
          <w:szCs w:val="24"/>
        </w:rPr>
        <w:t>The accepted comparator is currently listed on the MBS (item 11820).</w:t>
      </w:r>
    </w:p>
    <w:p w14:paraId="525112C9" w14:textId="77777777" w:rsidR="00B844F6" w:rsidRDefault="00B844F6" w:rsidP="00B844F6">
      <w:bookmarkStart w:id="0" w:name="_Ref351036121"/>
    </w:p>
    <w:p w14:paraId="43F8B868" w14:textId="77777777" w:rsidR="00231340" w:rsidRDefault="00231340">
      <w:r>
        <w:br w:type="page"/>
      </w:r>
    </w:p>
    <w:p w14:paraId="137F7A09" w14:textId="3995D427" w:rsidR="003A1C75" w:rsidRPr="00744C2E" w:rsidRDefault="003A1C75" w:rsidP="00B844F6">
      <w:r w:rsidRPr="00744C2E">
        <w:lastRenderedPageBreak/>
        <w:t>MBS item 11820 has been listed on the Schedule since 1 May 2004.</w:t>
      </w:r>
    </w:p>
    <w:bookmarkEnd w:id="0"/>
    <w:p w14:paraId="1C796CE9" w14:textId="77777777" w:rsidR="003A1C75" w:rsidRDefault="003A1C75" w:rsidP="00E70677">
      <w:pPr>
        <w:pStyle w:val="Heading2"/>
      </w:pPr>
      <w:proofErr w:type="gramStart"/>
      <w:r>
        <w:t>Table 2.</w:t>
      </w:r>
      <w:proofErr w:type="gramEnd"/>
      <w:r>
        <w:t xml:space="preserve"> </w:t>
      </w:r>
      <w:r w:rsidRPr="00C03585">
        <w:t>MBS item descriptor</w:t>
      </w:r>
      <w:r>
        <w:t xml:space="preserve"> as at 1 May 2013</w:t>
      </w:r>
    </w:p>
    <w:tbl>
      <w:tblPr>
        <w:tblW w:w="491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BS item descriptor as at 1 may 2013"/>
      </w:tblPr>
      <w:tblGrid>
        <w:gridCol w:w="9090"/>
      </w:tblGrid>
      <w:tr w:rsidR="003A1C75" w:rsidRPr="00D33FC3" w14:paraId="2190212D" w14:textId="77777777" w:rsidTr="003A1C75">
        <w:tc>
          <w:tcPr>
            <w:tcW w:w="5000" w:type="pct"/>
          </w:tcPr>
          <w:p w14:paraId="7953DE9D" w14:textId="77777777" w:rsidR="003A1C75" w:rsidRPr="00D33FC3" w:rsidRDefault="003A1C75" w:rsidP="003A1C75">
            <w:pPr>
              <w:pStyle w:val="Tabletextright"/>
              <w:rPr>
                <w:sz w:val="24"/>
              </w:rPr>
            </w:pPr>
            <w:r w:rsidRPr="006747FC">
              <w:t>Category 2 - DIAGNOSTIC PROCEDURES AND INVESTIGATIONS</w:t>
            </w:r>
          </w:p>
        </w:tc>
      </w:tr>
      <w:tr w:rsidR="003A1C75" w:rsidRPr="00C03585" w14:paraId="422D40A2" w14:textId="77777777" w:rsidTr="003A1C75">
        <w:tc>
          <w:tcPr>
            <w:tcW w:w="5000" w:type="pct"/>
          </w:tcPr>
          <w:p w14:paraId="315583CE" w14:textId="77777777" w:rsidR="003A1C75" w:rsidRDefault="003A1C75" w:rsidP="003A1C75">
            <w:pPr>
              <w:pStyle w:val="Tabletext"/>
              <w:rPr>
                <w:snapToGrid w:val="0"/>
              </w:rPr>
            </w:pPr>
            <w:r>
              <w:rPr>
                <w:snapToGrid w:val="0"/>
              </w:rPr>
              <w:t>11820</w:t>
            </w:r>
          </w:p>
          <w:p w14:paraId="38AE421D" w14:textId="77777777" w:rsidR="003A1C75" w:rsidRPr="00FF4530" w:rsidRDefault="003A1C75" w:rsidP="003A1C75">
            <w:pPr>
              <w:pStyle w:val="Tabletext"/>
              <w:rPr>
                <w:snapToGrid w:val="0"/>
              </w:rPr>
            </w:pPr>
            <w:r w:rsidRPr="00FF4530">
              <w:rPr>
                <w:b/>
                <w:bCs/>
                <w:snapToGrid w:val="0"/>
              </w:rPr>
              <w:t>Capsule endoscopy</w:t>
            </w:r>
            <w:r w:rsidRPr="00FF4530">
              <w:rPr>
                <w:snapToGrid w:val="0"/>
              </w:rPr>
              <w:t xml:space="preserve"> to investigate an episode of obscure gastrointestinal bleeding, using a capsule endoscopy device approved by the Therapeutic Goods Administration (including administration of the capsule, imaging, image reading and interpretation, and all attendances for providing the service on the day the capsule is administered), (not being a service associated with double balloon enteroscopy), if: </w:t>
            </w:r>
          </w:p>
          <w:p w14:paraId="102B28EE" w14:textId="77777777" w:rsidR="003A1C75" w:rsidRPr="00FF4530" w:rsidRDefault="003A1C75" w:rsidP="003A1C75">
            <w:pPr>
              <w:pStyle w:val="Tabletext"/>
              <w:rPr>
                <w:snapToGrid w:val="0"/>
              </w:rPr>
            </w:pPr>
            <w:r>
              <w:rPr>
                <w:snapToGrid w:val="0"/>
              </w:rPr>
              <w:t>(a)  </w:t>
            </w:r>
            <w:r w:rsidRPr="00FF4530">
              <w:rPr>
                <w:snapToGrid w:val="0"/>
              </w:rPr>
              <w:t xml:space="preserve">the service is performed by a specialist or consultant physician with endoscopic training that is recognised by The Conjoint Committee for the Recognition of Training in Gastrointestinal Endoscopy; and </w:t>
            </w:r>
          </w:p>
          <w:p w14:paraId="62CDF67E" w14:textId="7EAB7D73" w:rsidR="003A1C75" w:rsidRPr="00FF4530" w:rsidRDefault="003A1C75" w:rsidP="003A1C75">
            <w:pPr>
              <w:pStyle w:val="Tabletext"/>
              <w:rPr>
                <w:snapToGrid w:val="0"/>
              </w:rPr>
            </w:pPr>
            <w:r w:rsidRPr="00FF4530">
              <w:rPr>
                <w:snapToGrid w:val="0"/>
              </w:rPr>
              <w:t>(b)</w:t>
            </w:r>
            <w:r w:rsidR="00231340" w:rsidRPr="00FF4530">
              <w:rPr>
                <w:snapToGrid w:val="0"/>
              </w:rPr>
              <w:t xml:space="preserve"> </w:t>
            </w:r>
            <w:r w:rsidRPr="00FF4530">
              <w:rPr>
                <w:snapToGrid w:val="0"/>
              </w:rPr>
              <w:t xml:space="preserve">the patient to whom the service is provided: </w:t>
            </w:r>
          </w:p>
          <w:p w14:paraId="12763D48" w14:textId="459E9A31" w:rsidR="003A1C75" w:rsidRPr="00FF4530" w:rsidRDefault="003A1C75" w:rsidP="003A1C75">
            <w:pPr>
              <w:pStyle w:val="Tabletext"/>
              <w:ind w:left="720"/>
              <w:rPr>
                <w:snapToGrid w:val="0"/>
              </w:rPr>
            </w:pPr>
            <w:r w:rsidRPr="00FF4530">
              <w:rPr>
                <w:snapToGrid w:val="0"/>
              </w:rPr>
              <w:t>(</w:t>
            </w:r>
            <w:proofErr w:type="spellStart"/>
            <w:r w:rsidRPr="00FF4530">
              <w:rPr>
                <w:snapToGrid w:val="0"/>
              </w:rPr>
              <w:t>i</w:t>
            </w:r>
            <w:proofErr w:type="spellEnd"/>
            <w:r w:rsidRPr="00FF4530">
              <w:rPr>
                <w:snapToGrid w:val="0"/>
              </w:rPr>
              <w:t>)</w:t>
            </w:r>
            <w:r w:rsidR="00231340" w:rsidRPr="00FF4530">
              <w:rPr>
                <w:snapToGrid w:val="0"/>
              </w:rPr>
              <w:t xml:space="preserve"> </w:t>
            </w:r>
            <w:r w:rsidRPr="00FF4530">
              <w:rPr>
                <w:snapToGrid w:val="0"/>
              </w:rPr>
              <w:t xml:space="preserve">is aged 10 years or over; and </w:t>
            </w:r>
          </w:p>
          <w:p w14:paraId="5D19B025" w14:textId="16C68A17" w:rsidR="003A1C75" w:rsidRPr="00FF4530" w:rsidRDefault="003A1C75" w:rsidP="003A1C75">
            <w:pPr>
              <w:pStyle w:val="Tabletext"/>
              <w:ind w:left="720"/>
              <w:rPr>
                <w:snapToGrid w:val="0"/>
              </w:rPr>
            </w:pPr>
            <w:r w:rsidRPr="00FF4530">
              <w:rPr>
                <w:snapToGrid w:val="0"/>
              </w:rPr>
              <w:t>(ii)</w:t>
            </w:r>
            <w:r w:rsidR="00231340" w:rsidRPr="00FF4530">
              <w:rPr>
                <w:snapToGrid w:val="0"/>
              </w:rPr>
              <w:t xml:space="preserve"> </w:t>
            </w:r>
            <w:r w:rsidRPr="00FF4530">
              <w:rPr>
                <w:snapToGrid w:val="0"/>
              </w:rPr>
              <w:t xml:space="preserve">has recurrent or persistent bleeding; and </w:t>
            </w:r>
          </w:p>
          <w:p w14:paraId="3D877619" w14:textId="441567FA" w:rsidR="003A1C75" w:rsidRPr="00FF4530" w:rsidRDefault="003A1C75" w:rsidP="003A1C75">
            <w:pPr>
              <w:pStyle w:val="Tabletext"/>
              <w:ind w:left="720"/>
              <w:rPr>
                <w:snapToGrid w:val="0"/>
              </w:rPr>
            </w:pPr>
            <w:r w:rsidRPr="00FF4530">
              <w:rPr>
                <w:snapToGrid w:val="0"/>
              </w:rPr>
              <w:t>(iii)</w:t>
            </w:r>
            <w:r w:rsidR="00231340" w:rsidRPr="00FF4530">
              <w:rPr>
                <w:snapToGrid w:val="0"/>
              </w:rPr>
              <w:t xml:space="preserve"> </w:t>
            </w:r>
            <w:r w:rsidRPr="00FF4530">
              <w:rPr>
                <w:snapToGrid w:val="0"/>
              </w:rPr>
              <w:t xml:space="preserve">is anaemic or has active bleeding; and </w:t>
            </w:r>
          </w:p>
          <w:p w14:paraId="10CA8430" w14:textId="77777777" w:rsidR="003A1C75" w:rsidRPr="00FF4530" w:rsidRDefault="003A1C75" w:rsidP="003A1C75">
            <w:pPr>
              <w:pStyle w:val="Tabletext"/>
              <w:rPr>
                <w:snapToGrid w:val="0"/>
              </w:rPr>
            </w:pPr>
            <w:r>
              <w:rPr>
                <w:snapToGrid w:val="0"/>
              </w:rPr>
              <w:t>(c)  </w:t>
            </w:r>
            <w:r w:rsidRPr="00FF4530">
              <w:rPr>
                <w:snapToGrid w:val="0"/>
              </w:rPr>
              <w:t xml:space="preserve">an upper gastrointestinal endoscopy and a colonoscopy have been performed on the patient and have not identified the cause of the bleeding; and </w:t>
            </w:r>
          </w:p>
          <w:p w14:paraId="443DD684" w14:textId="77777777" w:rsidR="003A1C75" w:rsidRPr="00FF4530" w:rsidRDefault="003A1C75" w:rsidP="003A1C75">
            <w:pPr>
              <w:pStyle w:val="Tabletext"/>
              <w:rPr>
                <w:snapToGrid w:val="0"/>
              </w:rPr>
            </w:pPr>
            <w:r>
              <w:rPr>
                <w:snapToGrid w:val="0"/>
              </w:rPr>
              <w:t>(d)  </w:t>
            </w:r>
            <w:r w:rsidRPr="00FF4530">
              <w:rPr>
                <w:snapToGrid w:val="0"/>
              </w:rPr>
              <w:t xml:space="preserve">the service is performed within 6 months of the upper gastrointestinal endoscopy and colonoscopy </w:t>
            </w:r>
          </w:p>
          <w:p w14:paraId="135B5ED2" w14:textId="77777777" w:rsidR="003A1C75" w:rsidRPr="00FF4530" w:rsidRDefault="003A1C75" w:rsidP="003A1C75">
            <w:pPr>
              <w:pStyle w:val="Tabletext"/>
              <w:rPr>
                <w:snapToGrid w:val="0"/>
              </w:rPr>
            </w:pPr>
            <w:r w:rsidRPr="00FF4530">
              <w:rPr>
                <w:snapToGrid w:val="0"/>
              </w:rPr>
              <w:t xml:space="preserve">(e) the service is not associated with double balloon enteroscopy </w:t>
            </w:r>
          </w:p>
          <w:p w14:paraId="3351621A" w14:textId="77777777" w:rsidR="003A1C75" w:rsidRPr="00FF4530" w:rsidRDefault="003A1C75" w:rsidP="003A1C75">
            <w:pPr>
              <w:pStyle w:val="Tabletext"/>
              <w:rPr>
                <w:snapToGrid w:val="0"/>
              </w:rPr>
            </w:pPr>
            <w:r w:rsidRPr="00FF4530">
              <w:rPr>
                <w:snapToGrid w:val="0"/>
              </w:rPr>
              <w:t xml:space="preserve">(f) the service has not been provided to the same patient: </w:t>
            </w:r>
          </w:p>
          <w:p w14:paraId="542D41AE" w14:textId="77777777" w:rsidR="003A1C75" w:rsidRPr="00FF4530" w:rsidRDefault="003A1C75" w:rsidP="003A1C75">
            <w:pPr>
              <w:pStyle w:val="Tabletext"/>
              <w:ind w:left="720"/>
              <w:rPr>
                <w:snapToGrid w:val="0"/>
              </w:rPr>
            </w:pPr>
            <w:r w:rsidRPr="00FF4530">
              <w:rPr>
                <w:snapToGrid w:val="0"/>
              </w:rPr>
              <w:t>(</w:t>
            </w:r>
            <w:proofErr w:type="spellStart"/>
            <w:r w:rsidRPr="00FF4530">
              <w:rPr>
                <w:snapToGrid w:val="0"/>
              </w:rPr>
              <w:t>i</w:t>
            </w:r>
            <w:proofErr w:type="spellEnd"/>
            <w:r w:rsidRPr="00FF4530">
              <w:rPr>
                <w:snapToGrid w:val="0"/>
              </w:rPr>
              <w:t xml:space="preserve">) more than once in an episode of bleeding, being bleeding occurring within 6 months of the prerequisite upper gastrointestinal endoscopy and colonoscopy (any bleeding after that time is considered to be a new episode); or </w:t>
            </w:r>
          </w:p>
          <w:p w14:paraId="673D9FED" w14:textId="77777777" w:rsidR="003A1C75" w:rsidRPr="00FF4530" w:rsidRDefault="003A1C75" w:rsidP="003A1C75">
            <w:pPr>
              <w:pStyle w:val="Tabletext"/>
              <w:ind w:left="720"/>
              <w:rPr>
                <w:snapToGrid w:val="0"/>
              </w:rPr>
            </w:pPr>
            <w:r w:rsidRPr="00FF4530">
              <w:rPr>
                <w:snapToGrid w:val="0"/>
              </w:rPr>
              <w:t xml:space="preserve">(ii) </w:t>
            </w:r>
            <w:proofErr w:type="gramStart"/>
            <w:r w:rsidRPr="00FF4530">
              <w:rPr>
                <w:snapToGrid w:val="0"/>
              </w:rPr>
              <w:t>on</w:t>
            </w:r>
            <w:proofErr w:type="gramEnd"/>
            <w:r w:rsidRPr="00FF4530">
              <w:rPr>
                <w:snapToGrid w:val="0"/>
              </w:rPr>
              <w:t xml:space="preserve"> more than 2 occasions in any 12 month period. </w:t>
            </w:r>
          </w:p>
        </w:tc>
      </w:tr>
      <w:tr w:rsidR="003A1C75" w:rsidRPr="00C03585" w14:paraId="15FD9111" w14:textId="77777777" w:rsidTr="003A1C75">
        <w:tc>
          <w:tcPr>
            <w:tcW w:w="5000" w:type="pct"/>
          </w:tcPr>
          <w:p w14:paraId="5D155227" w14:textId="77777777" w:rsidR="003A1C75" w:rsidRDefault="003A1C75" w:rsidP="003A1C75">
            <w:pPr>
              <w:pStyle w:val="Tabletext"/>
              <w:rPr>
                <w:sz w:val="24"/>
              </w:rPr>
            </w:pPr>
            <w:r w:rsidRPr="00C03585">
              <w:t xml:space="preserve">Fee: </w:t>
            </w:r>
            <w:r w:rsidRPr="006747FC">
              <w:t>$2,039.20 Benefit: 75% = $1,529.40 85% = $1,964.70</w:t>
            </w:r>
          </w:p>
        </w:tc>
      </w:tr>
    </w:tbl>
    <w:p w14:paraId="2BA5BD3F" w14:textId="77777777" w:rsidR="00B844F6" w:rsidRDefault="00B844F6" w:rsidP="00B844F6">
      <w:pPr>
        <w:pStyle w:val="Heading1"/>
        <w:spacing w:before="0"/>
      </w:pPr>
    </w:p>
    <w:p w14:paraId="59309FB8" w14:textId="77777777" w:rsidR="00937076" w:rsidRPr="002B4CE2" w:rsidRDefault="002B4CE2" w:rsidP="00B844F6">
      <w:pPr>
        <w:pStyle w:val="Heading1"/>
        <w:spacing w:before="0"/>
      </w:pPr>
      <w:r>
        <w:t>9.</w:t>
      </w:r>
      <w:r>
        <w:tab/>
      </w:r>
      <w:r w:rsidR="00E67C5A" w:rsidRPr="002B4CE2">
        <w:t xml:space="preserve">Comparative </w:t>
      </w:r>
      <w:r w:rsidR="00C93A35" w:rsidRPr="002B4CE2">
        <w:t>s</w:t>
      </w:r>
      <w:r w:rsidR="00937076" w:rsidRPr="002B4CE2">
        <w:t>afety</w:t>
      </w:r>
    </w:p>
    <w:p w14:paraId="396C409E" w14:textId="77777777" w:rsidR="003A1C75" w:rsidRPr="00B844F6" w:rsidRDefault="003A1C75" w:rsidP="00B844F6">
      <w:pPr>
        <w:rPr>
          <w:i/>
        </w:rPr>
      </w:pPr>
      <w:r w:rsidRPr="00B844F6">
        <w:rPr>
          <w:i/>
        </w:rPr>
        <w:t>Amendment 1</w:t>
      </w:r>
    </w:p>
    <w:p w14:paraId="08F7C106" w14:textId="77777777" w:rsidR="003A1C75" w:rsidRPr="00744C2E" w:rsidRDefault="003A1C75" w:rsidP="00B844F6">
      <w:pPr>
        <w:tabs>
          <w:tab w:val="left" w:pos="720"/>
        </w:tabs>
        <w:rPr>
          <w:szCs w:val="24"/>
        </w:rPr>
      </w:pPr>
      <w:r w:rsidRPr="00744C2E">
        <w:rPr>
          <w:szCs w:val="24"/>
        </w:rPr>
        <w:t>The SBA report used the evidence previously presented to the Federal Drug Administration, then subsequently to the Therapeutic Goods Administration (TGA). This evidence consisted of 44 abstracts, of which seven articles that were available as full text publications were included in the SBA report.</w:t>
      </w:r>
    </w:p>
    <w:p w14:paraId="1059F1A2" w14:textId="77777777" w:rsidR="00B844F6" w:rsidRDefault="00B844F6" w:rsidP="00B844F6">
      <w:pPr>
        <w:tabs>
          <w:tab w:val="left" w:pos="720"/>
        </w:tabs>
        <w:rPr>
          <w:szCs w:val="24"/>
        </w:rPr>
      </w:pPr>
    </w:p>
    <w:p w14:paraId="23B4AB91" w14:textId="77777777" w:rsidR="003A1C75" w:rsidRPr="00744C2E" w:rsidRDefault="003A1C75" w:rsidP="00B844F6">
      <w:pPr>
        <w:tabs>
          <w:tab w:val="left" w:pos="720"/>
        </w:tabs>
        <w:rPr>
          <w:szCs w:val="24"/>
        </w:rPr>
      </w:pPr>
      <w:r w:rsidRPr="00744C2E">
        <w:rPr>
          <w:szCs w:val="24"/>
        </w:rPr>
        <w:t>The critique noted that the seven included articles were published between November 2004 and January 2008 and that it was unclear whether these studies were identified through a systematic literature search. In response to the critique, the applicant performed a search update for citations published between 2008 and 2013. One study was considered relevant by the applicant to the current application (</w:t>
      </w:r>
      <w:proofErr w:type="spellStart"/>
      <w:r w:rsidRPr="00744C2E">
        <w:rPr>
          <w:szCs w:val="24"/>
        </w:rPr>
        <w:t>Fritscher</w:t>
      </w:r>
      <w:proofErr w:type="spellEnd"/>
      <w:r w:rsidRPr="00744C2E">
        <w:rPr>
          <w:szCs w:val="24"/>
        </w:rPr>
        <w:t>-Ravens et al 2009).</w:t>
      </w:r>
    </w:p>
    <w:p w14:paraId="65977BDC" w14:textId="77777777" w:rsidR="00B844F6" w:rsidRDefault="00B844F6" w:rsidP="00B844F6"/>
    <w:p w14:paraId="6526AFD7" w14:textId="77777777" w:rsidR="003A1C75" w:rsidRPr="00B844F6" w:rsidRDefault="003A1C75" w:rsidP="00B844F6">
      <w:pPr>
        <w:rPr>
          <w:i/>
        </w:rPr>
      </w:pPr>
      <w:r w:rsidRPr="00B844F6">
        <w:rPr>
          <w:i/>
        </w:rPr>
        <w:t>Amendment 2</w:t>
      </w:r>
    </w:p>
    <w:p w14:paraId="1834C6F7" w14:textId="77777777" w:rsidR="003A1C75" w:rsidRPr="00744C2E" w:rsidRDefault="003A1C75" w:rsidP="00B844F6">
      <w:pPr>
        <w:tabs>
          <w:tab w:val="left" w:pos="720"/>
          <w:tab w:val="left" w:pos="1140"/>
        </w:tabs>
        <w:rPr>
          <w:szCs w:val="24"/>
        </w:rPr>
      </w:pPr>
      <w:r w:rsidRPr="00744C2E">
        <w:rPr>
          <w:szCs w:val="24"/>
        </w:rPr>
        <w:t>The SBA report used three categories of evidence to support Amendment 2:</w:t>
      </w:r>
    </w:p>
    <w:p w14:paraId="3BC1AEDF" w14:textId="77777777" w:rsidR="003A1C75" w:rsidRPr="00744C2E" w:rsidRDefault="003A1C75" w:rsidP="00B844F6">
      <w:pPr>
        <w:pStyle w:val="ListParagraph"/>
        <w:numPr>
          <w:ilvl w:val="0"/>
          <w:numId w:val="10"/>
        </w:numPr>
        <w:tabs>
          <w:tab w:val="left" w:pos="720"/>
          <w:tab w:val="left" w:pos="1140"/>
        </w:tabs>
        <w:ind w:left="714" w:hanging="357"/>
        <w:contextualSpacing w:val="0"/>
        <w:rPr>
          <w:szCs w:val="24"/>
        </w:rPr>
      </w:pPr>
      <w:r w:rsidRPr="00744C2E">
        <w:rPr>
          <w:szCs w:val="24"/>
        </w:rPr>
        <w:t>Evidence included in the August 2003 assessment (application 1057);</w:t>
      </w:r>
    </w:p>
    <w:p w14:paraId="105E833F" w14:textId="77777777" w:rsidR="003A1C75" w:rsidRPr="00744C2E" w:rsidRDefault="003A1C75" w:rsidP="00B844F6">
      <w:pPr>
        <w:pStyle w:val="ListParagraph"/>
        <w:numPr>
          <w:ilvl w:val="0"/>
          <w:numId w:val="10"/>
        </w:numPr>
        <w:ind w:left="714" w:hanging="357"/>
        <w:contextualSpacing w:val="0"/>
        <w:rPr>
          <w:szCs w:val="24"/>
        </w:rPr>
      </w:pPr>
      <w:r w:rsidRPr="00744C2E">
        <w:rPr>
          <w:szCs w:val="24"/>
        </w:rPr>
        <w:t>Evidence on the clinical relevance of the ‘six month’ rule; and</w:t>
      </w:r>
    </w:p>
    <w:p w14:paraId="14DDC063" w14:textId="77777777" w:rsidR="003A1C75" w:rsidRPr="00744C2E" w:rsidRDefault="003A1C75" w:rsidP="00B844F6">
      <w:pPr>
        <w:pStyle w:val="ListParagraph"/>
        <w:numPr>
          <w:ilvl w:val="0"/>
          <w:numId w:val="10"/>
        </w:numPr>
        <w:tabs>
          <w:tab w:val="left" w:pos="720"/>
          <w:tab w:val="left" w:pos="1140"/>
        </w:tabs>
        <w:ind w:left="714" w:hanging="357"/>
        <w:contextualSpacing w:val="0"/>
        <w:rPr>
          <w:szCs w:val="24"/>
        </w:rPr>
      </w:pPr>
      <w:r w:rsidRPr="00744C2E">
        <w:rPr>
          <w:szCs w:val="24"/>
        </w:rPr>
        <w:t>Adverse events potentially avoided by the removal of the ‘six month’ rule.</w:t>
      </w:r>
    </w:p>
    <w:p w14:paraId="7F77A6F9" w14:textId="77777777" w:rsidR="00B844F6" w:rsidRDefault="00B844F6" w:rsidP="00B844F6">
      <w:pPr>
        <w:tabs>
          <w:tab w:val="left" w:pos="720"/>
          <w:tab w:val="left" w:pos="1140"/>
        </w:tabs>
        <w:rPr>
          <w:szCs w:val="24"/>
        </w:rPr>
      </w:pPr>
    </w:p>
    <w:p w14:paraId="1A2A47CB" w14:textId="77777777" w:rsidR="003A1C75" w:rsidRPr="00744C2E" w:rsidRDefault="003A1C75" w:rsidP="00B844F6">
      <w:pPr>
        <w:tabs>
          <w:tab w:val="left" w:pos="720"/>
          <w:tab w:val="left" w:pos="1140"/>
        </w:tabs>
        <w:rPr>
          <w:szCs w:val="24"/>
        </w:rPr>
      </w:pPr>
      <w:r w:rsidRPr="00744C2E">
        <w:rPr>
          <w:szCs w:val="24"/>
        </w:rPr>
        <w:t xml:space="preserve">The critique noted that the SBA report did not include an update of the literature search from the 2003 assessment report. In response to the critique, the applicant noted that </w:t>
      </w:r>
      <w:proofErr w:type="spellStart"/>
      <w:r w:rsidRPr="00744C2E">
        <w:rPr>
          <w:szCs w:val="24"/>
        </w:rPr>
        <w:t>Mekaroonkamol</w:t>
      </w:r>
      <w:proofErr w:type="spellEnd"/>
      <w:r w:rsidRPr="00744C2E">
        <w:rPr>
          <w:szCs w:val="24"/>
        </w:rPr>
        <w:t xml:space="preserve"> et al (2013) was only recently published and therefore was not identified at the time of submission.</w:t>
      </w:r>
    </w:p>
    <w:p w14:paraId="2C4D888F" w14:textId="77777777" w:rsidR="00B844F6" w:rsidRDefault="00B844F6" w:rsidP="00B844F6"/>
    <w:p w14:paraId="63110891" w14:textId="77777777" w:rsidR="003A1C75" w:rsidRPr="00B844F6" w:rsidRDefault="003A1C75" w:rsidP="00B844F6">
      <w:pPr>
        <w:rPr>
          <w:i/>
        </w:rPr>
      </w:pPr>
      <w:r w:rsidRPr="00B844F6">
        <w:rPr>
          <w:i/>
        </w:rPr>
        <w:t>Amendment 1</w:t>
      </w:r>
    </w:p>
    <w:p w14:paraId="1F828A01" w14:textId="77777777" w:rsidR="003A1C75" w:rsidRPr="00744C2E" w:rsidRDefault="003A1C75" w:rsidP="00B844F6">
      <w:pPr>
        <w:tabs>
          <w:tab w:val="left" w:pos="720"/>
        </w:tabs>
        <w:rPr>
          <w:szCs w:val="24"/>
        </w:rPr>
      </w:pPr>
      <w:r w:rsidRPr="00744C2E">
        <w:rPr>
          <w:szCs w:val="24"/>
        </w:rPr>
        <w:t>No randomised trials of CE were identified in the SBA report. In the absence of randomised trials, the SBA report included seven observational studies investigating the use of CE in paediatric patients. In response to the critique, the applicant included a further prospective study (</w:t>
      </w:r>
      <w:proofErr w:type="spellStart"/>
      <w:r w:rsidRPr="00744C2E">
        <w:rPr>
          <w:szCs w:val="24"/>
        </w:rPr>
        <w:t>Fritscher</w:t>
      </w:r>
      <w:proofErr w:type="spellEnd"/>
      <w:r w:rsidRPr="00744C2E">
        <w:rPr>
          <w:szCs w:val="24"/>
        </w:rPr>
        <w:t>-Ravens 2009).</w:t>
      </w:r>
    </w:p>
    <w:p w14:paraId="6DF50E58" w14:textId="77777777" w:rsidR="003A1C75" w:rsidRDefault="003A1C75" w:rsidP="00E70677">
      <w:pPr>
        <w:pStyle w:val="Heading2"/>
      </w:pPr>
      <w:proofErr w:type="gramStart"/>
      <w:r>
        <w:lastRenderedPageBreak/>
        <w:t>Table 3.</w:t>
      </w:r>
      <w:proofErr w:type="gramEnd"/>
      <w:r>
        <w:t xml:space="preserve"> </w:t>
      </w:r>
      <w:r w:rsidRPr="008F69A5">
        <w:t>Characteristics of the included studies</w:t>
      </w:r>
    </w:p>
    <w:tbl>
      <w:tblPr>
        <w:tblStyle w:val="TableGrid"/>
        <w:tblW w:w="9093" w:type="dxa"/>
        <w:tblLook w:val="04A0" w:firstRow="1" w:lastRow="0" w:firstColumn="1" w:lastColumn="0" w:noHBand="0" w:noVBand="1"/>
        <w:tblCaption w:val="Characteristics of the included studies"/>
      </w:tblPr>
      <w:tblGrid>
        <w:gridCol w:w="1130"/>
        <w:gridCol w:w="1219"/>
        <w:gridCol w:w="5329"/>
        <w:gridCol w:w="1415"/>
      </w:tblGrid>
      <w:tr w:rsidR="003A1C75" w14:paraId="217A4709" w14:textId="77777777" w:rsidTr="001E4731">
        <w:trPr>
          <w:tblHeader/>
        </w:trPr>
        <w:tc>
          <w:tcPr>
            <w:tcW w:w="1130" w:type="dxa"/>
          </w:tcPr>
          <w:p w14:paraId="6D3438D5" w14:textId="77777777" w:rsidR="003A1C75" w:rsidRDefault="003A1C75" w:rsidP="003A1C75">
            <w:pPr>
              <w:pStyle w:val="Tabletextboldleft"/>
            </w:pPr>
            <w:r>
              <w:t>Study</w:t>
            </w:r>
          </w:p>
        </w:tc>
        <w:tc>
          <w:tcPr>
            <w:tcW w:w="1219" w:type="dxa"/>
          </w:tcPr>
          <w:p w14:paraId="07752EC1" w14:textId="77777777" w:rsidR="003A1C75" w:rsidRDefault="003A1C75" w:rsidP="003A1C75">
            <w:pPr>
              <w:pStyle w:val="Tabletextboldleft"/>
            </w:pPr>
            <w:r>
              <w:t>Study design</w:t>
            </w:r>
          </w:p>
        </w:tc>
        <w:tc>
          <w:tcPr>
            <w:tcW w:w="5329" w:type="dxa"/>
          </w:tcPr>
          <w:p w14:paraId="358F60D4" w14:textId="77777777" w:rsidR="003A1C75" w:rsidRDefault="003A1C75" w:rsidP="003A1C75">
            <w:pPr>
              <w:pStyle w:val="Tabletextboldleft"/>
            </w:pPr>
            <w:r>
              <w:t>Patient characteristics</w:t>
            </w:r>
          </w:p>
        </w:tc>
        <w:tc>
          <w:tcPr>
            <w:tcW w:w="1415" w:type="dxa"/>
          </w:tcPr>
          <w:p w14:paraId="58828021" w14:textId="77777777" w:rsidR="003A1C75" w:rsidRDefault="003A1C75" w:rsidP="003A1C75">
            <w:pPr>
              <w:pStyle w:val="Tabletextboldleft"/>
            </w:pPr>
            <w:r>
              <w:t>Interventions</w:t>
            </w:r>
          </w:p>
        </w:tc>
      </w:tr>
      <w:tr w:rsidR="003A1C75" w14:paraId="61A0F644" w14:textId="77777777" w:rsidTr="003A1C75">
        <w:tc>
          <w:tcPr>
            <w:tcW w:w="1130" w:type="dxa"/>
          </w:tcPr>
          <w:p w14:paraId="6B03DDF6" w14:textId="77777777" w:rsidR="003A1C75" w:rsidRPr="00671DEA" w:rsidRDefault="003A1C75" w:rsidP="003A1C75">
            <w:pPr>
              <w:pStyle w:val="Tabletext"/>
            </w:pPr>
            <w:proofErr w:type="spellStart"/>
            <w:r>
              <w:t>Antao</w:t>
            </w:r>
            <w:proofErr w:type="spellEnd"/>
            <w:r>
              <w:t xml:space="preserve"> 2007</w:t>
            </w:r>
          </w:p>
        </w:tc>
        <w:tc>
          <w:tcPr>
            <w:tcW w:w="1219" w:type="dxa"/>
          </w:tcPr>
          <w:p w14:paraId="0E672154" w14:textId="77777777" w:rsidR="003A1C75" w:rsidRDefault="003A1C75" w:rsidP="003A1C75">
            <w:pPr>
              <w:pStyle w:val="Tabletext"/>
            </w:pPr>
            <w:r>
              <w:t>Case series</w:t>
            </w:r>
          </w:p>
        </w:tc>
        <w:tc>
          <w:tcPr>
            <w:tcW w:w="5329" w:type="dxa"/>
          </w:tcPr>
          <w:p w14:paraId="257649D7" w14:textId="77777777" w:rsidR="003A1C75" w:rsidRDefault="003A1C75" w:rsidP="003A1C75">
            <w:pPr>
              <w:pStyle w:val="Tabletext"/>
            </w:pPr>
            <w:r>
              <w:t>Patients with suspected small bowel disease</w:t>
            </w:r>
          </w:p>
          <w:p w14:paraId="45FB8B08" w14:textId="77777777" w:rsidR="003A1C75" w:rsidRDefault="003A1C75" w:rsidP="003A1C75">
            <w:pPr>
              <w:pStyle w:val="Tabletext"/>
            </w:pPr>
            <w:r>
              <w:t>Age range 16 months – 16 years; median 11 years</w:t>
            </w:r>
          </w:p>
        </w:tc>
        <w:tc>
          <w:tcPr>
            <w:tcW w:w="1415" w:type="dxa"/>
          </w:tcPr>
          <w:p w14:paraId="5E118826" w14:textId="77777777" w:rsidR="003A1C75" w:rsidRDefault="003A1C75" w:rsidP="003A1C75">
            <w:pPr>
              <w:pStyle w:val="Tabletext"/>
            </w:pPr>
            <w:r>
              <w:t>N = 37</w:t>
            </w:r>
          </w:p>
        </w:tc>
      </w:tr>
      <w:tr w:rsidR="003A1C75" w14:paraId="5F15E881" w14:textId="77777777" w:rsidTr="003A1C75">
        <w:tc>
          <w:tcPr>
            <w:tcW w:w="1130" w:type="dxa"/>
          </w:tcPr>
          <w:p w14:paraId="77146E15" w14:textId="77777777" w:rsidR="003A1C75" w:rsidRPr="00671DEA" w:rsidRDefault="003A1C75" w:rsidP="003A1C75">
            <w:pPr>
              <w:pStyle w:val="Tabletext"/>
            </w:pPr>
            <w:r>
              <w:t>Barth 2004</w:t>
            </w:r>
          </w:p>
        </w:tc>
        <w:tc>
          <w:tcPr>
            <w:tcW w:w="1219" w:type="dxa"/>
          </w:tcPr>
          <w:p w14:paraId="65D02499" w14:textId="77777777" w:rsidR="003A1C75" w:rsidRDefault="003A1C75" w:rsidP="003A1C75">
            <w:pPr>
              <w:pStyle w:val="Tabletext"/>
            </w:pPr>
            <w:r>
              <w:t>Case series</w:t>
            </w:r>
          </w:p>
        </w:tc>
        <w:tc>
          <w:tcPr>
            <w:tcW w:w="5329" w:type="dxa"/>
          </w:tcPr>
          <w:p w14:paraId="7D18DCEB" w14:textId="77777777" w:rsidR="003A1C75" w:rsidRDefault="003A1C75" w:rsidP="003A1C75">
            <w:pPr>
              <w:pStyle w:val="Tabletext"/>
            </w:pPr>
            <w:r>
              <w:t>Patients with GI bleeding</w:t>
            </w:r>
          </w:p>
          <w:p w14:paraId="3DE00D52" w14:textId="77777777" w:rsidR="003A1C75" w:rsidRDefault="003A1C75" w:rsidP="003A1C75">
            <w:pPr>
              <w:pStyle w:val="Tabletext"/>
            </w:pPr>
            <w:r>
              <w:t>Age range 3-18 years; median 9 years</w:t>
            </w:r>
          </w:p>
        </w:tc>
        <w:tc>
          <w:tcPr>
            <w:tcW w:w="1415" w:type="dxa"/>
          </w:tcPr>
          <w:p w14:paraId="576BD6A2" w14:textId="77777777" w:rsidR="003A1C75" w:rsidRDefault="003A1C75" w:rsidP="003A1C75">
            <w:pPr>
              <w:pStyle w:val="Tabletext"/>
            </w:pPr>
            <w:r>
              <w:t>N = 11</w:t>
            </w:r>
          </w:p>
        </w:tc>
      </w:tr>
      <w:tr w:rsidR="003A1C75" w14:paraId="00F98DDB" w14:textId="77777777" w:rsidTr="003A1C75">
        <w:tc>
          <w:tcPr>
            <w:tcW w:w="1130" w:type="dxa"/>
          </w:tcPr>
          <w:p w14:paraId="66858D07" w14:textId="77777777" w:rsidR="003A1C75" w:rsidRPr="00671DEA" w:rsidRDefault="003A1C75" w:rsidP="003A1C75">
            <w:pPr>
              <w:pStyle w:val="Tabletext"/>
            </w:pPr>
            <w:r>
              <w:t>Cohen 2008</w:t>
            </w:r>
          </w:p>
        </w:tc>
        <w:tc>
          <w:tcPr>
            <w:tcW w:w="1219" w:type="dxa"/>
          </w:tcPr>
          <w:p w14:paraId="2C804286" w14:textId="77777777" w:rsidR="003A1C75" w:rsidRDefault="003A1C75" w:rsidP="003A1C75">
            <w:pPr>
              <w:pStyle w:val="Tabletext"/>
            </w:pPr>
            <w:r>
              <w:t>Retrospective</w:t>
            </w:r>
          </w:p>
        </w:tc>
        <w:tc>
          <w:tcPr>
            <w:tcW w:w="5329" w:type="dxa"/>
          </w:tcPr>
          <w:p w14:paraId="4F84E79E" w14:textId="77777777" w:rsidR="003A1C75" w:rsidRDefault="003A1C75" w:rsidP="003A1C75">
            <w:pPr>
              <w:pStyle w:val="Tabletext"/>
            </w:pPr>
            <w:r>
              <w:t>Patients with previously diagnosed inflammatory bowel disease</w:t>
            </w:r>
          </w:p>
          <w:p w14:paraId="38B6898A" w14:textId="77777777" w:rsidR="003A1C75" w:rsidRDefault="003A1C75" w:rsidP="003A1C75">
            <w:pPr>
              <w:pStyle w:val="Tabletext"/>
            </w:pPr>
            <w:r>
              <w:t xml:space="preserve">Mean ± SD age at CE </w:t>
            </w:r>
            <w:r w:rsidRPr="00F9222A">
              <w:t>16±3</w:t>
            </w:r>
            <w:r>
              <w:t xml:space="preserve"> years (</w:t>
            </w:r>
            <w:proofErr w:type="spellStart"/>
            <w:r>
              <w:t>Crohn’s</w:t>
            </w:r>
            <w:proofErr w:type="spellEnd"/>
            <w:r>
              <w:t xml:space="preserve"> disease),</w:t>
            </w:r>
          </w:p>
          <w:p w14:paraId="4DC7579C" w14:textId="77777777" w:rsidR="003A1C75" w:rsidRDefault="003A1C75" w:rsidP="003A1C75">
            <w:pPr>
              <w:pStyle w:val="Tabletext"/>
            </w:pPr>
            <w:r w:rsidRPr="00F9222A">
              <w:t>15±3</w:t>
            </w:r>
            <w:r>
              <w:t xml:space="preserve"> (ulcerative or indeterminate colitis)</w:t>
            </w:r>
          </w:p>
        </w:tc>
        <w:tc>
          <w:tcPr>
            <w:tcW w:w="1415" w:type="dxa"/>
          </w:tcPr>
          <w:p w14:paraId="7378EBC3" w14:textId="77777777" w:rsidR="003A1C75" w:rsidRDefault="003A1C75" w:rsidP="003A1C75">
            <w:pPr>
              <w:pStyle w:val="Tabletext"/>
            </w:pPr>
            <w:r>
              <w:t>N = 28</w:t>
            </w:r>
          </w:p>
        </w:tc>
      </w:tr>
      <w:tr w:rsidR="003A1C75" w14:paraId="69C74EDB" w14:textId="77777777" w:rsidTr="003A1C75">
        <w:tc>
          <w:tcPr>
            <w:tcW w:w="1130" w:type="dxa"/>
          </w:tcPr>
          <w:p w14:paraId="00C3C156" w14:textId="77777777" w:rsidR="003A1C75" w:rsidRDefault="003A1C75" w:rsidP="003A1C75">
            <w:pPr>
              <w:pStyle w:val="Tabletext"/>
            </w:pPr>
            <w:r>
              <w:t>de’ Angelis 2007</w:t>
            </w:r>
          </w:p>
        </w:tc>
        <w:tc>
          <w:tcPr>
            <w:tcW w:w="1219" w:type="dxa"/>
          </w:tcPr>
          <w:p w14:paraId="70DCAB40" w14:textId="77777777" w:rsidR="003A1C75" w:rsidRDefault="003A1C75" w:rsidP="003A1C75">
            <w:pPr>
              <w:pStyle w:val="Tabletext"/>
            </w:pPr>
            <w:r>
              <w:t>Case series</w:t>
            </w:r>
          </w:p>
        </w:tc>
        <w:tc>
          <w:tcPr>
            <w:tcW w:w="5329" w:type="dxa"/>
          </w:tcPr>
          <w:p w14:paraId="5CA2A5A1" w14:textId="77777777" w:rsidR="003A1C75" w:rsidRDefault="003A1C75" w:rsidP="003A1C75">
            <w:pPr>
              <w:pStyle w:val="Tabletext"/>
            </w:pPr>
            <w:r>
              <w:t>P</w:t>
            </w:r>
            <w:r w:rsidRPr="00E167B7">
              <w:t>atients with suspected small bowel disease</w:t>
            </w:r>
          </w:p>
          <w:p w14:paraId="66B8E7E1" w14:textId="77777777" w:rsidR="003A1C75" w:rsidRDefault="003A1C75" w:rsidP="003A1C75">
            <w:pPr>
              <w:pStyle w:val="Tabletext"/>
            </w:pPr>
            <w:r>
              <w:t xml:space="preserve">Age </w:t>
            </w:r>
            <w:r w:rsidRPr="00E167B7">
              <w:t xml:space="preserve">range </w:t>
            </w:r>
            <w:r>
              <w:t>18 months - 18 years</w:t>
            </w:r>
          </w:p>
        </w:tc>
        <w:tc>
          <w:tcPr>
            <w:tcW w:w="1415" w:type="dxa"/>
          </w:tcPr>
          <w:p w14:paraId="5EA48D23" w14:textId="77777777" w:rsidR="003A1C75" w:rsidRDefault="003A1C75" w:rsidP="003A1C75">
            <w:pPr>
              <w:pStyle w:val="Tabletext"/>
            </w:pPr>
            <w:r>
              <w:t>N = 87</w:t>
            </w:r>
          </w:p>
        </w:tc>
      </w:tr>
      <w:tr w:rsidR="003A1C75" w14:paraId="2A68598E" w14:textId="77777777" w:rsidTr="003A1C75">
        <w:tc>
          <w:tcPr>
            <w:tcW w:w="1130" w:type="dxa"/>
          </w:tcPr>
          <w:p w14:paraId="1E290AEA" w14:textId="77777777" w:rsidR="003A1C75" w:rsidRDefault="003A1C75" w:rsidP="003A1C75">
            <w:pPr>
              <w:pStyle w:val="Tabletext"/>
            </w:pPr>
            <w:proofErr w:type="spellStart"/>
            <w:r>
              <w:t>Ge</w:t>
            </w:r>
            <w:proofErr w:type="spellEnd"/>
            <w:r>
              <w:t xml:space="preserve"> 2007</w:t>
            </w:r>
          </w:p>
        </w:tc>
        <w:tc>
          <w:tcPr>
            <w:tcW w:w="1219" w:type="dxa"/>
          </w:tcPr>
          <w:p w14:paraId="2794874E" w14:textId="77777777" w:rsidR="003A1C75" w:rsidRDefault="003A1C75" w:rsidP="003A1C75">
            <w:pPr>
              <w:pStyle w:val="Tabletext"/>
            </w:pPr>
            <w:r>
              <w:t>Case series</w:t>
            </w:r>
          </w:p>
        </w:tc>
        <w:tc>
          <w:tcPr>
            <w:tcW w:w="5329" w:type="dxa"/>
          </w:tcPr>
          <w:p w14:paraId="08177C14" w14:textId="77777777" w:rsidR="003A1C75" w:rsidRDefault="003A1C75" w:rsidP="003A1C75">
            <w:pPr>
              <w:pStyle w:val="Tabletext"/>
            </w:pPr>
            <w:r>
              <w:t>P</w:t>
            </w:r>
            <w:r w:rsidRPr="00E167B7">
              <w:t>atients with suspected small bowel disease</w:t>
            </w:r>
          </w:p>
          <w:p w14:paraId="07FFBC59" w14:textId="77777777" w:rsidR="003A1C75" w:rsidRDefault="003A1C75" w:rsidP="003A1C75">
            <w:pPr>
              <w:pStyle w:val="Tabletext"/>
            </w:pPr>
            <w:r>
              <w:t>Age range 3 – 18 years; median 11 years</w:t>
            </w:r>
          </w:p>
        </w:tc>
        <w:tc>
          <w:tcPr>
            <w:tcW w:w="1415" w:type="dxa"/>
          </w:tcPr>
          <w:p w14:paraId="78E954D5" w14:textId="77777777" w:rsidR="003A1C75" w:rsidRDefault="003A1C75" w:rsidP="003A1C75">
            <w:pPr>
              <w:pStyle w:val="Tabletext"/>
            </w:pPr>
            <w:r>
              <w:t>N = 16</w:t>
            </w:r>
          </w:p>
        </w:tc>
      </w:tr>
      <w:tr w:rsidR="003A1C75" w14:paraId="0278FE4E" w14:textId="77777777" w:rsidTr="003A1C75">
        <w:tc>
          <w:tcPr>
            <w:tcW w:w="1130" w:type="dxa"/>
          </w:tcPr>
          <w:p w14:paraId="00405EE7" w14:textId="77777777" w:rsidR="003A1C75" w:rsidRDefault="003A1C75" w:rsidP="003A1C75">
            <w:pPr>
              <w:pStyle w:val="Tabletext"/>
            </w:pPr>
            <w:r>
              <w:t>Rivet 2006</w:t>
            </w:r>
          </w:p>
        </w:tc>
        <w:tc>
          <w:tcPr>
            <w:tcW w:w="1219" w:type="dxa"/>
          </w:tcPr>
          <w:p w14:paraId="40856DE1" w14:textId="77777777" w:rsidR="003A1C75" w:rsidRDefault="003A1C75" w:rsidP="003A1C75">
            <w:pPr>
              <w:pStyle w:val="Tabletext"/>
            </w:pPr>
            <w:r>
              <w:t>Case series</w:t>
            </w:r>
          </w:p>
        </w:tc>
        <w:tc>
          <w:tcPr>
            <w:tcW w:w="5329" w:type="dxa"/>
          </w:tcPr>
          <w:p w14:paraId="59D51FCA" w14:textId="77777777" w:rsidR="003A1C75" w:rsidRDefault="003A1C75" w:rsidP="003A1C75">
            <w:pPr>
              <w:pStyle w:val="Tabletext"/>
            </w:pPr>
            <w:r>
              <w:t xml:space="preserve">Patients with </w:t>
            </w:r>
            <w:proofErr w:type="spellStart"/>
            <w:r w:rsidRPr="007F1830">
              <w:t>edema</w:t>
            </w:r>
            <w:proofErr w:type="spellEnd"/>
            <w:r w:rsidRPr="007F1830">
              <w:t xml:space="preserve">, </w:t>
            </w:r>
            <w:proofErr w:type="spellStart"/>
            <w:r w:rsidRPr="007F1830">
              <w:t>diarrhea</w:t>
            </w:r>
            <w:proofErr w:type="spellEnd"/>
            <w:r w:rsidRPr="007F1830">
              <w:t xml:space="preserve">, </w:t>
            </w:r>
            <w:proofErr w:type="spellStart"/>
            <w:r w:rsidRPr="007F1830">
              <w:t>chylous</w:t>
            </w:r>
            <w:proofErr w:type="spellEnd"/>
            <w:r w:rsidRPr="007F1830">
              <w:t xml:space="preserve"> ascites and growth retardation</w:t>
            </w:r>
          </w:p>
          <w:p w14:paraId="60316272" w14:textId="77777777" w:rsidR="003A1C75" w:rsidRDefault="003A1C75" w:rsidP="003A1C75">
            <w:pPr>
              <w:pStyle w:val="Tabletext"/>
            </w:pPr>
            <w:r>
              <w:t>Age range 6 - 17 years</w:t>
            </w:r>
          </w:p>
        </w:tc>
        <w:tc>
          <w:tcPr>
            <w:tcW w:w="1415" w:type="dxa"/>
          </w:tcPr>
          <w:p w14:paraId="619A95FD" w14:textId="77777777" w:rsidR="003A1C75" w:rsidRDefault="003A1C75" w:rsidP="003A1C75">
            <w:pPr>
              <w:pStyle w:val="Tabletext"/>
            </w:pPr>
            <w:r>
              <w:t>N = 4</w:t>
            </w:r>
          </w:p>
        </w:tc>
      </w:tr>
      <w:tr w:rsidR="003A1C75" w14:paraId="65B1D21E" w14:textId="77777777" w:rsidTr="003A1C75">
        <w:tc>
          <w:tcPr>
            <w:tcW w:w="1130" w:type="dxa"/>
          </w:tcPr>
          <w:p w14:paraId="76C09F52" w14:textId="77777777" w:rsidR="003A1C75" w:rsidRDefault="003A1C75" w:rsidP="003A1C75">
            <w:pPr>
              <w:pStyle w:val="Tabletext"/>
            </w:pPr>
            <w:r>
              <w:t>Thomson 2007</w:t>
            </w:r>
          </w:p>
        </w:tc>
        <w:tc>
          <w:tcPr>
            <w:tcW w:w="1219" w:type="dxa"/>
          </w:tcPr>
          <w:p w14:paraId="56ACF457" w14:textId="77777777" w:rsidR="003A1C75" w:rsidRDefault="003A1C75" w:rsidP="003A1C75">
            <w:pPr>
              <w:pStyle w:val="Tabletext"/>
            </w:pPr>
            <w:r>
              <w:t>Case series</w:t>
            </w:r>
          </w:p>
        </w:tc>
        <w:tc>
          <w:tcPr>
            <w:tcW w:w="5329" w:type="dxa"/>
          </w:tcPr>
          <w:p w14:paraId="44269F92" w14:textId="77777777" w:rsidR="003A1C75" w:rsidRDefault="003A1C75" w:rsidP="003A1C75">
            <w:pPr>
              <w:pStyle w:val="Tabletext"/>
            </w:pPr>
            <w:r>
              <w:t>Patients with suspected or known small bowel disease.</w:t>
            </w:r>
          </w:p>
          <w:p w14:paraId="18C48872" w14:textId="77777777" w:rsidR="003A1C75" w:rsidRDefault="003A1C75" w:rsidP="003A1C75">
            <w:pPr>
              <w:pStyle w:val="Tabletext"/>
            </w:pPr>
            <w:r>
              <w:t>Age range 9.4 – 15.9 years; median 12.59 years</w:t>
            </w:r>
          </w:p>
        </w:tc>
        <w:tc>
          <w:tcPr>
            <w:tcW w:w="1415" w:type="dxa"/>
          </w:tcPr>
          <w:p w14:paraId="46B3402D" w14:textId="77777777" w:rsidR="003A1C75" w:rsidRDefault="003A1C75" w:rsidP="003A1C75">
            <w:pPr>
              <w:pStyle w:val="Tabletext"/>
            </w:pPr>
            <w:r>
              <w:t>N = 28</w:t>
            </w:r>
          </w:p>
        </w:tc>
      </w:tr>
      <w:tr w:rsidR="003A1C75" w14:paraId="3937586C" w14:textId="77777777" w:rsidTr="003A1C75">
        <w:tc>
          <w:tcPr>
            <w:tcW w:w="1130" w:type="dxa"/>
          </w:tcPr>
          <w:p w14:paraId="71D6A595" w14:textId="77777777" w:rsidR="003A1C75" w:rsidRDefault="003A1C75" w:rsidP="003A1C75">
            <w:pPr>
              <w:pStyle w:val="Tabletext"/>
            </w:pPr>
            <w:proofErr w:type="spellStart"/>
            <w:r>
              <w:t>Fritscher</w:t>
            </w:r>
            <w:proofErr w:type="spellEnd"/>
            <w:r>
              <w:t>-Ravens 2009</w:t>
            </w:r>
          </w:p>
        </w:tc>
        <w:tc>
          <w:tcPr>
            <w:tcW w:w="1219" w:type="dxa"/>
          </w:tcPr>
          <w:p w14:paraId="529B396B" w14:textId="77777777" w:rsidR="003A1C75" w:rsidRDefault="003A1C75" w:rsidP="003A1C75">
            <w:pPr>
              <w:pStyle w:val="Tabletext"/>
            </w:pPr>
            <w:r>
              <w:t>Prospective</w:t>
            </w:r>
          </w:p>
        </w:tc>
        <w:tc>
          <w:tcPr>
            <w:tcW w:w="5329" w:type="dxa"/>
          </w:tcPr>
          <w:p w14:paraId="27F6941E" w14:textId="77777777" w:rsidR="003A1C75" w:rsidRDefault="003A1C75" w:rsidP="003A1C75">
            <w:pPr>
              <w:pStyle w:val="Tabletext"/>
            </w:pPr>
            <w:r>
              <w:t xml:space="preserve">Children with occult gastrointestinal bleeding, suspected </w:t>
            </w:r>
            <w:proofErr w:type="spellStart"/>
            <w:r>
              <w:t>Crohn’s</w:t>
            </w:r>
            <w:proofErr w:type="spellEnd"/>
            <w:r>
              <w:t xml:space="preserve"> disease, abdominal pain of unknown aetiology, protein-losing </w:t>
            </w:r>
            <w:proofErr w:type="spellStart"/>
            <w:r>
              <w:t>enteropathy</w:t>
            </w:r>
            <w:proofErr w:type="spellEnd"/>
            <w:r>
              <w:t xml:space="preserve"> and </w:t>
            </w:r>
            <w:proofErr w:type="spellStart"/>
            <w:r>
              <w:t>malabsorptive</w:t>
            </w:r>
            <w:proofErr w:type="spellEnd"/>
            <w:r>
              <w:t xml:space="preserve"> disorders</w:t>
            </w:r>
          </w:p>
          <w:p w14:paraId="399CF8FF" w14:textId="77777777" w:rsidR="003A1C75" w:rsidRDefault="003A1C75" w:rsidP="003A1C75">
            <w:pPr>
              <w:pStyle w:val="Tabletext"/>
            </w:pPr>
            <w:r>
              <w:t>Age range 1.5 – 7.9 years</w:t>
            </w:r>
          </w:p>
        </w:tc>
        <w:tc>
          <w:tcPr>
            <w:tcW w:w="1415" w:type="dxa"/>
          </w:tcPr>
          <w:p w14:paraId="56092E05" w14:textId="77777777" w:rsidR="003A1C75" w:rsidRDefault="003A1C75" w:rsidP="003A1C75">
            <w:pPr>
              <w:pStyle w:val="Tabletext"/>
            </w:pPr>
            <w:r>
              <w:t>N=83</w:t>
            </w:r>
          </w:p>
        </w:tc>
      </w:tr>
    </w:tbl>
    <w:p w14:paraId="73BE482E" w14:textId="77777777" w:rsidR="007C06DB" w:rsidRDefault="007C06DB" w:rsidP="007C06DB"/>
    <w:p w14:paraId="1B480293" w14:textId="77777777" w:rsidR="003A1C75" w:rsidRPr="007C06DB" w:rsidRDefault="003A1C75" w:rsidP="007C06DB">
      <w:pPr>
        <w:rPr>
          <w:i/>
        </w:rPr>
      </w:pPr>
      <w:r w:rsidRPr="007C06DB">
        <w:rPr>
          <w:i/>
        </w:rPr>
        <w:t>Amendment 2</w:t>
      </w:r>
    </w:p>
    <w:p w14:paraId="349784FD" w14:textId="77777777" w:rsidR="003A1C75" w:rsidRPr="00744C2E" w:rsidRDefault="003A1C75" w:rsidP="007C06DB">
      <w:pPr>
        <w:tabs>
          <w:tab w:val="left" w:pos="720"/>
        </w:tabs>
        <w:rPr>
          <w:szCs w:val="24"/>
        </w:rPr>
      </w:pPr>
      <w:r w:rsidRPr="00744C2E">
        <w:rPr>
          <w:szCs w:val="24"/>
        </w:rPr>
        <w:t>The SBA used three categories of evidence to support Amendment 2:</w:t>
      </w:r>
    </w:p>
    <w:p w14:paraId="33D5B19B" w14:textId="77777777" w:rsidR="003A1C75" w:rsidRPr="00744C2E" w:rsidRDefault="003A1C75" w:rsidP="007C06DB">
      <w:pPr>
        <w:pStyle w:val="ListParagraph"/>
        <w:numPr>
          <w:ilvl w:val="0"/>
          <w:numId w:val="11"/>
        </w:numPr>
        <w:tabs>
          <w:tab w:val="left" w:pos="720"/>
        </w:tabs>
        <w:rPr>
          <w:szCs w:val="24"/>
        </w:rPr>
      </w:pPr>
      <w:r w:rsidRPr="00744C2E">
        <w:rPr>
          <w:szCs w:val="24"/>
        </w:rPr>
        <w:t>Evidence included in the August 2003 assessment (application 1057):</w:t>
      </w:r>
    </w:p>
    <w:p w14:paraId="280B5D07" w14:textId="77777777" w:rsidR="003A1C75" w:rsidRPr="00203F6E" w:rsidRDefault="003A1C75" w:rsidP="00E70677">
      <w:pPr>
        <w:pStyle w:val="Heading2"/>
      </w:pPr>
      <w:proofErr w:type="gramStart"/>
      <w:r>
        <w:t>Table 4.</w:t>
      </w:r>
      <w:proofErr w:type="gramEnd"/>
      <w:r>
        <w:t xml:space="preserve"> </w:t>
      </w:r>
      <w:r w:rsidRPr="00203F6E">
        <w:t>Time restrictions on pr</w:t>
      </w:r>
      <w:r>
        <w:t>ior investigations from</w:t>
      </w:r>
      <w:r w:rsidRPr="00203F6E">
        <w:t xml:space="preserve"> the August 2003 assessment report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ime restrictions on prior investigations from the August 2003 assessment report"/>
      </w:tblPr>
      <w:tblGrid>
        <w:gridCol w:w="1242"/>
        <w:gridCol w:w="1047"/>
        <w:gridCol w:w="1027"/>
        <w:gridCol w:w="1895"/>
        <w:gridCol w:w="3828"/>
      </w:tblGrid>
      <w:tr w:rsidR="003A1C75" w:rsidRPr="00BD2EF3" w14:paraId="23271C77" w14:textId="77777777" w:rsidTr="003A1C75">
        <w:trPr>
          <w:cantSplit/>
          <w:tblHeader/>
        </w:trPr>
        <w:tc>
          <w:tcPr>
            <w:tcW w:w="1242" w:type="dxa"/>
            <w:shd w:val="clear" w:color="auto" w:fill="auto"/>
          </w:tcPr>
          <w:p w14:paraId="56FCA797" w14:textId="77777777" w:rsidR="003A1C75" w:rsidRPr="00BD2EF3" w:rsidRDefault="003A1C75" w:rsidP="003A1C75">
            <w:pPr>
              <w:pStyle w:val="Tabletext"/>
              <w:rPr>
                <w:b/>
              </w:rPr>
            </w:pPr>
            <w:r w:rsidRPr="00BD2EF3">
              <w:rPr>
                <w:b/>
              </w:rPr>
              <w:t>Study</w:t>
            </w:r>
          </w:p>
        </w:tc>
        <w:tc>
          <w:tcPr>
            <w:tcW w:w="1047" w:type="dxa"/>
            <w:shd w:val="clear" w:color="auto" w:fill="auto"/>
          </w:tcPr>
          <w:p w14:paraId="35B621B9" w14:textId="77777777" w:rsidR="003A1C75" w:rsidRPr="00BD2EF3" w:rsidRDefault="003A1C75" w:rsidP="003A1C75">
            <w:pPr>
              <w:pStyle w:val="Tabletext"/>
              <w:rPr>
                <w:b/>
              </w:rPr>
            </w:pPr>
            <w:r w:rsidRPr="00BD2EF3">
              <w:rPr>
                <w:b/>
              </w:rPr>
              <w:t>Type</w:t>
            </w:r>
          </w:p>
        </w:tc>
        <w:tc>
          <w:tcPr>
            <w:tcW w:w="1027" w:type="dxa"/>
            <w:shd w:val="clear" w:color="auto" w:fill="auto"/>
          </w:tcPr>
          <w:p w14:paraId="27389631" w14:textId="77777777" w:rsidR="003A1C75" w:rsidRPr="00BD2EF3" w:rsidRDefault="003A1C75" w:rsidP="003A1C75">
            <w:pPr>
              <w:pStyle w:val="Tabletext"/>
              <w:rPr>
                <w:b/>
              </w:rPr>
            </w:pPr>
            <w:r w:rsidRPr="00BD2EF3">
              <w:rPr>
                <w:b/>
              </w:rPr>
              <w:t>Number of p</w:t>
            </w:r>
            <w:r>
              <w:rPr>
                <w:b/>
              </w:rPr>
              <w:t>atien</w:t>
            </w:r>
            <w:r w:rsidRPr="00BD2EF3">
              <w:rPr>
                <w:b/>
              </w:rPr>
              <w:t>ts.</w:t>
            </w:r>
          </w:p>
        </w:tc>
        <w:tc>
          <w:tcPr>
            <w:tcW w:w="1895" w:type="dxa"/>
            <w:shd w:val="clear" w:color="auto" w:fill="auto"/>
          </w:tcPr>
          <w:p w14:paraId="40E6A36D" w14:textId="77777777" w:rsidR="003A1C75" w:rsidRPr="00BD2EF3" w:rsidRDefault="003A1C75" w:rsidP="003A1C75">
            <w:pPr>
              <w:pStyle w:val="Tabletext"/>
              <w:rPr>
                <w:b/>
              </w:rPr>
            </w:pPr>
            <w:r w:rsidRPr="00BD2EF3">
              <w:rPr>
                <w:b/>
              </w:rPr>
              <w:t xml:space="preserve">Time restriction on prior investigations </w:t>
            </w:r>
            <w:r w:rsidRPr="00BD2EF3">
              <w:rPr>
                <w:b/>
                <w:vertAlign w:val="superscript"/>
              </w:rPr>
              <w:t>a</w:t>
            </w:r>
          </w:p>
        </w:tc>
        <w:tc>
          <w:tcPr>
            <w:tcW w:w="3828" w:type="dxa"/>
            <w:shd w:val="clear" w:color="auto" w:fill="auto"/>
          </w:tcPr>
          <w:p w14:paraId="6B186D54" w14:textId="77777777" w:rsidR="003A1C75" w:rsidRPr="00BD2EF3" w:rsidRDefault="003A1C75" w:rsidP="003A1C75">
            <w:pPr>
              <w:pStyle w:val="Tabletext"/>
              <w:rPr>
                <w:b/>
              </w:rPr>
            </w:pPr>
            <w:r w:rsidRPr="00BD2EF3">
              <w:rPr>
                <w:b/>
              </w:rPr>
              <w:t>Comments</w:t>
            </w:r>
          </w:p>
        </w:tc>
      </w:tr>
      <w:tr w:rsidR="003A1C75" w:rsidRPr="00BD2EF3" w14:paraId="5B714E2F" w14:textId="77777777" w:rsidTr="003A1C75">
        <w:trPr>
          <w:cantSplit/>
        </w:trPr>
        <w:tc>
          <w:tcPr>
            <w:tcW w:w="9039" w:type="dxa"/>
            <w:gridSpan w:val="5"/>
            <w:shd w:val="clear" w:color="auto" w:fill="auto"/>
          </w:tcPr>
          <w:p w14:paraId="2E7BB8E7" w14:textId="77777777" w:rsidR="003A1C75" w:rsidRPr="00A90800" w:rsidRDefault="003A1C75" w:rsidP="003A1C75">
            <w:pPr>
              <w:pStyle w:val="Tabletext"/>
              <w:rPr>
                <w:b/>
                <w:i/>
              </w:rPr>
            </w:pPr>
            <w:r w:rsidRPr="00A90800">
              <w:rPr>
                <w:b/>
                <w:i/>
              </w:rPr>
              <w:t>Pivotal clinical trials included in the August 2003 assessment</w:t>
            </w:r>
          </w:p>
        </w:tc>
      </w:tr>
      <w:tr w:rsidR="003A1C75" w:rsidRPr="00BD2EF3" w14:paraId="19C7AEF3" w14:textId="77777777" w:rsidTr="003A1C75">
        <w:trPr>
          <w:cantSplit/>
        </w:trPr>
        <w:tc>
          <w:tcPr>
            <w:tcW w:w="1242" w:type="dxa"/>
            <w:shd w:val="clear" w:color="auto" w:fill="auto"/>
          </w:tcPr>
          <w:p w14:paraId="24D139DE" w14:textId="77777777" w:rsidR="003A1C75" w:rsidRPr="00BD2EF3" w:rsidRDefault="003A1C75" w:rsidP="003A1C75">
            <w:pPr>
              <w:pStyle w:val="Tabletext"/>
            </w:pPr>
            <w:r w:rsidRPr="00BD2EF3">
              <w:t>Hartmann</w:t>
            </w:r>
          </w:p>
        </w:tc>
        <w:tc>
          <w:tcPr>
            <w:tcW w:w="1047" w:type="dxa"/>
            <w:shd w:val="clear" w:color="auto" w:fill="auto"/>
          </w:tcPr>
          <w:p w14:paraId="09A5B67E" w14:textId="77777777" w:rsidR="003A1C75" w:rsidRPr="00BD2EF3" w:rsidRDefault="003A1C75" w:rsidP="003A1C75">
            <w:pPr>
              <w:pStyle w:val="Tabletext"/>
            </w:pPr>
            <w:r w:rsidRPr="00BD2EF3">
              <w:t>Full study</w:t>
            </w:r>
          </w:p>
        </w:tc>
        <w:tc>
          <w:tcPr>
            <w:tcW w:w="1027" w:type="dxa"/>
            <w:shd w:val="clear" w:color="auto" w:fill="auto"/>
          </w:tcPr>
          <w:p w14:paraId="3556C622" w14:textId="77777777" w:rsidR="003A1C75" w:rsidRPr="00BD2EF3" w:rsidRDefault="003A1C75" w:rsidP="003A1C75">
            <w:pPr>
              <w:pStyle w:val="Tabletext"/>
            </w:pPr>
            <w:r w:rsidRPr="00BD2EF3">
              <w:t>33</w:t>
            </w:r>
          </w:p>
        </w:tc>
        <w:tc>
          <w:tcPr>
            <w:tcW w:w="1895" w:type="dxa"/>
            <w:shd w:val="clear" w:color="auto" w:fill="auto"/>
          </w:tcPr>
          <w:p w14:paraId="5CFBCF55" w14:textId="77777777" w:rsidR="003A1C75" w:rsidRPr="00BD2EF3" w:rsidRDefault="003A1C75" w:rsidP="003A1C75">
            <w:pPr>
              <w:pStyle w:val="Tabletext"/>
            </w:pPr>
            <w:r w:rsidRPr="00BD2EF3">
              <w:t>None specified</w:t>
            </w:r>
          </w:p>
        </w:tc>
        <w:tc>
          <w:tcPr>
            <w:tcW w:w="3828" w:type="dxa"/>
            <w:shd w:val="clear" w:color="auto" w:fill="auto"/>
          </w:tcPr>
          <w:p w14:paraId="434DC692" w14:textId="77777777" w:rsidR="003A1C75" w:rsidRPr="00BD2EF3" w:rsidRDefault="003A1C75" w:rsidP="003A1C75">
            <w:pPr>
              <w:pStyle w:val="Tabletext"/>
            </w:pPr>
            <w:r w:rsidRPr="00BD2EF3">
              <w:t>GR06 trial</w:t>
            </w:r>
          </w:p>
        </w:tc>
      </w:tr>
      <w:tr w:rsidR="003A1C75" w:rsidRPr="00BD2EF3" w14:paraId="63FF22BA" w14:textId="77777777" w:rsidTr="003A1C75">
        <w:trPr>
          <w:cantSplit/>
        </w:trPr>
        <w:tc>
          <w:tcPr>
            <w:tcW w:w="1242" w:type="dxa"/>
            <w:shd w:val="clear" w:color="auto" w:fill="auto"/>
          </w:tcPr>
          <w:p w14:paraId="1C8F66F0" w14:textId="77777777" w:rsidR="003A1C75" w:rsidRPr="00BD2EF3" w:rsidRDefault="003A1C75" w:rsidP="003A1C75">
            <w:pPr>
              <w:pStyle w:val="Tabletext"/>
            </w:pPr>
            <w:r w:rsidRPr="00BD2EF3">
              <w:t>Lewis</w:t>
            </w:r>
          </w:p>
        </w:tc>
        <w:tc>
          <w:tcPr>
            <w:tcW w:w="1047" w:type="dxa"/>
            <w:shd w:val="clear" w:color="auto" w:fill="auto"/>
          </w:tcPr>
          <w:p w14:paraId="446CC3AE" w14:textId="77777777" w:rsidR="003A1C75" w:rsidRPr="00BD2EF3" w:rsidRDefault="003A1C75" w:rsidP="003A1C75">
            <w:pPr>
              <w:pStyle w:val="Tabletext"/>
            </w:pPr>
            <w:r w:rsidRPr="00BD2EF3">
              <w:t>Full study</w:t>
            </w:r>
          </w:p>
        </w:tc>
        <w:tc>
          <w:tcPr>
            <w:tcW w:w="1027" w:type="dxa"/>
            <w:shd w:val="clear" w:color="auto" w:fill="auto"/>
          </w:tcPr>
          <w:p w14:paraId="1B9BB06C" w14:textId="77777777" w:rsidR="003A1C75" w:rsidRPr="00BD2EF3" w:rsidRDefault="003A1C75" w:rsidP="003A1C75">
            <w:pPr>
              <w:pStyle w:val="Tabletext"/>
            </w:pPr>
            <w:r w:rsidRPr="00BD2EF3">
              <w:t>21</w:t>
            </w:r>
          </w:p>
        </w:tc>
        <w:tc>
          <w:tcPr>
            <w:tcW w:w="1895" w:type="dxa"/>
            <w:shd w:val="clear" w:color="auto" w:fill="auto"/>
          </w:tcPr>
          <w:p w14:paraId="3ECBDA47" w14:textId="77777777" w:rsidR="003A1C75" w:rsidRPr="00BD2EF3" w:rsidRDefault="003A1C75" w:rsidP="003A1C75">
            <w:pPr>
              <w:pStyle w:val="Tabletext"/>
              <w:rPr>
                <w:vertAlign w:val="superscript"/>
              </w:rPr>
            </w:pPr>
            <w:r w:rsidRPr="00BD2EF3">
              <w:t xml:space="preserve">12 months </w:t>
            </w:r>
            <w:r w:rsidRPr="00BD2EF3">
              <w:rPr>
                <w:vertAlign w:val="superscript"/>
              </w:rPr>
              <w:t>b</w:t>
            </w:r>
          </w:p>
        </w:tc>
        <w:tc>
          <w:tcPr>
            <w:tcW w:w="3828" w:type="dxa"/>
            <w:shd w:val="clear" w:color="auto" w:fill="auto"/>
          </w:tcPr>
          <w:p w14:paraId="2D81B4BB" w14:textId="77777777" w:rsidR="003A1C75" w:rsidRPr="00BD2EF3" w:rsidRDefault="003A1C75" w:rsidP="003A1C75">
            <w:pPr>
              <w:pStyle w:val="Tabletext"/>
            </w:pPr>
            <w:r w:rsidRPr="00BD2EF3">
              <w:t xml:space="preserve">US01 trial </w:t>
            </w:r>
          </w:p>
        </w:tc>
      </w:tr>
      <w:tr w:rsidR="003A1C75" w:rsidRPr="00BD2EF3" w14:paraId="4DF0828A" w14:textId="77777777" w:rsidTr="003A1C75">
        <w:trPr>
          <w:cantSplit/>
        </w:trPr>
        <w:tc>
          <w:tcPr>
            <w:tcW w:w="1242" w:type="dxa"/>
            <w:shd w:val="clear" w:color="auto" w:fill="auto"/>
          </w:tcPr>
          <w:p w14:paraId="4DE42DA2" w14:textId="77777777" w:rsidR="003A1C75" w:rsidRPr="00BD2EF3" w:rsidRDefault="003A1C75" w:rsidP="003A1C75">
            <w:pPr>
              <w:pStyle w:val="Tabletext"/>
            </w:pPr>
            <w:r w:rsidRPr="00BD2EF3">
              <w:t>Selby</w:t>
            </w:r>
          </w:p>
        </w:tc>
        <w:tc>
          <w:tcPr>
            <w:tcW w:w="1047" w:type="dxa"/>
            <w:shd w:val="clear" w:color="auto" w:fill="auto"/>
          </w:tcPr>
          <w:p w14:paraId="45B7878D" w14:textId="77777777" w:rsidR="003A1C75" w:rsidRPr="00BD2EF3" w:rsidRDefault="003A1C75" w:rsidP="003A1C75">
            <w:pPr>
              <w:pStyle w:val="Tabletext"/>
            </w:pPr>
            <w:r w:rsidRPr="00BD2EF3">
              <w:t xml:space="preserve">CSR </w:t>
            </w:r>
          </w:p>
        </w:tc>
        <w:tc>
          <w:tcPr>
            <w:tcW w:w="1027" w:type="dxa"/>
            <w:shd w:val="clear" w:color="auto" w:fill="auto"/>
          </w:tcPr>
          <w:p w14:paraId="2CD8150D" w14:textId="77777777" w:rsidR="003A1C75" w:rsidRPr="00BD2EF3" w:rsidRDefault="003A1C75" w:rsidP="003A1C75">
            <w:pPr>
              <w:pStyle w:val="Tabletext"/>
            </w:pPr>
            <w:r w:rsidRPr="00BD2EF3">
              <w:t>40</w:t>
            </w:r>
          </w:p>
        </w:tc>
        <w:tc>
          <w:tcPr>
            <w:tcW w:w="1895" w:type="dxa"/>
            <w:shd w:val="clear" w:color="auto" w:fill="auto"/>
          </w:tcPr>
          <w:p w14:paraId="78AC4B9E" w14:textId="77777777" w:rsidR="003A1C75" w:rsidRPr="00BD2EF3" w:rsidRDefault="003A1C75" w:rsidP="003A1C75">
            <w:pPr>
              <w:pStyle w:val="Tabletext"/>
            </w:pPr>
            <w:r w:rsidRPr="00BD2EF3">
              <w:t>None / 12 months</w:t>
            </w:r>
          </w:p>
        </w:tc>
        <w:tc>
          <w:tcPr>
            <w:tcW w:w="3828" w:type="dxa"/>
            <w:shd w:val="clear" w:color="auto" w:fill="auto"/>
          </w:tcPr>
          <w:p w14:paraId="04DDD993" w14:textId="77777777" w:rsidR="003A1C75" w:rsidRPr="00BD2EF3" w:rsidRDefault="003A1C75" w:rsidP="003A1C75">
            <w:pPr>
              <w:pStyle w:val="Tabletext"/>
            </w:pPr>
            <w:r w:rsidRPr="00BD2EF3">
              <w:t>AU13 trial – restriction was site depend</w:t>
            </w:r>
            <w:r>
              <w:t>e</w:t>
            </w:r>
            <w:r w:rsidRPr="00BD2EF3">
              <w:t>nt</w:t>
            </w:r>
          </w:p>
        </w:tc>
      </w:tr>
      <w:tr w:rsidR="003A1C75" w:rsidRPr="00BD2EF3" w14:paraId="32D800FF" w14:textId="77777777" w:rsidTr="003A1C75">
        <w:trPr>
          <w:cantSplit/>
        </w:trPr>
        <w:tc>
          <w:tcPr>
            <w:tcW w:w="9039" w:type="dxa"/>
            <w:gridSpan w:val="5"/>
            <w:shd w:val="clear" w:color="auto" w:fill="auto"/>
          </w:tcPr>
          <w:p w14:paraId="1ECCD36F" w14:textId="77777777" w:rsidR="003A1C75" w:rsidRPr="00A90800" w:rsidRDefault="003A1C75" w:rsidP="003A1C75">
            <w:pPr>
              <w:pStyle w:val="Tabletext"/>
              <w:rPr>
                <w:b/>
                <w:i/>
              </w:rPr>
            </w:pPr>
            <w:r w:rsidRPr="00A90800">
              <w:rPr>
                <w:b/>
                <w:i/>
              </w:rPr>
              <w:t>Other evidence (e.g., case reports, abstracts)</w:t>
            </w:r>
          </w:p>
        </w:tc>
      </w:tr>
      <w:tr w:rsidR="003A1C75" w:rsidRPr="00BD2EF3" w14:paraId="3F5C50EA" w14:textId="77777777" w:rsidTr="003A1C75">
        <w:trPr>
          <w:cantSplit/>
        </w:trPr>
        <w:tc>
          <w:tcPr>
            <w:tcW w:w="1242" w:type="dxa"/>
            <w:shd w:val="clear" w:color="auto" w:fill="auto"/>
          </w:tcPr>
          <w:p w14:paraId="23AB0EE8" w14:textId="77777777" w:rsidR="003A1C75" w:rsidRPr="00BD2EF3" w:rsidRDefault="003A1C75" w:rsidP="003A1C75">
            <w:pPr>
              <w:pStyle w:val="Tabletext"/>
            </w:pPr>
            <w:r w:rsidRPr="00BD2EF3">
              <w:t>Fleischer</w:t>
            </w:r>
          </w:p>
        </w:tc>
        <w:tc>
          <w:tcPr>
            <w:tcW w:w="1047" w:type="dxa"/>
            <w:shd w:val="clear" w:color="auto" w:fill="auto"/>
          </w:tcPr>
          <w:p w14:paraId="74678CB5" w14:textId="77777777" w:rsidR="003A1C75" w:rsidRPr="00BD2EF3" w:rsidRDefault="003A1C75" w:rsidP="003A1C75">
            <w:pPr>
              <w:pStyle w:val="Tabletext"/>
            </w:pPr>
            <w:r w:rsidRPr="00BD2EF3">
              <w:t>Full study</w:t>
            </w:r>
          </w:p>
        </w:tc>
        <w:tc>
          <w:tcPr>
            <w:tcW w:w="1027" w:type="dxa"/>
            <w:shd w:val="clear" w:color="auto" w:fill="auto"/>
          </w:tcPr>
          <w:p w14:paraId="438DDEF6" w14:textId="77777777" w:rsidR="003A1C75" w:rsidRPr="00BD2EF3" w:rsidRDefault="003A1C75" w:rsidP="003A1C75">
            <w:pPr>
              <w:pStyle w:val="Tabletext"/>
            </w:pPr>
            <w:r w:rsidRPr="00BD2EF3">
              <w:t>1</w:t>
            </w:r>
          </w:p>
        </w:tc>
        <w:tc>
          <w:tcPr>
            <w:tcW w:w="1895" w:type="dxa"/>
            <w:shd w:val="clear" w:color="auto" w:fill="auto"/>
          </w:tcPr>
          <w:p w14:paraId="34AF49BA" w14:textId="77777777" w:rsidR="003A1C75" w:rsidRPr="00BD2EF3" w:rsidRDefault="003A1C75" w:rsidP="003A1C75">
            <w:pPr>
              <w:pStyle w:val="Tabletext"/>
            </w:pPr>
            <w:r w:rsidRPr="00BD2EF3">
              <w:t>None specified</w:t>
            </w:r>
          </w:p>
        </w:tc>
        <w:tc>
          <w:tcPr>
            <w:tcW w:w="3828" w:type="dxa"/>
            <w:shd w:val="clear" w:color="auto" w:fill="auto"/>
          </w:tcPr>
          <w:p w14:paraId="43AC2D8D" w14:textId="77777777" w:rsidR="003A1C75" w:rsidRPr="00BD2EF3" w:rsidRDefault="003A1C75" w:rsidP="003A1C75">
            <w:pPr>
              <w:pStyle w:val="Tabletext"/>
            </w:pPr>
            <w:r w:rsidRPr="00BD2EF3">
              <w:t>Case report of impaction in throat</w:t>
            </w:r>
          </w:p>
        </w:tc>
      </w:tr>
      <w:tr w:rsidR="003A1C75" w:rsidRPr="00BD2EF3" w14:paraId="1B0CB753" w14:textId="77777777" w:rsidTr="003A1C75">
        <w:trPr>
          <w:cantSplit/>
        </w:trPr>
        <w:tc>
          <w:tcPr>
            <w:tcW w:w="1242" w:type="dxa"/>
            <w:shd w:val="clear" w:color="auto" w:fill="auto"/>
          </w:tcPr>
          <w:p w14:paraId="539900EA" w14:textId="77777777" w:rsidR="003A1C75" w:rsidRPr="005D5B91" w:rsidRDefault="003A1C75" w:rsidP="003A1C75">
            <w:pPr>
              <w:pStyle w:val="Tabletext"/>
            </w:pPr>
            <w:r w:rsidRPr="005D5B91">
              <w:t>Gay</w:t>
            </w:r>
          </w:p>
        </w:tc>
        <w:tc>
          <w:tcPr>
            <w:tcW w:w="1047" w:type="dxa"/>
            <w:shd w:val="clear" w:color="auto" w:fill="auto"/>
          </w:tcPr>
          <w:p w14:paraId="2FC4FE08" w14:textId="77777777" w:rsidR="003A1C75" w:rsidRPr="005D5B91" w:rsidRDefault="003A1C75" w:rsidP="003A1C75">
            <w:pPr>
              <w:pStyle w:val="Tabletext"/>
            </w:pPr>
            <w:r w:rsidRPr="005D5B91">
              <w:t>Full study</w:t>
            </w:r>
          </w:p>
        </w:tc>
        <w:tc>
          <w:tcPr>
            <w:tcW w:w="1027" w:type="dxa"/>
            <w:shd w:val="clear" w:color="auto" w:fill="auto"/>
          </w:tcPr>
          <w:p w14:paraId="33523766" w14:textId="77777777" w:rsidR="003A1C75" w:rsidRPr="005D5B91" w:rsidRDefault="003A1C75" w:rsidP="003A1C75">
            <w:pPr>
              <w:pStyle w:val="Tabletext"/>
            </w:pPr>
            <w:r w:rsidRPr="005D5B91">
              <w:t>1</w:t>
            </w:r>
          </w:p>
        </w:tc>
        <w:tc>
          <w:tcPr>
            <w:tcW w:w="1895" w:type="dxa"/>
            <w:shd w:val="clear" w:color="auto" w:fill="auto"/>
          </w:tcPr>
          <w:p w14:paraId="74240A42" w14:textId="77777777" w:rsidR="003A1C75" w:rsidRPr="005D5B91" w:rsidRDefault="003A1C75" w:rsidP="003A1C75">
            <w:pPr>
              <w:pStyle w:val="Tabletext"/>
            </w:pPr>
            <w:r w:rsidRPr="005D5B91">
              <w:t>None specified</w:t>
            </w:r>
          </w:p>
        </w:tc>
        <w:tc>
          <w:tcPr>
            <w:tcW w:w="3828" w:type="dxa"/>
            <w:shd w:val="clear" w:color="auto" w:fill="auto"/>
          </w:tcPr>
          <w:p w14:paraId="25AA8DC0" w14:textId="77777777" w:rsidR="003A1C75" w:rsidRPr="005D5B91" w:rsidRDefault="003A1C75" w:rsidP="003A1C75">
            <w:pPr>
              <w:pStyle w:val="Tabletext"/>
            </w:pPr>
            <w:r w:rsidRPr="005D5B91">
              <w:t>Patient had 3 sets of prior investigations in the previous 30 days; the reason for this is unclear.</w:t>
            </w:r>
          </w:p>
        </w:tc>
      </w:tr>
      <w:tr w:rsidR="003A1C75" w:rsidRPr="00BD2EF3" w14:paraId="22849A6A" w14:textId="77777777" w:rsidTr="003A1C75">
        <w:trPr>
          <w:cantSplit/>
        </w:trPr>
        <w:tc>
          <w:tcPr>
            <w:tcW w:w="1242" w:type="dxa"/>
            <w:shd w:val="clear" w:color="auto" w:fill="auto"/>
          </w:tcPr>
          <w:p w14:paraId="51E1A3F2" w14:textId="77777777" w:rsidR="003A1C75" w:rsidRPr="00BD2EF3" w:rsidRDefault="003A1C75" w:rsidP="003A1C75">
            <w:pPr>
              <w:pStyle w:val="Tabletext"/>
            </w:pPr>
            <w:proofErr w:type="spellStart"/>
            <w:r w:rsidRPr="00BD2EF3">
              <w:t>Hollerbach</w:t>
            </w:r>
            <w:proofErr w:type="spellEnd"/>
          </w:p>
        </w:tc>
        <w:tc>
          <w:tcPr>
            <w:tcW w:w="1047" w:type="dxa"/>
            <w:shd w:val="clear" w:color="auto" w:fill="auto"/>
          </w:tcPr>
          <w:p w14:paraId="585B6EFA" w14:textId="77777777" w:rsidR="003A1C75" w:rsidRPr="00BD2EF3" w:rsidRDefault="003A1C75" w:rsidP="003A1C75">
            <w:pPr>
              <w:pStyle w:val="Tabletext"/>
            </w:pPr>
            <w:r w:rsidRPr="00BD2EF3">
              <w:t>Full study</w:t>
            </w:r>
          </w:p>
        </w:tc>
        <w:tc>
          <w:tcPr>
            <w:tcW w:w="1027" w:type="dxa"/>
            <w:shd w:val="clear" w:color="auto" w:fill="auto"/>
          </w:tcPr>
          <w:p w14:paraId="46BD5485" w14:textId="77777777" w:rsidR="003A1C75" w:rsidRPr="00BD2EF3" w:rsidRDefault="003A1C75" w:rsidP="003A1C75">
            <w:pPr>
              <w:pStyle w:val="Tabletext"/>
            </w:pPr>
            <w:r w:rsidRPr="00BD2EF3">
              <w:t>2</w:t>
            </w:r>
          </w:p>
        </w:tc>
        <w:tc>
          <w:tcPr>
            <w:tcW w:w="1895" w:type="dxa"/>
            <w:shd w:val="clear" w:color="auto" w:fill="auto"/>
          </w:tcPr>
          <w:p w14:paraId="68605B24" w14:textId="77777777" w:rsidR="003A1C75" w:rsidRPr="00BD2EF3" w:rsidRDefault="003A1C75" w:rsidP="003A1C75">
            <w:pPr>
              <w:pStyle w:val="Tabletext"/>
            </w:pPr>
            <w:r w:rsidRPr="00BD2EF3">
              <w:t>None specified</w:t>
            </w:r>
          </w:p>
        </w:tc>
        <w:tc>
          <w:tcPr>
            <w:tcW w:w="3828" w:type="dxa"/>
            <w:shd w:val="clear" w:color="auto" w:fill="auto"/>
          </w:tcPr>
          <w:p w14:paraId="53955256" w14:textId="77777777" w:rsidR="003A1C75" w:rsidRPr="00BD2EF3" w:rsidRDefault="003A1C75" w:rsidP="003A1C75">
            <w:pPr>
              <w:pStyle w:val="Tabletext"/>
            </w:pPr>
            <w:r w:rsidRPr="00BD2EF3">
              <w:t>Case report on endoscopic placement of capsule</w:t>
            </w:r>
          </w:p>
        </w:tc>
      </w:tr>
      <w:tr w:rsidR="003A1C75" w:rsidRPr="00BD2EF3" w14:paraId="2D57F126" w14:textId="77777777" w:rsidTr="003A1C75">
        <w:trPr>
          <w:cantSplit/>
        </w:trPr>
        <w:tc>
          <w:tcPr>
            <w:tcW w:w="1242" w:type="dxa"/>
            <w:shd w:val="clear" w:color="auto" w:fill="auto"/>
          </w:tcPr>
          <w:p w14:paraId="5424A0EF" w14:textId="77777777" w:rsidR="003A1C75" w:rsidRPr="00BF7294" w:rsidRDefault="003A1C75" w:rsidP="003A1C75">
            <w:pPr>
              <w:pStyle w:val="Tabletext"/>
            </w:pPr>
            <w:r w:rsidRPr="00BF7294">
              <w:t>Scapa</w:t>
            </w:r>
          </w:p>
        </w:tc>
        <w:tc>
          <w:tcPr>
            <w:tcW w:w="1047" w:type="dxa"/>
            <w:shd w:val="clear" w:color="auto" w:fill="auto"/>
          </w:tcPr>
          <w:p w14:paraId="1C3ED528" w14:textId="77777777" w:rsidR="003A1C75" w:rsidRPr="00BF7294" w:rsidRDefault="003A1C75" w:rsidP="003A1C75">
            <w:pPr>
              <w:pStyle w:val="Tabletext"/>
            </w:pPr>
            <w:r w:rsidRPr="00BF7294">
              <w:t>Full study</w:t>
            </w:r>
          </w:p>
        </w:tc>
        <w:tc>
          <w:tcPr>
            <w:tcW w:w="1027" w:type="dxa"/>
            <w:shd w:val="clear" w:color="auto" w:fill="auto"/>
          </w:tcPr>
          <w:p w14:paraId="31841B53" w14:textId="77777777" w:rsidR="003A1C75" w:rsidRPr="00BF7294" w:rsidRDefault="003A1C75" w:rsidP="003A1C75">
            <w:pPr>
              <w:pStyle w:val="Tabletext"/>
            </w:pPr>
            <w:r w:rsidRPr="00BF7294">
              <w:t>1</w:t>
            </w:r>
          </w:p>
        </w:tc>
        <w:tc>
          <w:tcPr>
            <w:tcW w:w="1895" w:type="dxa"/>
            <w:shd w:val="clear" w:color="auto" w:fill="auto"/>
          </w:tcPr>
          <w:p w14:paraId="3419170B" w14:textId="77777777" w:rsidR="003A1C75" w:rsidRPr="00BF7294" w:rsidRDefault="003A1C75" w:rsidP="003A1C75">
            <w:pPr>
              <w:pStyle w:val="Tabletext"/>
            </w:pPr>
            <w:r w:rsidRPr="00BF7294">
              <w:t>None specified</w:t>
            </w:r>
          </w:p>
        </w:tc>
        <w:tc>
          <w:tcPr>
            <w:tcW w:w="3828" w:type="dxa"/>
            <w:shd w:val="clear" w:color="auto" w:fill="auto"/>
          </w:tcPr>
          <w:p w14:paraId="4195DD4F" w14:textId="77777777" w:rsidR="003A1C75" w:rsidRPr="00BF7294" w:rsidRDefault="003A1C75" w:rsidP="003A1C75">
            <w:pPr>
              <w:pStyle w:val="Tabletext"/>
            </w:pPr>
            <w:r w:rsidRPr="00BF7294">
              <w:t>Case report, previous colonoscopies at  6 and 18 months, previous endoscopy at 18 months, reasons for repeats is unclear</w:t>
            </w:r>
          </w:p>
        </w:tc>
      </w:tr>
      <w:tr w:rsidR="003A1C75" w:rsidRPr="00BD2EF3" w14:paraId="57C8756C" w14:textId="77777777" w:rsidTr="003A1C75">
        <w:trPr>
          <w:cantSplit/>
        </w:trPr>
        <w:tc>
          <w:tcPr>
            <w:tcW w:w="1242" w:type="dxa"/>
            <w:shd w:val="clear" w:color="auto" w:fill="auto"/>
          </w:tcPr>
          <w:p w14:paraId="21CB034B" w14:textId="77777777" w:rsidR="003A1C75" w:rsidRPr="00BD2EF3" w:rsidRDefault="003A1C75" w:rsidP="003A1C75">
            <w:pPr>
              <w:pStyle w:val="Tabletext"/>
            </w:pPr>
            <w:r w:rsidRPr="00BD2EF3">
              <w:t>Lim</w:t>
            </w:r>
          </w:p>
        </w:tc>
        <w:tc>
          <w:tcPr>
            <w:tcW w:w="1047" w:type="dxa"/>
            <w:shd w:val="clear" w:color="auto" w:fill="auto"/>
          </w:tcPr>
          <w:p w14:paraId="044A087A" w14:textId="77777777" w:rsidR="003A1C75" w:rsidRPr="00BD2EF3" w:rsidRDefault="003A1C75" w:rsidP="003A1C75">
            <w:pPr>
              <w:pStyle w:val="Tabletext"/>
            </w:pPr>
            <w:r w:rsidRPr="00BD2EF3">
              <w:t>Abstract</w:t>
            </w:r>
          </w:p>
        </w:tc>
        <w:tc>
          <w:tcPr>
            <w:tcW w:w="1027" w:type="dxa"/>
            <w:shd w:val="clear" w:color="auto" w:fill="auto"/>
          </w:tcPr>
          <w:p w14:paraId="2733D496" w14:textId="77777777" w:rsidR="003A1C75" w:rsidRPr="00BD2EF3" w:rsidRDefault="003A1C75" w:rsidP="003A1C75">
            <w:pPr>
              <w:pStyle w:val="Tabletext"/>
            </w:pPr>
            <w:r w:rsidRPr="00BD2EF3">
              <w:t>29</w:t>
            </w:r>
          </w:p>
        </w:tc>
        <w:tc>
          <w:tcPr>
            <w:tcW w:w="1895" w:type="dxa"/>
            <w:shd w:val="clear" w:color="auto" w:fill="auto"/>
          </w:tcPr>
          <w:p w14:paraId="0A6F550A" w14:textId="77777777" w:rsidR="003A1C75" w:rsidRPr="00BD2EF3" w:rsidRDefault="003A1C75" w:rsidP="003A1C75">
            <w:pPr>
              <w:pStyle w:val="Tabletext"/>
            </w:pPr>
            <w:r w:rsidRPr="00BD2EF3">
              <w:t>None specified</w:t>
            </w:r>
          </w:p>
        </w:tc>
        <w:tc>
          <w:tcPr>
            <w:tcW w:w="3828" w:type="dxa"/>
            <w:shd w:val="clear" w:color="auto" w:fill="auto"/>
          </w:tcPr>
          <w:p w14:paraId="6C1E0C3D" w14:textId="77777777" w:rsidR="003A1C75" w:rsidRPr="00BD2EF3" w:rsidRDefault="003A1C75" w:rsidP="003A1C75">
            <w:pPr>
              <w:pStyle w:val="Tabletext"/>
            </w:pPr>
            <w:r w:rsidRPr="00BD2EF3">
              <w:t xml:space="preserve">Comparison with push enteroscopy </w:t>
            </w:r>
          </w:p>
        </w:tc>
      </w:tr>
      <w:tr w:rsidR="003A1C75" w:rsidRPr="00BD2EF3" w14:paraId="77DB3792" w14:textId="77777777" w:rsidTr="003A1C75">
        <w:trPr>
          <w:cantSplit/>
        </w:trPr>
        <w:tc>
          <w:tcPr>
            <w:tcW w:w="1242" w:type="dxa"/>
            <w:shd w:val="clear" w:color="auto" w:fill="auto"/>
          </w:tcPr>
          <w:p w14:paraId="404D946A" w14:textId="77777777" w:rsidR="003A1C75" w:rsidRPr="00BD2EF3" w:rsidRDefault="003A1C75" w:rsidP="003A1C75">
            <w:pPr>
              <w:pStyle w:val="Tabletext"/>
            </w:pPr>
            <w:proofErr w:type="spellStart"/>
            <w:r w:rsidRPr="00BD2EF3">
              <w:t>Mylonaki</w:t>
            </w:r>
            <w:proofErr w:type="spellEnd"/>
          </w:p>
        </w:tc>
        <w:tc>
          <w:tcPr>
            <w:tcW w:w="1047" w:type="dxa"/>
            <w:shd w:val="clear" w:color="auto" w:fill="auto"/>
          </w:tcPr>
          <w:p w14:paraId="7B437AB9" w14:textId="77777777" w:rsidR="003A1C75" w:rsidRPr="00BD2EF3" w:rsidRDefault="003A1C75" w:rsidP="003A1C75">
            <w:pPr>
              <w:pStyle w:val="Tabletext"/>
            </w:pPr>
            <w:r w:rsidRPr="00BD2EF3">
              <w:t>Abstract</w:t>
            </w:r>
          </w:p>
        </w:tc>
        <w:tc>
          <w:tcPr>
            <w:tcW w:w="1027" w:type="dxa"/>
            <w:shd w:val="clear" w:color="auto" w:fill="auto"/>
          </w:tcPr>
          <w:p w14:paraId="66C811B4" w14:textId="77777777" w:rsidR="003A1C75" w:rsidRPr="00BD2EF3" w:rsidRDefault="003A1C75" w:rsidP="003A1C75">
            <w:pPr>
              <w:pStyle w:val="Tabletext"/>
            </w:pPr>
            <w:r w:rsidRPr="00BD2EF3">
              <w:t>60</w:t>
            </w:r>
          </w:p>
        </w:tc>
        <w:tc>
          <w:tcPr>
            <w:tcW w:w="1895" w:type="dxa"/>
            <w:shd w:val="clear" w:color="auto" w:fill="auto"/>
          </w:tcPr>
          <w:p w14:paraId="245C0208" w14:textId="77777777" w:rsidR="003A1C75" w:rsidRPr="00BD2EF3" w:rsidRDefault="003A1C75" w:rsidP="003A1C75">
            <w:pPr>
              <w:pStyle w:val="Tabletext"/>
            </w:pPr>
            <w:r w:rsidRPr="00BD2EF3">
              <w:t>None specified</w:t>
            </w:r>
          </w:p>
        </w:tc>
        <w:tc>
          <w:tcPr>
            <w:tcW w:w="3828" w:type="dxa"/>
            <w:shd w:val="clear" w:color="auto" w:fill="auto"/>
          </w:tcPr>
          <w:p w14:paraId="78C6A600" w14:textId="77777777" w:rsidR="003A1C75" w:rsidRPr="00BD2EF3" w:rsidRDefault="003A1C75" w:rsidP="003A1C75">
            <w:pPr>
              <w:pStyle w:val="Tabletext"/>
            </w:pPr>
            <w:r w:rsidRPr="00BD2EF3">
              <w:t xml:space="preserve">Comparison with push enteroscopy </w:t>
            </w:r>
          </w:p>
        </w:tc>
      </w:tr>
      <w:tr w:rsidR="003A1C75" w:rsidRPr="00BD2EF3" w14:paraId="3D5B36D3" w14:textId="77777777" w:rsidTr="003A1C75">
        <w:trPr>
          <w:cantSplit/>
        </w:trPr>
        <w:tc>
          <w:tcPr>
            <w:tcW w:w="1242" w:type="dxa"/>
            <w:shd w:val="clear" w:color="auto" w:fill="auto"/>
          </w:tcPr>
          <w:p w14:paraId="2FEFD9B2" w14:textId="77777777" w:rsidR="003A1C75" w:rsidRPr="00BD2EF3" w:rsidRDefault="003A1C75" w:rsidP="003A1C75">
            <w:pPr>
              <w:pStyle w:val="Tabletext"/>
            </w:pPr>
            <w:r w:rsidRPr="00BD2EF3">
              <w:t>Cave</w:t>
            </w:r>
          </w:p>
        </w:tc>
        <w:tc>
          <w:tcPr>
            <w:tcW w:w="1047" w:type="dxa"/>
            <w:shd w:val="clear" w:color="auto" w:fill="auto"/>
          </w:tcPr>
          <w:p w14:paraId="1F7F4CAB" w14:textId="77777777" w:rsidR="003A1C75" w:rsidRPr="00BD2EF3" w:rsidRDefault="003A1C75" w:rsidP="003A1C75">
            <w:pPr>
              <w:pStyle w:val="Tabletext"/>
            </w:pPr>
            <w:r w:rsidRPr="00BD2EF3">
              <w:t>Abstract</w:t>
            </w:r>
          </w:p>
        </w:tc>
        <w:tc>
          <w:tcPr>
            <w:tcW w:w="1027" w:type="dxa"/>
            <w:shd w:val="clear" w:color="auto" w:fill="auto"/>
          </w:tcPr>
          <w:p w14:paraId="71AD0F24" w14:textId="77777777" w:rsidR="003A1C75" w:rsidRPr="00BD2EF3" w:rsidRDefault="003A1C75" w:rsidP="003A1C75">
            <w:pPr>
              <w:pStyle w:val="Tabletext"/>
            </w:pPr>
            <w:r w:rsidRPr="00BD2EF3">
              <w:t>137</w:t>
            </w:r>
          </w:p>
        </w:tc>
        <w:tc>
          <w:tcPr>
            <w:tcW w:w="1895" w:type="dxa"/>
            <w:shd w:val="clear" w:color="auto" w:fill="auto"/>
          </w:tcPr>
          <w:p w14:paraId="172ABBCF" w14:textId="77777777" w:rsidR="003A1C75" w:rsidRPr="00BD2EF3" w:rsidRDefault="003A1C75" w:rsidP="003A1C75">
            <w:pPr>
              <w:pStyle w:val="Tabletext"/>
            </w:pPr>
            <w:r w:rsidRPr="00BD2EF3">
              <w:t>None specified</w:t>
            </w:r>
          </w:p>
        </w:tc>
        <w:tc>
          <w:tcPr>
            <w:tcW w:w="3828" w:type="dxa"/>
            <w:shd w:val="clear" w:color="auto" w:fill="auto"/>
          </w:tcPr>
          <w:p w14:paraId="5D73C50C" w14:textId="77777777" w:rsidR="003A1C75" w:rsidRPr="00BD2EF3" w:rsidRDefault="003A1C75" w:rsidP="003A1C75">
            <w:pPr>
              <w:pStyle w:val="Tabletext"/>
            </w:pPr>
            <w:r w:rsidRPr="00BD2EF3">
              <w:t>–</w:t>
            </w:r>
          </w:p>
        </w:tc>
      </w:tr>
      <w:tr w:rsidR="003A1C75" w:rsidRPr="00BD2EF3" w14:paraId="30AC1B74" w14:textId="77777777" w:rsidTr="003A1C75">
        <w:trPr>
          <w:cantSplit/>
        </w:trPr>
        <w:tc>
          <w:tcPr>
            <w:tcW w:w="1242" w:type="dxa"/>
            <w:shd w:val="clear" w:color="auto" w:fill="auto"/>
          </w:tcPr>
          <w:p w14:paraId="6F5311D8" w14:textId="77777777" w:rsidR="003A1C75" w:rsidRPr="00BD2EF3" w:rsidRDefault="003A1C75" w:rsidP="003A1C75">
            <w:pPr>
              <w:pStyle w:val="Tabletext"/>
            </w:pPr>
            <w:r w:rsidRPr="00BD2EF3">
              <w:t>De Luca</w:t>
            </w:r>
          </w:p>
        </w:tc>
        <w:tc>
          <w:tcPr>
            <w:tcW w:w="1047" w:type="dxa"/>
            <w:shd w:val="clear" w:color="auto" w:fill="auto"/>
          </w:tcPr>
          <w:p w14:paraId="60E07976" w14:textId="77777777" w:rsidR="003A1C75" w:rsidRPr="00BD2EF3" w:rsidRDefault="003A1C75" w:rsidP="003A1C75">
            <w:pPr>
              <w:pStyle w:val="Tabletext"/>
            </w:pPr>
            <w:r w:rsidRPr="00BD2EF3">
              <w:t>Abstract</w:t>
            </w:r>
          </w:p>
        </w:tc>
        <w:tc>
          <w:tcPr>
            <w:tcW w:w="1027" w:type="dxa"/>
            <w:shd w:val="clear" w:color="auto" w:fill="auto"/>
          </w:tcPr>
          <w:p w14:paraId="1EA09696" w14:textId="77777777" w:rsidR="003A1C75" w:rsidRPr="00BD2EF3" w:rsidRDefault="003A1C75" w:rsidP="003A1C75">
            <w:pPr>
              <w:pStyle w:val="Tabletext"/>
            </w:pPr>
            <w:r w:rsidRPr="00BD2EF3">
              <w:t>34</w:t>
            </w:r>
          </w:p>
        </w:tc>
        <w:tc>
          <w:tcPr>
            <w:tcW w:w="1895" w:type="dxa"/>
            <w:shd w:val="clear" w:color="auto" w:fill="auto"/>
          </w:tcPr>
          <w:p w14:paraId="11BDAF7E" w14:textId="77777777" w:rsidR="003A1C75" w:rsidRPr="00BD2EF3" w:rsidRDefault="003A1C75" w:rsidP="003A1C75">
            <w:pPr>
              <w:pStyle w:val="Tabletext"/>
            </w:pPr>
            <w:r w:rsidRPr="00BD2EF3">
              <w:t>None specified</w:t>
            </w:r>
          </w:p>
        </w:tc>
        <w:tc>
          <w:tcPr>
            <w:tcW w:w="3828" w:type="dxa"/>
            <w:shd w:val="clear" w:color="auto" w:fill="auto"/>
          </w:tcPr>
          <w:p w14:paraId="350234B0" w14:textId="77777777" w:rsidR="003A1C75" w:rsidRPr="00BD2EF3" w:rsidRDefault="003A1C75" w:rsidP="003A1C75">
            <w:pPr>
              <w:pStyle w:val="Tabletext"/>
            </w:pPr>
            <w:r w:rsidRPr="00BD2EF3">
              <w:t>–</w:t>
            </w:r>
          </w:p>
        </w:tc>
      </w:tr>
      <w:tr w:rsidR="003A1C75" w:rsidRPr="00BD2EF3" w14:paraId="69B35BE4" w14:textId="77777777" w:rsidTr="003A1C75">
        <w:trPr>
          <w:cantSplit/>
        </w:trPr>
        <w:tc>
          <w:tcPr>
            <w:tcW w:w="1242" w:type="dxa"/>
            <w:shd w:val="clear" w:color="auto" w:fill="auto"/>
          </w:tcPr>
          <w:p w14:paraId="55A610F9" w14:textId="77777777" w:rsidR="003A1C75" w:rsidRPr="00BD2EF3" w:rsidRDefault="003A1C75" w:rsidP="003A1C75">
            <w:pPr>
              <w:pStyle w:val="Tabletext"/>
            </w:pPr>
            <w:proofErr w:type="spellStart"/>
            <w:r w:rsidRPr="00BD2EF3">
              <w:t>Enns</w:t>
            </w:r>
            <w:proofErr w:type="spellEnd"/>
          </w:p>
        </w:tc>
        <w:tc>
          <w:tcPr>
            <w:tcW w:w="1047" w:type="dxa"/>
            <w:shd w:val="clear" w:color="auto" w:fill="auto"/>
          </w:tcPr>
          <w:p w14:paraId="5EE60682" w14:textId="77777777" w:rsidR="003A1C75" w:rsidRPr="00BD2EF3" w:rsidRDefault="003A1C75" w:rsidP="003A1C75">
            <w:pPr>
              <w:pStyle w:val="Tabletext"/>
            </w:pPr>
            <w:r w:rsidRPr="00BD2EF3">
              <w:t>Abstract</w:t>
            </w:r>
          </w:p>
        </w:tc>
        <w:tc>
          <w:tcPr>
            <w:tcW w:w="1027" w:type="dxa"/>
            <w:shd w:val="clear" w:color="auto" w:fill="auto"/>
          </w:tcPr>
          <w:p w14:paraId="39949234" w14:textId="77777777" w:rsidR="003A1C75" w:rsidRPr="00BD2EF3" w:rsidRDefault="003A1C75" w:rsidP="003A1C75">
            <w:pPr>
              <w:pStyle w:val="Tabletext"/>
            </w:pPr>
            <w:r w:rsidRPr="00BD2EF3">
              <w:t>259</w:t>
            </w:r>
          </w:p>
        </w:tc>
        <w:tc>
          <w:tcPr>
            <w:tcW w:w="1895" w:type="dxa"/>
            <w:shd w:val="clear" w:color="auto" w:fill="auto"/>
          </w:tcPr>
          <w:p w14:paraId="13B99ABA" w14:textId="77777777" w:rsidR="003A1C75" w:rsidRPr="00BD2EF3" w:rsidRDefault="003A1C75" w:rsidP="003A1C75">
            <w:pPr>
              <w:pStyle w:val="Tabletext"/>
            </w:pPr>
            <w:r w:rsidRPr="00BD2EF3">
              <w:t>None specified</w:t>
            </w:r>
          </w:p>
        </w:tc>
        <w:tc>
          <w:tcPr>
            <w:tcW w:w="3828" w:type="dxa"/>
            <w:shd w:val="clear" w:color="auto" w:fill="auto"/>
          </w:tcPr>
          <w:p w14:paraId="52719022" w14:textId="77777777" w:rsidR="003A1C75" w:rsidRPr="00BD2EF3" w:rsidRDefault="003A1C75" w:rsidP="003A1C75">
            <w:pPr>
              <w:pStyle w:val="Tabletext"/>
            </w:pPr>
            <w:r w:rsidRPr="00BD2EF3">
              <w:t>Mostly obscure bleeding patients, some others</w:t>
            </w:r>
          </w:p>
        </w:tc>
      </w:tr>
      <w:tr w:rsidR="003A1C75" w:rsidRPr="00BD2EF3" w14:paraId="7C5EC402" w14:textId="77777777" w:rsidTr="003A1C75">
        <w:trPr>
          <w:cantSplit/>
        </w:trPr>
        <w:tc>
          <w:tcPr>
            <w:tcW w:w="1242" w:type="dxa"/>
            <w:shd w:val="clear" w:color="auto" w:fill="auto"/>
          </w:tcPr>
          <w:p w14:paraId="20D9171E" w14:textId="77777777" w:rsidR="003A1C75" w:rsidRPr="00BD2EF3" w:rsidRDefault="003A1C75" w:rsidP="003A1C75">
            <w:pPr>
              <w:pStyle w:val="Tabletext"/>
            </w:pPr>
            <w:r w:rsidRPr="00BD2EF3">
              <w:t>Fernandez-Diaz</w:t>
            </w:r>
          </w:p>
        </w:tc>
        <w:tc>
          <w:tcPr>
            <w:tcW w:w="1047" w:type="dxa"/>
            <w:shd w:val="clear" w:color="auto" w:fill="auto"/>
          </w:tcPr>
          <w:p w14:paraId="435892D8" w14:textId="77777777" w:rsidR="003A1C75" w:rsidRPr="00BD2EF3" w:rsidRDefault="003A1C75" w:rsidP="003A1C75">
            <w:pPr>
              <w:pStyle w:val="Tabletext"/>
            </w:pPr>
            <w:r w:rsidRPr="00BD2EF3">
              <w:t>Abstract</w:t>
            </w:r>
          </w:p>
        </w:tc>
        <w:tc>
          <w:tcPr>
            <w:tcW w:w="1027" w:type="dxa"/>
            <w:shd w:val="clear" w:color="auto" w:fill="auto"/>
          </w:tcPr>
          <w:p w14:paraId="3806441B" w14:textId="77777777" w:rsidR="003A1C75" w:rsidRPr="00BD2EF3" w:rsidRDefault="003A1C75" w:rsidP="003A1C75">
            <w:pPr>
              <w:pStyle w:val="Tabletext"/>
            </w:pPr>
            <w:r w:rsidRPr="00BD2EF3">
              <w:t>22</w:t>
            </w:r>
          </w:p>
        </w:tc>
        <w:tc>
          <w:tcPr>
            <w:tcW w:w="1895" w:type="dxa"/>
            <w:shd w:val="clear" w:color="auto" w:fill="auto"/>
          </w:tcPr>
          <w:p w14:paraId="636F9F44" w14:textId="77777777" w:rsidR="003A1C75" w:rsidRPr="00BD2EF3" w:rsidRDefault="003A1C75" w:rsidP="003A1C75">
            <w:pPr>
              <w:pStyle w:val="Tabletext"/>
            </w:pPr>
            <w:r w:rsidRPr="00BD2EF3">
              <w:t>None specified</w:t>
            </w:r>
          </w:p>
        </w:tc>
        <w:tc>
          <w:tcPr>
            <w:tcW w:w="3828" w:type="dxa"/>
            <w:shd w:val="clear" w:color="auto" w:fill="auto"/>
          </w:tcPr>
          <w:p w14:paraId="4C3DDD47" w14:textId="77777777" w:rsidR="003A1C75" w:rsidRPr="00BD2EF3" w:rsidRDefault="003A1C75" w:rsidP="003A1C75">
            <w:pPr>
              <w:pStyle w:val="Tabletext"/>
            </w:pPr>
            <w:r w:rsidRPr="00BD2EF3">
              <w:t>–</w:t>
            </w:r>
          </w:p>
        </w:tc>
      </w:tr>
      <w:tr w:rsidR="003A1C75" w:rsidRPr="00BD2EF3" w14:paraId="4F6CA007" w14:textId="77777777" w:rsidTr="003A1C75">
        <w:trPr>
          <w:cantSplit/>
        </w:trPr>
        <w:tc>
          <w:tcPr>
            <w:tcW w:w="1242" w:type="dxa"/>
            <w:shd w:val="clear" w:color="auto" w:fill="auto"/>
          </w:tcPr>
          <w:p w14:paraId="5A926B0C" w14:textId="77777777" w:rsidR="003A1C75" w:rsidRPr="00BD2EF3" w:rsidRDefault="003A1C75" w:rsidP="003A1C75">
            <w:pPr>
              <w:pStyle w:val="Tabletext"/>
            </w:pPr>
            <w:proofErr w:type="spellStart"/>
            <w:r w:rsidRPr="00BD2EF3">
              <w:t>Girelli</w:t>
            </w:r>
            <w:proofErr w:type="spellEnd"/>
          </w:p>
        </w:tc>
        <w:tc>
          <w:tcPr>
            <w:tcW w:w="1047" w:type="dxa"/>
            <w:shd w:val="clear" w:color="auto" w:fill="auto"/>
          </w:tcPr>
          <w:p w14:paraId="3E21A1F9" w14:textId="77777777" w:rsidR="003A1C75" w:rsidRPr="00BD2EF3" w:rsidRDefault="003A1C75" w:rsidP="003A1C75">
            <w:pPr>
              <w:pStyle w:val="Tabletext"/>
            </w:pPr>
            <w:r w:rsidRPr="00BD2EF3">
              <w:t>Abstract</w:t>
            </w:r>
          </w:p>
        </w:tc>
        <w:tc>
          <w:tcPr>
            <w:tcW w:w="1027" w:type="dxa"/>
            <w:shd w:val="clear" w:color="auto" w:fill="auto"/>
          </w:tcPr>
          <w:p w14:paraId="2B4F958A" w14:textId="77777777" w:rsidR="003A1C75" w:rsidRPr="00BD2EF3" w:rsidRDefault="003A1C75" w:rsidP="003A1C75">
            <w:pPr>
              <w:pStyle w:val="Tabletext"/>
            </w:pPr>
            <w:r w:rsidRPr="00BD2EF3">
              <w:t>15</w:t>
            </w:r>
          </w:p>
        </w:tc>
        <w:tc>
          <w:tcPr>
            <w:tcW w:w="1895" w:type="dxa"/>
            <w:shd w:val="clear" w:color="auto" w:fill="auto"/>
          </w:tcPr>
          <w:p w14:paraId="27289EEF" w14:textId="77777777" w:rsidR="003A1C75" w:rsidRPr="00BD2EF3" w:rsidRDefault="003A1C75" w:rsidP="003A1C75">
            <w:pPr>
              <w:pStyle w:val="Tabletext"/>
            </w:pPr>
            <w:r w:rsidRPr="00BD2EF3">
              <w:t>None specified</w:t>
            </w:r>
          </w:p>
        </w:tc>
        <w:tc>
          <w:tcPr>
            <w:tcW w:w="3828" w:type="dxa"/>
            <w:shd w:val="clear" w:color="auto" w:fill="auto"/>
          </w:tcPr>
          <w:p w14:paraId="5C65FB75" w14:textId="77777777" w:rsidR="003A1C75" w:rsidRPr="00BD2EF3" w:rsidRDefault="003A1C75" w:rsidP="003A1C75">
            <w:pPr>
              <w:pStyle w:val="Tabletext"/>
            </w:pPr>
            <w:r w:rsidRPr="00BD2EF3">
              <w:t>–</w:t>
            </w:r>
          </w:p>
        </w:tc>
      </w:tr>
      <w:tr w:rsidR="003A1C75" w:rsidRPr="00BD2EF3" w14:paraId="021FD81E" w14:textId="77777777" w:rsidTr="003A1C75">
        <w:trPr>
          <w:cantSplit/>
        </w:trPr>
        <w:tc>
          <w:tcPr>
            <w:tcW w:w="1242" w:type="dxa"/>
            <w:shd w:val="clear" w:color="auto" w:fill="auto"/>
          </w:tcPr>
          <w:p w14:paraId="1544154C" w14:textId="77777777" w:rsidR="003A1C75" w:rsidRPr="00BD2EF3" w:rsidRDefault="003A1C75" w:rsidP="003A1C75">
            <w:pPr>
              <w:pStyle w:val="Tabletext"/>
            </w:pPr>
            <w:proofErr w:type="spellStart"/>
            <w:r w:rsidRPr="00BD2EF3">
              <w:t>Landaeta</w:t>
            </w:r>
            <w:proofErr w:type="spellEnd"/>
          </w:p>
        </w:tc>
        <w:tc>
          <w:tcPr>
            <w:tcW w:w="1047" w:type="dxa"/>
            <w:shd w:val="clear" w:color="auto" w:fill="auto"/>
          </w:tcPr>
          <w:p w14:paraId="6FF1B589" w14:textId="77777777" w:rsidR="003A1C75" w:rsidRPr="00BD2EF3" w:rsidRDefault="003A1C75" w:rsidP="003A1C75">
            <w:pPr>
              <w:pStyle w:val="Tabletext"/>
            </w:pPr>
            <w:r w:rsidRPr="00BD2EF3">
              <w:t>Abstract</w:t>
            </w:r>
          </w:p>
        </w:tc>
        <w:tc>
          <w:tcPr>
            <w:tcW w:w="1027" w:type="dxa"/>
            <w:shd w:val="clear" w:color="auto" w:fill="auto"/>
          </w:tcPr>
          <w:p w14:paraId="26CE3A10" w14:textId="77777777" w:rsidR="003A1C75" w:rsidRPr="00BD2EF3" w:rsidRDefault="003A1C75" w:rsidP="003A1C75">
            <w:pPr>
              <w:pStyle w:val="Tabletext"/>
            </w:pPr>
            <w:r w:rsidRPr="00BD2EF3">
              <w:t>19</w:t>
            </w:r>
          </w:p>
        </w:tc>
        <w:tc>
          <w:tcPr>
            <w:tcW w:w="1895" w:type="dxa"/>
            <w:shd w:val="clear" w:color="auto" w:fill="auto"/>
          </w:tcPr>
          <w:p w14:paraId="509643DD" w14:textId="77777777" w:rsidR="003A1C75" w:rsidRPr="00BD2EF3" w:rsidRDefault="003A1C75" w:rsidP="003A1C75">
            <w:pPr>
              <w:pStyle w:val="Tabletext"/>
            </w:pPr>
            <w:r w:rsidRPr="00BD2EF3">
              <w:t>None specified</w:t>
            </w:r>
          </w:p>
        </w:tc>
        <w:tc>
          <w:tcPr>
            <w:tcW w:w="3828" w:type="dxa"/>
            <w:shd w:val="clear" w:color="auto" w:fill="auto"/>
          </w:tcPr>
          <w:p w14:paraId="2FB65D23" w14:textId="77777777" w:rsidR="003A1C75" w:rsidRPr="00BD2EF3" w:rsidRDefault="003A1C75" w:rsidP="003A1C75">
            <w:pPr>
              <w:pStyle w:val="Tabletext"/>
            </w:pPr>
            <w:r w:rsidRPr="00BD2EF3">
              <w:t>–</w:t>
            </w:r>
          </w:p>
        </w:tc>
      </w:tr>
      <w:tr w:rsidR="003A1C75" w:rsidRPr="00BD2EF3" w14:paraId="7F4709E6" w14:textId="77777777" w:rsidTr="003A1C75">
        <w:trPr>
          <w:cantSplit/>
        </w:trPr>
        <w:tc>
          <w:tcPr>
            <w:tcW w:w="1242" w:type="dxa"/>
            <w:shd w:val="clear" w:color="auto" w:fill="auto"/>
          </w:tcPr>
          <w:p w14:paraId="1AB2A68E" w14:textId="77777777" w:rsidR="003A1C75" w:rsidRPr="00BD2EF3" w:rsidRDefault="003A1C75" w:rsidP="003A1C75">
            <w:pPr>
              <w:pStyle w:val="Tabletext"/>
            </w:pPr>
            <w:proofErr w:type="spellStart"/>
            <w:r w:rsidRPr="00BD2EF3">
              <w:t>Morandi</w:t>
            </w:r>
            <w:proofErr w:type="spellEnd"/>
          </w:p>
        </w:tc>
        <w:tc>
          <w:tcPr>
            <w:tcW w:w="1047" w:type="dxa"/>
            <w:shd w:val="clear" w:color="auto" w:fill="auto"/>
          </w:tcPr>
          <w:p w14:paraId="52AC5D25" w14:textId="77777777" w:rsidR="003A1C75" w:rsidRPr="00BD2EF3" w:rsidRDefault="003A1C75" w:rsidP="003A1C75">
            <w:pPr>
              <w:pStyle w:val="Tabletext"/>
            </w:pPr>
            <w:r w:rsidRPr="00BD2EF3">
              <w:t>Abstract</w:t>
            </w:r>
          </w:p>
        </w:tc>
        <w:tc>
          <w:tcPr>
            <w:tcW w:w="1027" w:type="dxa"/>
            <w:shd w:val="clear" w:color="auto" w:fill="auto"/>
          </w:tcPr>
          <w:p w14:paraId="397E30D4" w14:textId="77777777" w:rsidR="003A1C75" w:rsidRPr="00BD2EF3" w:rsidRDefault="003A1C75" w:rsidP="003A1C75">
            <w:pPr>
              <w:pStyle w:val="Tabletext"/>
            </w:pPr>
            <w:r w:rsidRPr="00BD2EF3">
              <w:t>46</w:t>
            </w:r>
          </w:p>
        </w:tc>
        <w:tc>
          <w:tcPr>
            <w:tcW w:w="1895" w:type="dxa"/>
            <w:shd w:val="clear" w:color="auto" w:fill="auto"/>
          </w:tcPr>
          <w:p w14:paraId="39240D6F" w14:textId="77777777" w:rsidR="003A1C75" w:rsidRPr="00BD2EF3" w:rsidRDefault="003A1C75" w:rsidP="003A1C75">
            <w:pPr>
              <w:pStyle w:val="Tabletext"/>
            </w:pPr>
            <w:r w:rsidRPr="00BD2EF3">
              <w:t>None specified</w:t>
            </w:r>
          </w:p>
        </w:tc>
        <w:tc>
          <w:tcPr>
            <w:tcW w:w="3828" w:type="dxa"/>
            <w:shd w:val="clear" w:color="auto" w:fill="auto"/>
          </w:tcPr>
          <w:p w14:paraId="37241BB0" w14:textId="77777777" w:rsidR="003A1C75" w:rsidRPr="00BD2EF3" w:rsidRDefault="003A1C75" w:rsidP="003A1C75">
            <w:pPr>
              <w:pStyle w:val="Tabletext"/>
            </w:pPr>
            <w:r w:rsidRPr="00BD2EF3">
              <w:t>Mostly obscure bleeding patients, some others</w:t>
            </w:r>
          </w:p>
        </w:tc>
      </w:tr>
      <w:tr w:rsidR="003A1C75" w:rsidRPr="00BD2EF3" w14:paraId="311FAD5E" w14:textId="77777777" w:rsidTr="003A1C75">
        <w:trPr>
          <w:cantSplit/>
        </w:trPr>
        <w:tc>
          <w:tcPr>
            <w:tcW w:w="1242" w:type="dxa"/>
            <w:shd w:val="clear" w:color="auto" w:fill="auto"/>
          </w:tcPr>
          <w:p w14:paraId="6353AA06" w14:textId="77777777" w:rsidR="003A1C75" w:rsidRPr="00BD2EF3" w:rsidRDefault="003A1C75" w:rsidP="003A1C75">
            <w:pPr>
              <w:pStyle w:val="Tabletext"/>
            </w:pPr>
            <w:r w:rsidRPr="00BD2EF3">
              <w:t>Rossini</w:t>
            </w:r>
          </w:p>
        </w:tc>
        <w:tc>
          <w:tcPr>
            <w:tcW w:w="1047" w:type="dxa"/>
            <w:shd w:val="clear" w:color="auto" w:fill="auto"/>
          </w:tcPr>
          <w:p w14:paraId="1BAE908F" w14:textId="77777777" w:rsidR="003A1C75" w:rsidRPr="00BD2EF3" w:rsidRDefault="003A1C75" w:rsidP="003A1C75">
            <w:pPr>
              <w:pStyle w:val="Tabletext"/>
            </w:pPr>
            <w:r w:rsidRPr="00BD2EF3">
              <w:t>Abstract</w:t>
            </w:r>
          </w:p>
        </w:tc>
        <w:tc>
          <w:tcPr>
            <w:tcW w:w="1027" w:type="dxa"/>
            <w:shd w:val="clear" w:color="auto" w:fill="auto"/>
          </w:tcPr>
          <w:p w14:paraId="12EC7267" w14:textId="77777777" w:rsidR="003A1C75" w:rsidRPr="00BD2EF3" w:rsidRDefault="003A1C75" w:rsidP="003A1C75">
            <w:pPr>
              <w:pStyle w:val="Tabletext"/>
            </w:pPr>
            <w:r w:rsidRPr="00BD2EF3">
              <w:t>55</w:t>
            </w:r>
          </w:p>
        </w:tc>
        <w:tc>
          <w:tcPr>
            <w:tcW w:w="1895" w:type="dxa"/>
            <w:shd w:val="clear" w:color="auto" w:fill="auto"/>
          </w:tcPr>
          <w:p w14:paraId="13ED9297" w14:textId="77777777" w:rsidR="003A1C75" w:rsidRPr="00BD2EF3" w:rsidRDefault="003A1C75" w:rsidP="003A1C75">
            <w:pPr>
              <w:pStyle w:val="Tabletext"/>
            </w:pPr>
            <w:r w:rsidRPr="00BD2EF3">
              <w:t>None specified</w:t>
            </w:r>
          </w:p>
        </w:tc>
        <w:tc>
          <w:tcPr>
            <w:tcW w:w="3828" w:type="dxa"/>
            <w:shd w:val="clear" w:color="auto" w:fill="auto"/>
          </w:tcPr>
          <w:p w14:paraId="1C1D7509" w14:textId="77777777" w:rsidR="003A1C75" w:rsidRPr="00BD2EF3" w:rsidRDefault="003A1C75" w:rsidP="003A1C75">
            <w:pPr>
              <w:pStyle w:val="Tabletext"/>
            </w:pPr>
            <w:r w:rsidRPr="00BD2EF3">
              <w:t>Mostly obscure bleeding patients, some others</w:t>
            </w:r>
          </w:p>
        </w:tc>
      </w:tr>
      <w:tr w:rsidR="003A1C75" w:rsidRPr="00BD2EF3" w14:paraId="340FA4DC" w14:textId="77777777" w:rsidTr="003A1C75">
        <w:trPr>
          <w:cantSplit/>
        </w:trPr>
        <w:tc>
          <w:tcPr>
            <w:tcW w:w="1242" w:type="dxa"/>
            <w:shd w:val="clear" w:color="auto" w:fill="auto"/>
          </w:tcPr>
          <w:p w14:paraId="274AB37C" w14:textId="77777777" w:rsidR="003A1C75" w:rsidRPr="00BD2EF3" w:rsidRDefault="003A1C75" w:rsidP="003A1C75">
            <w:pPr>
              <w:pStyle w:val="Tabletext"/>
            </w:pPr>
            <w:proofErr w:type="spellStart"/>
            <w:r w:rsidRPr="00BD2EF3">
              <w:t>Schulmann</w:t>
            </w:r>
            <w:proofErr w:type="spellEnd"/>
          </w:p>
        </w:tc>
        <w:tc>
          <w:tcPr>
            <w:tcW w:w="1047" w:type="dxa"/>
            <w:shd w:val="clear" w:color="auto" w:fill="auto"/>
          </w:tcPr>
          <w:p w14:paraId="77D468B2" w14:textId="77777777" w:rsidR="003A1C75" w:rsidRPr="00BD2EF3" w:rsidRDefault="003A1C75" w:rsidP="003A1C75">
            <w:pPr>
              <w:pStyle w:val="Tabletext"/>
            </w:pPr>
            <w:r w:rsidRPr="00BD2EF3">
              <w:t>Abstract</w:t>
            </w:r>
          </w:p>
        </w:tc>
        <w:tc>
          <w:tcPr>
            <w:tcW w:w="1027" w:type="dxa"/>
            <w:shd w:val="clear" w:color="auto" w:fill="auto"/>
          </w:tcPr>
          <w:p w14:paraId="2AC16DE6" w14:textId="77777777" w:rsidR="003A1C75" w:rsidRPr="00BD2EF3" w:rsidRDefault="003A1C75" w:rsidP="003A1C75">
            <w:pPr>
              <w:pStyle w:val="Tabletext"/>
            </w:pPr>
            <w:r w:rsidRPr="00BD2EF3">
              <w:t>12</w:t>
            </w:r>
          </w:p>
        </w:tc>
        <w:tc>
          <w:tcPr>
            <w:tcW w:w="1895" w:type="dxa"/>
            <w:shd w:val="clear" w:color="auto" w:fill="auto"/>
          </w:tcPr>
          <w:p w14:paraId="59A1E67F" w14:textId="77777777" w:rsidR="003A1C75" w:rsidRPr="00BD2EF3" w:rsidRDefault="003A1C75" w:rsidP="003A1C75">
            <w:pPr>
              <w:pStyle w:val="Tabletext"/>
            </w:pPr>
            <w:r w:rsidRPr="00BD2EF3">
              <w:t>None Specified</w:t>
            </w:r>
          </w:p>
        </w:tc>
        <w:tc>
          <w:tcPr>
            <w:tcW w:w="3828" w:type="dxa"/>
            <w:shd w:val="clear" w:color="auto" w:fill="auto"/>
          </w:tcPr>
          <w:p w14:paraId="33147D17" w14:textId="77777777" w:rsidR="003A1C75" w:rsidRPr="00BD2EF3" w:rsidRDefault="003A1C75" w:rsidP="003A1C75">
            <w:pPr>
              <w:pStyle w:val="Tabletext"/>
            </w:pPr>
            <w:r w:rsidRPr="00BD2EF3">
              <w:t>–</w:t>
            </w:r>
          </w:p>
        </w:tc>
      </w:tr>
      <w:tr w:rsidR="003A1C75" w:rsidRPr="00BD2EF3" w14:paraId="2FE2C3EC" w14:textId="77777777" w:rsidTr="003A1C75">
        <w:trPr>
          <w:cantSplit/>
        </w:trPr>
        <w:tc>
          <w:tcPr>
            <w:tcW w:w="1242" w:type="dxa"/>
            <w:shd w:val="clear" w:color="auto" w:fill="auto"/>
          </w:tcPr>
          <w:p w14:paraId="57346D07" w14:textId="77777777" w:rsidR="003A1C75" w:rsidRPr="00BD2EF3" w:rsidRDefault="003A1C75" w:rsidP="003A1C75">
            <w:pPr>
              <w:pStyle w:val="Tabletext"/>
            </w:pPr>
            <w:r w:rsidRPr="00BD2EF3">
              <w:t>Watson</w:t>
            </w:r>
          </w:p>
        </w:tc>
        <w:tc>
          <w:tcPr>
            <w:tcW w:w="1047" w:type="dxa"/>
            <w:shd w:val="clear" w:color="auto" w:fill="auto"/>
          </w:tcPr>
          <w:p w14:paraId="11478EF8" w14:textId="77777777" w:rsidR="003A1C75" w:rsidRPr="00BD2EF3" w:rsidRDefault="003A1C75" w:rsidP="003A1C75">
            <w:pPr>
              <w:pStyle w:val="Tabletext"/>
            </w:pPr>
            <w:r w:rsidRPr="00BD2EF3">
              <w:t>Abstract</w:t>
            </w:r>
          </w:p>
        </w:tc>
        <w:tc>
          <w:tcPr>
            <w:tcW w:w="1027" w:type="dxa"/>
            <w:shd w:val="clear" w:color="auto" w:fill="auto"/>
          </w:tcPr>
          <w:p w14:paraId="01448961" w14:textId="77777777" w:rsidR="003A1C75" w:rsidRPr="00BD2EF3" w:rsidRDefault="003A1C75" w:rsidP="003A1C75">
            <w:pPr>
              <w:pStyle w:val="Tabletext"/>
            </w:pPr>
            <w:r w:rsidRPr="00BD2EF3">
              <w:t>1</w:t>
            </w:r>
          </w:p>
        </w:tc>
        <w:tc>
          <w:tcPr>
            <w:tcW w:w="1895" w:type="dxa"/>
            <w:shd w:val="clear" w:color="auto" w:fill="auto"/>
          </w:tcPr>
          <w:p w14:paraId="3D56F414" w14:textId="77777777" w:rsidR="003A1C75" w:rsidRPr="00BD2EF3" w:rsidRDefault="003A1C75" w:rsidP="003A1C75">
            <w:pPr>
              <w:pStyle w:val="Tabletext"/>
            </w:pPr>
            <w:r w:rsidRPr="00BD2EF3">
              <w:t>None specified</w:t>
            </w:r>
          </w:p>
        </w:tc>
        <w:tc>
          <w:tcPr>
            <w:tcW w:w="3828" w:type="dxa"/>
            <w:shd w:val="clear" w:color="auto" w:fill="auto"/>
          </w:tcPr>
          <w:p w14:paraId="4BDE72B1" w14:textId="77777777" w:rsidR="003A1C75" w:rsidRPr="00BD2EF3" w:rsidRDefault="003A1C75" w:rsidP="003A1C75">
            <w:pPr>
              <w:pStyle w:val="Tabletext"/>
            </w:pPr>
            <w:r w:rsidRPr="00BD2EF3">
              <w:t xml:space="preserve">Case report, </w:t>
            </w:r>
            <w:r>
              <w:t>after -</w:t>
            </w:r>
            <w:proofErr w:type="spellStart"/>
            <w:r>
              <w:t>ve</w:t>
            </w:r>
            <w:proofErr w:type="spellEnd"/>
            <w:r>
              <w:t xml:space="preserve"> colonoscopy &amp; </w:t>
            </w:r>
            <w:r w:rsidRPr="00BD2EF3">
              <w:t xml:space="preserve">endoscopy </w:t>
            </w:r>
          </w:p>
        </w:tc>
      </w:tr>
      <w:tr w:rsidR="003A1C75" w:rsidRPr="00BD2EF3" w14:paraId="6A2FB8F0" w14:textId="77777777" w:rsidTr="003A1C75">
        <w:trPr>
          <w:cantSplit/>
        </w:trPr>
        <w:tc>
          <w:tcPr>
            <w:tcW w:w="1242" w:type="dxa"/>
            <w:shd w:val="clear" w:color="auto" w:fill="auto"/>
          </w:tcPr>
          <w:p w14:paraId="2983037C" w14:textId="77777777" w:rsidR="003A1C75" w:rsidRPr="00BD2EF3" w:rsidRDefault="003A1C75" w:rsidP="003A1C75">
            <w:pPr>
              <w:pStyle w:val="Tabletext"/>
            </w:pPr>
            <w:r w:rsidRPr="00BD2EF3">
              <w:t>Woods</w:t>
            </w:r>
          </w:p>
        </w:tc>
        <w:tc>
          <w:tcPr>
            <w:tcW w:w="1047" w:type="dxa"/>
            <w:shd w:val="clear" w:color="auto" w:fill="auto"/>
          </w:tcPr>
          <w:p w14:paraId="22298237" w14:textId="77777777" w:rsidR="003A1C75" w:rsidRPr="00BD2EF3" w:rsidRDefault="003A1C75" w:rsidP="003A1C75">
            <w:pPr>
              <w:pStyle w:val="Tabletext"/>
            </w:pPr>
            <w:r w:rsidRPr="00BD2EF3">
              <w:t>Abstract</w:t>
            </w:r>
          </w:p>
        </w:tc>
        <w:tc>
          <w:tcPr>
            <w:tcW w:w="1027" w:type="dxa"/>
            <w:shd w:val="clear" w:color="auto" w:fill="auto"/>
          </w:tcPr>
          <w:p w14:paraId="2D754D7A" w14:textId="77777777" w:rsidR="003A1C75" w:rsidRPr="00BD2EF3" w:rsidRDefault="003A1C75" w:rsidP="003A1C75">
            <w:pPr>
              <w:pStyle w:val="Tabletext"/>
            </w:pPr>
            <w:r w:rsidRPr="00BD2EF3">
              <w:t>1</w:t>
            </w:r>
          </w:p>
        </w:tc>
        <w:tc>
          <w:tcPr>
            <w:tcW w:w="1895" w:type="dxa"/>
            <w:shd w:val="clear" w:color="auto" w:fill="auto"/>
          </w:tcPr>
          <w:p w14:paraId="0829FE77" w14:textId="77777777" w:rsidR="003A1C75" w:rsidRPr="00BD2EF3" w:rsidRDefault="003A1C75" w:rsidP="003A1C75">
            <w:pPr>
              <w:pStyle w:val="Tabletext"/>
            </w:pPr>
            <w:r w:rsidRPr="00BD2EF3">
              <w:t>None specified</w:t>
            </w:r>
          </w:p>
        </w:tc>
        <w:tc>
          <w:tcPr>
            <w:tcW w:w="3828" w:type="dxa"/>
            <w:shd w:val="clear" w:color="auto" w:fill="auto"/>
          </w:tcPr>
          <w:p w14:paraId="4E13D719" w14:textId="77777777" w:rsidR="003A1C75" w:rsidRPr="00BD2EF3" w:rsidRDefault="003A1C75" w:rsidP="003A1C75">
            <w:pPr>
              <w:pStyle w:val="Tabletext"/>
            </w:pPr>
            <w:r w:rsidRPr="003B3E58">
              <w:t>Case report, after -</w:t>
            </w:r>
            <w:proofErr w:type="spellStart"/>
            <w:r w:rsidRPr="003B3E58">
              <w:t>ve</w:t>
            </w:r>
            <w:proofErr w:type="spellEnd"/>
            <w:r w:rsidRPr="003B3E58">
              <w:t xml:space="preserve"> colonoscopy &amp; endoscopy</w:t>
            </w:r>
          </w:p>
        </w:tc>
      </w:tr>
      <w:tr w:rsidR="003A1C75" w:rsidRPr="00BD2EF3" w14:paraId="0CB5A4A5" w14:textId="77777777" w:rsidTr="003A1C75">
        <w:trPr>
          <w:cantSplit/>
        </w:trPr>
        <w:tc>
          <w:tcPr>
            <w:tcW w:w="1242" w:type="dxa"/>
            <w:shd w:val="clear" w:color="auto" w:fill="auto"/>
          </w:tcPr>
          <w:p w14:paraId="43D6CDBE" w14:textId="77777777" w:rsidR="003A1C75" w:rsidRPr="00BD2EF3" w:rsidRDefault="003A1C75" w:rsidP="003A1C75">
            <w:pPr>
              <w:pStyle w:val="Tabletext"/>
            </w:pPr>
            <w:proofErr w:type="spellStart"/>
            <w:r w:rsidRPr="00BD2EF3">
              <w:t>Caunedo</w:t>
            </w:r>
            <w:proofErr w:type="spellEnd"/>
          </w:p>
        </w:tc>
        <w:tc>
          <w:tcPr>
            <w:tcW w:w="1047" w:type="dxa"/>
            <w:shd w:val="clear" w:color="auto" w:fill="auto"/>
          </w:tcPr>
          <w:p w14:paraId="229FC3D9" w14:textId="77777777" w:rsidR="003A1C75" w:rsidRPr="00BD2EF3" w:rsidRDefault="003A1C75" w:rsidP="003A1C75">
            <w:pPr>
              <w:pStyle w:val="Tabletext"/>
            </w:pPr>
            <w:r w:rsidRPr="00BD2EF3">
              <w:t>Abstract</w:t>
            </w:r>
          </w:p>
        </w:tc>
        <w:tc>
          <w:tcPr>
            <w:tcW w:w="1027" w:type="dxa"/>
            <w:shd w:val="clear" w:color="auto" w:fill="auto"/>
          </w:tcPr>
          <w:p w14:paraId="66291CCB" w14:textId="77777777" w:rsidR="003A1C75" w:rsidRPr="00BD2EF3" w:rsidRDefault="003A1C75" w:rsidP="003A1C75">
            <w:pPr>
              <w:pStyle w:val="Tabletext"/>
            </w:pPr>
            <w:r w:rsidRPr="00BD2EF3">
              <w:t>24</w:t>
            </w:r>
          </w:p>
        </w:tc>
        <w:tc>
          <w:tcPr>
            <w:tcW w:w="1895" w:type="dxa"/>
            <w:shd w:val="clear" w:color="auto" w:fill="auto"/>
          </w:tcPr>
          <w:p w14:paraId="52428417" w14:textId="77777777" w:rsidR="003A1C75" w:rsidRPr="00BD2EF3" w:rsidRDefault="003A1C75" w:rsidP="003A1C75">
            <w:pPr>
              <w:pStyle w:val="Tabletext"/>
            </w:pPr>
            <w:r w:rsidRPr="00BD2EF3">
              <w:t>None specified</w:t>
            </w:r>
          </w:p>
        </w:tc>
        <w:tc>
          <w:tcPr>
            <w:tcW w:w="3828" w:type="dxa"/>
            <w:shd w:val="clear" w:color="auto" w:fill="auto"/>
          </w:tcPr>
          <w:p w14:paraId="5CD25938" w14:textId="77777777" w:rsidR="003A1C75" w:rsidRPr="00BD2EF3" w:rsidRDefault="003A1C75" w:rsidP="003A1C75">
            <w:pPr>
              <w:pStyle w:val="Tabletext"/>
            </w:pPr>
            <w:r w:rsidRPr="00BD2EF3">
              <w:t>–</w:t>
            </w:r>
          </w:p>
        </w:tc>
      </w:tr>
      <w:tr w:rsidR="003A1C75" w:rsidRPr="00BD2EF3" w14:paraId="50BBC5A9" w14:textId="77777777" w:rsidTr="003A1C75">
        <w:trPr>
          <w:cantSplit/>
        </w:trPr>
        <w:tc>
          <w:tcPr>
            <w:tcW w:w="1242" w:type="dxa"/>
            <w:shd w:val="clear" w:color="auto" w:fill="auto"/>
          </w:tcPr>
          <w:p w14:paraId="2F7A059D" w14:textId="77777777" w:rsidR="003A1C75" w:rsidRPr="00BD2EF3" w:rsidRDefault="003A1C75" w:rsidP="003A1C75">
            <w:pPr>
              <w:pStyle w:val="Tabletext"/>
            </w:pPr>
            <w:r w:rsidRPr="00BD2EF3">
              <w:t>De Bona</w:t>
            </w:r>
          </w:p>
        </w:tc>
        <w:tc>
          <w:tcPr>
            <w:tcW w:w="1047" w:type="dxa"/>
            <w:shd w:val="clear" w:color="auto" w:fill="auto"/>
          </w:tcPr>
          <w:p w14:paraId="7736304C" w14:textId="77777777" w:rsidR="003A1C75" w:rsidRPr="00BD2EF3" w:rsidRDefault="003A1C75" w:rsidP="003A1C75">
            <w:pPr>
              <w:pStyle w:val="Tabletext"/>
            </w:pPr>
            <w:r w:rsidRPr="00BD2EF3">
              <w:t>Abstract</w:t>
            </w:r>
          </w:p>
        </w:tc>
        <w:tc>
          <w:tcPr>
            <w:tcW w:w="1027" w:type="dxa"/>
            <w:shd w:val="clear" w:color="auto" w:fill="auto"/>
          </w:tcPr>
          <w:p w14:paraId="74E7D2C3" w14:textId="77777777" w:rsidR="003A1C75" w:rsidRPr="00BD2EF3" w:rsidRDefault="003A1C75" w:rsidP="003A1C75">
            <w:pPr>
              <w:pStyle w:val="Tabletext"/>
            </w:pPr>
            <w:r w:rsidRPr="00BD2EF3">
              <w:t>12</w:t>
            </w:r>
          </w:p>
        </w:tc>
        <w:tc>
          <w:tcPr>
            <w:tcW w:w="1895" w:type="dxa"/>
            <w:shd w:val="clear" w:color="auto" w:fill="auto"/>
          </w:tcPr>
          <w:p w14:paraId="7C8D661E" w14:textId="77777777" w:rsidR="003A1C75" w:rsidRPr="00BD2EF3" w:rsidRDefault="003A1C75" w:rsidP="003A1C75">
            <w:pPr>
              <w:pStyle w:val="Tabletext"/>
            </w:pPr>
            <w:r w:rsidRPr="00BD2EF3">
              <w:t>None specified</w:t>
            </w:r>
          </w:p>
        </w:tc>
        <w:tc>
          <w:tcPr>
            <w:tcW w:w="3828" w:type="dxa"/>
            <w:shd w:val="clear" w:color="auto" w:fill="auto"/>
          </w:tcPr>
          <w:p w14:paraId="579380A9" w14:textId="77777777" w:rsidR="003A1C75" w:rsidRPr="00BD2EF3" w:rsidRDefault="003A1C75" w:rsidP="003A1C75">
            <w:pPr>
              <w:pStyle w:val="Tabletext"/>
            </w:pPr>
            <w:r w:rsidRPr="00BD2EF3">
              <w:t>–</w:t>
            </w:r>
          </w:p>
        </w:tc>
      </w:tr>
      <w:tr w:rsidR="003A1C75" w:rsidRPr="00BD2EF3" w14:paraId="17806576" w14:textId="77777777" w:rsidTr="003A1C75">
        <w:trPr>
          <w:cantSplit/>
        </w:trPr>
        <w:tc>
          <w:tcPr>
            <w:tcW w:w="1242" w:type="dxa"/>
            <w:shd w:val="clear" w:color="auto" w:fill="auto"/>
          </w:tcPr>
          <w:p w14:paraId="4E9ABE4F" w14:textId="77777777" w:rsidR="003A1C75" w:rsidRPr="00BD2EF3" w:rsidRDefault="003A1C75" w:rsidP="003A1C75">
            <w:pPr>
              <w:pStyle w:val="Tabletext"/>
            </w:pPr>
            <w:r w:rsidRPr="00BD2EF3">
              <w:t>Lo</w:t>
            </w:r>
          </w:p>
        </w:tc>
        <w:tc>
          <w:tcPr>
            <w:tcW w:w="1047" w:type="dxa"/>
            <w:shd w:val="clear" w:color="auto" w:fill="auto"/>
          </w:tcPr>
          <w:p w14:paraId="2183B557" w14:textId="77777777" w:rsidR="003A1C75" w:rsidRPr="00BD2EF3" w:rsidRDefault="003A1C75" w:rsidP="003A1C75">
            <w:pPr>
              <w:pStyle w:val="Tabletext"/>
            </w:pPr>
            <w:r w:rsidRPr="00BD2EF3">
              <w:t>Abstract</w:t>
            </w:r>
          </w:p>
        </w:tc>
        <w:tc>
          <w:tcPr>
            <w:tcW w:w="1027" w:type="dxa"/>
            <w:shd w:val="clear" w:color="auto" w:fill="auto"/>
          </w:tcPr>
          <w:p w14:paraId="54D09FDF" w14:textId="77777777" w:rsidR="003A1C75" w:rsidRPr="00BD2EF3" w:rsidRDefault="003A1C75" w:rsidP="003A1C75">
            <w:pPr>
              <w:pStyle w:val="Tabletext"/>
            </w:pPr>
            <w:r w:rsidRPr="00BD2EF3">
              <w:t>37</w:t>
            </w:r>
          </w:p>
        </w:tc>
        <w:tc>
          <w:tcPr>
            <w:tcW w:w="1895" w:type="dxa"/>
            <w:shd w:val="clear" w:color="auto" w:fill="auto"/>
          </w:tcPr>
          <w:p w14:paraId="629222F9" w14:textId="77777777" w:rsidR="003A1C75" w:rsidRPr="00BD2EF3" w:rsidRDefault="003A1C75" w:rsidP="003A1C75">
            <w:pPr>
              <w:pStyle w:val="Tabletext"/>
            </w:pPr>
            <w:r w:rsidRPr="00BD2EF3">
              <w:t>None specified</w:t>
            </w:r>
          </w:p>
        </w:tc>
        <w:tc>
          <w:tcPr>
            <w:tcW w:w="3828" w:type="dxa"/>
            <w:shd w:val="clear" w:color="auto" w:fill="auto"/>
          </w:tcPr>
          <w:p w14:paraId="1B54990E" w14:textId="77777777" w:rsidR="003A1C75" w:rsidRPr="00BD2EF3" w:rsidRDefault="003A1C75" w:rsidP="003A1C75">
            <w:pPr>
              <w:pStyle w:val="Tabletext"/>
            </w:pPr>
            <w:r w:rsidRPr="00BD2EF3">
              <w:t>–</w:t>
            </w:r>
          </w:p>
        </w:tc>
      </w:tr>
      <w:tr w:rsidR="003A1C75" w:rsidRPr="00BD2EF3" w14:paraId="36AB7736" w14:textId="77777777" w:rsidTr="003A1C75">
        <w:trPr>
          <w:cantSplit/>
        </w:trPr>
        <w:tc>
          <w:tcPr>
            <w:tcW w:w="1242" w:type="dxa"/>
            <w:shd w:val="clear" w:color="auto" w:fill="auto"/>
          </w:tcPr>
          <w:p w14:paraId="33C11C43" w14:textId="77777777" w:rsidR="003A1C75" w:rsidRPr="00BD2EF3" w:rsidRDefault="003A1C75" w:rsidP="003A1C75">
            <w:pPr>
              <w:pStyle w:val="Tabletext"/>
            </w:pPr>
            <w:proofErr w:type="spellStart"/>
            <w:r w:rsidRPr="00BD2EF3">
              <w:t>Pennazio</w:t>
            </w:r>
            <w:proofErr w:type="spellEnd"/>
          </w:p>
        </w:tc>
        <w:tc>
          <w:tcPr>
            <w:tcW w:w="1047" w:type="dxa"/>
            <w:shd w:val="clear" w:color="auto" w:fill="auto"/>
          </w:tcPr>
          <w:p w14:paraId="1265F941" w14:textId="77777777" w:rsidR="003A1C75" w:rsidRPr="00BD2EF3" w:rsidRDefault="003A1C75" w:rsidP="003A1C75">
            <w:pPr>
              <w:pStyle w:val="Tabletext"/>
            </w:pPr>
            <w:r w:rsidRPr="00BD2EF3">
              <w:t>Abstract</w:t>
            </w:r>
          </w:p>
        </w:tc>
        <w:tc>
          <w:tcPr>
            <w:tcW w:w="1027" w:type="dxa"/>
            <w:shd w:val="clear" w:color="auto" w:fill="auto"/>
          </w:tcPr>
          <w:p w14:paraId="6D17EDF4" w14:textId="77777777" w:rsidR="003A1C75" w:rsidRPr="00BD2EF3" w:rsidRDefault="003A1C75" w:rsidP="003A1C75">
            <w:pPr>
              <w:pStyle w:val="Tabletext"/>
            </w:pPr>
            <w:r w:rsidRPr="00BD2EF3">
              <w:t>89</w:t>
            </w:r>
          </w:p>
        </w:tc>
        <w:tc>
          <w:tcPr>
            <w:tcW w:w="1895" w:type="dxa"/>
            <w:shd w:val="clear" w:color="auto" w:fill="auto"/>
          </w:tcPr>
          <w:p w14:paraId="4A10A473" w14:textId="77777777" w:rsidR="003A1C75" w:rsidRPr="00BD2EF3" w:rsidRDefault="003A1C75" w:rsidP="003A1C75">
            <w:pPr>
              <w:pStyle w:val="Tabletext"/>
            </w:pPr>
            <w:r w:rsidRPr="00BD2EF3">
              <w:t>None specified</w:t>
            </w:r>
          </w:p>
        </w:tc>
        <w:tc>
          <w:tcPr>
            <w:tcW w:w="3828" w:type="dxa"/>
            <w:shd w:val="clear" w:color="auto" w:fill="auto"/>
          </w:tcPr>
          <w:p w14:paraId="7B819E86" w14:textId="77777777" w:rsidR="003A1C75" w:rsidRPr="00BD2EF3" w:rsidRDefault="003A1C75" w:rsidP="003A1C75">
            <w:pPr>
              <w:pStyle w:val="Tabletext"/>
            </w:pPr>
            <w:r w:rsidRPr="00BD2EF3">
              <w:t>Comparison with push enteroscopy in a subset</w:t>
            </w:r>
          </w:p>
        </w:tc>
      </w:tr>
      <w:tr w:rsidR="003A1C75" w:rsidRPr="00BD2EF3" w14:paraId="4E45C6C8" w14:textId="77777777" w:rsidTr="003A1C75">
        <w:trPr>
          <w:cantSplit/>
        </w:trPr>
        <w:tc>
          <w:tcPr>
            <w:tcW w:w="1242" w:type="dxa"/>
            <w:shd w:val="clear" w:color="auto" w:fill="auto"/>
          </w:tcPr>
          <w:p w14:paraId="6B092842" w14:textId="77777777" w:rsidR="003A1C75" w:rsidRPr="00BD2EF3" w:rsidRDefault="003A1C75" w:rsidP="003A1C75">
            <w:pPr>
              <w:pStyle w:val="Tabletext"/>
            </w:pPr>
            <w:proofErr w:type="spellStart"/>
            <w:r w:rsidRPr="00BD2EF3">
              <w:lastRenderedPageBreak/>
              <w:t>Toth</w:t>
            </w:r>
            <w:proofErr w:type="spellEnd"/>
          </w:p>
        </w:tc>
        <w:tc>
          <w:tcPr>
            <w:tcW w:w="1047" w:type="dxa"/>
            <w:shd w:val="clear" w:color="auto" w:fill="auto"/>
          </w:tcPr>
          <w:p w14:paraId="595A5D6B" w14:textId="77777777" w:rsidR="003A1C75" w:rsidRPr="00BD2EF3" w:rsidRDefault="003A1C75" w:rsidP="003A1C75">
            <w:pPr>
              <w:pStyle w:val="Tabletext"/>
            </w:pPr>
            <w:r w:rsidRPr="00BD2EF3">
              <w:t>Abstract</w:t>
            </w:r>
          </w:p>
        </w:tc>
        <w:tc>
          <w:tcPr>
            <w:tcW w:w="1027" w:type="dxa"/>
            <w:shd w:val="clear" w:color="auto" w:fill="auto"/>
          </w:tcPr>
          <w:p w14:paraId="7ABEAC02" w14:textId="77777777" w:rsidR="003A1C75" w:rsidRPr="00BD2EF3" w:rsidRDefault="003A1C75" w:rsidP="003A1C75">
            <w:pPr>
              <w:pStyle w:val="Tabletext"/>
            </w:pPr>
            <w:r w:rsidRPr="00BD2EF3">
              <w:t>28</w:t>
            </w:r>
          </w:p>
        </w:tc>
        <w:tc>
          <w:tcPr>
            <w:tcW w:w="1895" w:type="dxa"/>
            <w:shd w:val="clear" w:color="auto" w:fill="auto"/>
          </w:tcPr>
          <w:p w14:paraId="7FD9B645" w14:textId="77777777" w:rsidR="003A1C75" w:rsidRPr="00BD2EF3" w:rsidRDefault="003A1C75" w:rsidP="003A1C75">
            <w:pPr>
              <w:pStyle w:val="Tabletext"/>
            </w:pPr>
            <w:r w:rsidRPr="00BD2EF3">
              <w:t>None specified</w:t>
            </w:r>
          </w:p>
        </w:tc>
        <w:tc>
          <w:tcPr>
            <w:tcW w:w="3828" w:type="dxa"/>
            <w:shd w:val="clear" w:color="auto" w:fill="auto"/>
          </w:tcPr>
          <w:p w14:paraId="5E32647C" w14:textId="77777777" w:rsidR="003A1C75" w:rsidRPr="00BD2EF3" w:rsidRDefault="003A1C75" w:rsidP="003A1C75">
            <w:pPr>
              <w:pStyle w:val="Tabletext"/>
            </w:pPr>
            <w:r w:rsidRPr="00BD2EF3">
              <w:t>Duration of anaemia 2-144 months prior to CE</w:t>
            </w:r>
          </w:p>
        </w:tc>
      </w:tr>
      <w:tr w:rsidR="003A1C75" w:rsidRPr="00BD2EF3" w14:paraId="23218873" w14:textId="77777777" w:rsidTr="003A1C75">
        <w:trPr>
          <w:cantSplit/>
        </w:trPr>
        <w:tc>
          <w:tcPr>
            <w:tcW w:w="1242" w:type="dxa"/>
            <w:shd w:val="clear" w:color="auto" w:fill="auto"/>
          </w:tcPr>
          <w:p w14:paraId="65E7C969" w14:textId="77777777" w:rsidR="003A1C75" w:rsidRPr="00BD2EF3" w:rsidRDefault="003A1C75" w:rsidP="003A1C75">
            <w:pPr>
              <w:pStyle w:val="Tabletext"/>
            </w:pPr>
            <w:r w:rsidRPr="00BD2EF3">
              <w:t xml:space="preserve">Van </w:t>
            </w:r>
            <w:proofErr w:type="spellStart"/>
            <w:r w:rsidRPr="00BD2EF3">
              <w:t>Gossum</w:t>
            </w:r>
            <w:proofErr w:type="spellEnd"/>
          </w:p>
        </w:tc>
        <w:tc>
          <w:tcPr>
            <w:tcW w:w="1047" w:type="dxa"/>
            <w:shd w:val="clear" w:color="auto" w:fill="auto"/>
          </w:tcPr>
          <w:p w14:paraId="0826AA6C" w14:textId="77777777" w:rsidR="003A1C75" w:rsidRPr="00BD2EF3" w:rsidRDefault="003A1C75" w:rsidP="003A1C75">
            <w:pPr>
              <w:pStyle w:val="Tabletext"/>
            </w:pPr>
            <w:r w:rsidRPr="00BD2EF3">
              <w:t>Abstract</w:t>
            </w:r>
          </w:p>
        </w:tc>
        <w:tc>
          <w:tcPr>
            <w:tcW w:w="1027" w:type="dxa"/>
            <w:shd w:val="clear" w:color="auto" w:fill="auto"/>
          </w:tcPr>
          <w:p w14:paraId="4E64AC94" w14:textId="77777777" w:rsidR="003A1C75" w:rsidRPr="00BD2EF3" w:rsidRDefault="003A1C75" w:rsidP="003A1C75">
            <w:pPr>
              <w:pStyle w:val="Tabletext"/>
            </w:pPr>
            <w:r w:rsidRPr="00BD2EF3">
              <w:t>21</w:t>
            </w:r>
          </w:p>
        </w:tc>
        <w:tc>
          <w:tcPr>
            <w:tcW w:w="1895" w:type="dxa"/>
            <w:shd w:val="clear" w:color="auto" w:fill="auto"/>
          </w:tcPr>
          <w:p w14:paraId="073D7E37" w14:textId="77777777" w:rsidR="003A1C75" w:rsidRPr="00BD2EF3" w:rsidRDefault="003A1C75" w:rsidP="003A1C75">
            <w:pPr>
              <w:pStyle w:val="Tabletext"/>
            </w:pPr>
            <w:r w:rsidRPr="00BD2EF3">
              <w:t>None specified</w:t>
            </w:r>
          </w:p>
        </w:tc>
        <w:tc>
          <w:tcPr>
            <w:tcW w:w="3828" w:type="dxa"/>
            <w:shd w:val="clear" w:color="auto" w:fill="auto"/>
          </w:tcPr>
          <w:p w14:paraId="5D1FAC4A" w14:textId="77777777" w:rsidR="003A1C75" w:rsidRPr="00BD2EF3" w:rsidRDefault="003A1C75" w:rsidP="003A1C75">
            <w:pPr>
              <w:pStyle w:val="Tabletext"/>
            </w:pPr>
            <w:r w:rsidRPr="00BD2EF3">
              <w:t>Comparison with push enteroscopy</w:t>
            </w:r>
          </w:p>
        </w:tc>
      </w:tr>
      <w:tr w:rsidR="003A1C75" w:rsidRPr="00BD2EF3" w14:paraId="0E87AF77" w14:textId="77777777" w:rsidTr="003A1C75">
        <w:trPr>
          <w:cantSplit/>
        </w:trPr>
        <w:tc>
          <w:tcPr>
            <w:tcW w:w="1242" w:type="dxa"/>
            <w:shd w:val="clear" w:color="auto" w:fill="auto"/>
          </w:tcPr>
          <w:p w14:paraId="587C5707" w14:textId="77777777" w:rsidR="003A1C75" w:rsidRPr="00BD2EF3" w:rsidRDefault="003A1C75" w:rsidP="003A1C75">
            <w:pPr>
              <w:pStyle w:val="Tabletext"/>
            </w:pPr>
            <w:proofErr w:type="spellStart"/>
            <w:r w:rsidRPr="00BD2EF3">
              <w:t>Demedts</w:t>
            </w:r>
            <w:proofErr w:type="spellEnd"/>
          </w:p>
        </w:tc>
        <w:tc>
          <w:tcPr>
            <w:tcW w:w="1047" w:type="dxa"/>
            <w:shd w:val="clear" w:color="auto" w:fill="auto"/>
          </w:tcPr>
          <w:p w14:paraId="35238AAD" w14:textId="77777777" w:rsidR="003A1C75" w:rsidRPr="00BD2EF3" w:rsidRDefault="003A1C75" w:rsidP="003A1C75">
            <w:pPr>
              <w:pStyle w:val="Tabletext"/>
            </w:pPr>
            <w:r w:rsidRPr="00BD2EF3">
              <w:t>Abstract</w:t>
            </w:r>
          </w:p>
        </w:tc>
        <w:tc>
          <w:tcPr>
            <w:tcW w:w="1027" w:type="dxa"/>
            <w:shd w:val="clear" w:color="auto" w:fill="auto"/>
          </w:tcPr>
          <w:p w14:paraId="2F8BCE3D" w14:textId="77777777" w:rsidR="003A1C75" w:rsidRPr="00BD2EF3" w:rsidRDefault="003A1C75" w:rsidP="003A1C75">
            <w:pPr>
              <w:pStyle w:val="Tabletext"/>
            </w:pPr>
            <w:r w:rsidRPr="00BD2EF3">
              <w:t>18</w:t>
            </w:r>
          </w:p>
        </w:tc>
        <w:tc>
          <w:tcPr>
            <w:tcW w:w="1895" w:type="dxa"/>
            <w:shd w:val="clear" w:color="auto" w:fill="auto"/>
          </w:tcPr>
          <w:p w14:paraId="2173C743" w14:textId="77777777" w:rsidR="003A1C75" w:rsidRPr="00BD2EF3" w:rsidRDefault="003A1C75" w:rsidP="003A1C75">
            <w:pPr>
              <w:pStyle w:val="Tabletext"/>
            </w:pPr>
            <w:r w:rsidRPr="00BD2EF3">
              <w:t>None specified</w:t>
            </w:r>
          </w:p>
        </w:tc>
        <w:tc>
          <w:tcPr>
            <w:tcW w:w="3828" w:type="dxa"/>
            <w:shd w:val="clear" w:color="auto" w:fill="auto"/>
          </w:tcPr>
          <w:p w14:paraId="71B02BA8" w14:textId="77777777" w:rsidR="003A1C75" w:rsidRPr="00BD2EF3" w:rsidRDefault="003A1C75" w:rsidP="003A1C75">
            <w:pPr>
              <w:pStyle w:val="Tabletext"/>
            </w:pPr>
            <w:r w:rsidRPr="00BD2EF3">
              <w:t>–</w:t>
            </w:r>
          </w:p>
        </w:tc>
      </w:tr>
      <w:tr w:rsidR="003A1C75" w:rsidRPr="00BD2EF3" w14:paraId="0178C1C7" w14:textId="77777777" w:rsidTr="003A1C75">
        <w:trPr>
          <w:cantSplit/>
        </w:trPr>
        <w:tc>
          <w:tcPr>
            <w:tcW w:w="1242" w:type="dxa"/>
            <w:shd w:val="clear" w:color="auto" w:fill="auto"/>
          </w:tcPr>
          <w:p w14:paraId="06631D35" w14:textId="77777777" w:rsidR="003A1C75" w:rsidRPr="00BD2EF3" w:rsidRDefault="003A1C75" w:rsidP="003A1C75">
            <w:pPr>
              <w:pStyle w:val="Tabletext"/>
            </w:pPr>
            <w:r w:rsidRPr="00BD2EF3">
              <w:t>Hartmann</w:t>
            </w:r>
          </w:p>
        </w:tc>
        <w:tc>
          <w:tcPr>
            <w:tcW w:w="1047" w:type="dxa"/>
            <w:shd w:val="clear" w:color="auto" w:fill="auto"/>
          </w:tcPr>
          <w:p w14:paraId="23643DD7" w14:textId="77777777" w:rsidR="003A1C75" w:rsidRPr="00BD2EF3" w:rsidRDefault="003A1C75" w:rsidP="003A1C75">
            <w:pPr>
              <w:pStyle w:val="Tabletext"/>
            </w:pPr>
            <w:r w:rsidRPr="00BD2EF3">
              <w:t>Abstract</w:t>
            </w:r>
          </w:p>
        </w:tc>
        <w:tc>
          <w:tcPr>
            <w:tcW w:w="1027" w:type="dxa"/>
            <w:shd w:val="clear" w:color="auto" w:fill="auto"/>
          </w:tcPr>
          <w:p w14:paraId="57A534CD" w14:textId="77777777" w:rsidR="003A1C75" w:rsidRPr="00BD2EF3" w:rsidRDefault="003A1C75" w:rsidP="003A1C75">
            <w:pPr>
              <w:pStyle w:val="Tabletext"/>
            </w:pPr>
            <w:r w:rsidRPr="00BD2EF3">
              <w:t>21</w:t>
            </w:r>
          </w:p>
        </w:tc>
        <w:tc>
          <w:tcPr>
            <w:tcW w:w="1895" w:type="dxa"/>
            <w:shd w:val="clear" w:color="auto" w:fill="auto"/>
          </w:tcPr>
          <w:p w14:paraId="77E77230" w14:textId="77777777" w:rsidR="003A1C75" w:rsidRPr="00BD2EF3" w:rsidRDefault="003A1C75" w:rsidP="003A1C75">
            <w:pPr>
              <w:pStyle w:val="Tabletext"/>
            </w:pPr>
            <w:r w:rsidRPr="00BD2EF3">
              <w:t>None specified</w:t>
            </w:r>
          </w:p>
        </w:tc>
        <w:tc>
          <w:tcPr>
            <w:tcW w:w="3828" w:type="dxa"/>
            <w:shd w:val="clear" w:color="auto" w:fill="auto"/>
          </w:tcPr>
          <w:p w14:paraId="051493DA" w14:textId="77777777" w:rsidR="003A1C75" w:rsidRPr="00BD2EF3" w:rsidRDefault="003A1C75" w:rsidP="003A1C75">
            <w:pPr>
              <w:pStyle w:val="Tabletext"/>
            </w:pPr>
            <w:r w:rsidRPr="00BD2EF3">
              <w:t>Comparison with intraoperative enteroscopy</w:t>
            </w:r>
          </w:p>
        </w:tc>
      </w:tr>
      <w:tr w:rsidR="003A1C75" w:rsidRPr="00BD2EF3" w14:paraId="6DA12518" w14:textId="77777777" w:rsidTr="003A1C75">
        <w:trPr>
          <w:cantSplit/>
        </w:trPr>
        <w:tc>
          <w:tcPr>
            <w:tcW w:w="1242" w:type="dxa"/>
            <w:shd w:val="clear" w:color="auto" w:fill="auto"/>
          </w:tcPr>
          <w:p w14:paraId="10AEAFE2" w14:textId="77777777" w:rsidR="003A1C75" w:rsidRPr="00BD2EF3" w:rsidRDefault="003A1C75" w:rsidP="003A1C75">
            <w:pPr>
              <w:pStyle w:val="Tabletext"/>
            </w:pPr>
            <w:proofErr w:type="spellStart"/>
            <w:r w:rsidRPr="00BD2EF3">
              <w:t>Neu</w:t>
            </w:r>
            <w:proofErr w:type="spellEnd"/>
          </w:p>
        </w:tc>
        <w:tc>
          <w:tcPr>
            <w:tcW w:w="1047" w:type="dxa"/>
            <w:shd w:val="clear" w:color="auto" w:fill="auto"/>
          </w:tcPr>
          <w:p w14:paraId="189E3A9C" w14:textId="77777777" w:rsidR="003A1C75" w:rsidRPr="00BD2EF3" w:rsidRDefault="003A1C75" w:rsidP="003A1C75">
            <w:pPr>
              <w:pStyle w:val="Tabletext"/>
            </w:pPr>
            <w:r w:rsidRPr="00BD2EF3">
              <w:t>Abstract</w:t>
            </w:r>
          </w:p>
        </w:tc>
        <w:tc>
          <w:tcPr>
            <w:tcW w:w="1027" w:type="dxa"/>
            <w:shd w:val="clear" w:color="auto" w:fill="auto"/>
          </w:tcPr>
          <w:p w14:paraId="093B38EC" w14:textId="77777777" w:rsidR="003A1C75" w:rsidRPr="00BD2EF3" w:rsidRDefault="003A1C75" w:rsidP="003A1C75">
            <w:pPr>
              <w:pStyle w:val="Tabletext"/>
            </w:pPr>
            <w:r w:rsidRPr="00BD2EF3">
              <w:t>52</w:t>
            </w:r>
          </w:p>
        </w:tc>
        <w:tc>
          <w:tcPr>
            <w:tcW w:w="1895" w:type="dxa"/>
            <w:shd w:val="clear" w:color="auto" w:fill="auto"/>
          </w:tcPr>
          <w:p w14:paraId="40036115" w14:textId="77777777" w:rsidR="003A1C75" w:rsidRPr="00BD2EF3" w:rsidRDefault="003A1C75" w:rsidP="003A1C75">
            <w:pPr>
              <w:pStyle w:val="Tabletext"/>
            </w:pPr>
            <w:r w:rsidRPr="00BD2EF3">
              <w:t>None specified</w:t>
            </w:r>
          </w:p>
        </w:tc>
        <w:tc>
          <w:tcPr>
            <w:tcW w:w="3828" w:type="dxa"/>
            <w:shd w:val="clear" w:color="auto" w:fill="auto"/>
          </w:tcPr>
          <w:p w14:paraId="5CB02C52" w14:textId="77777777" w:rsidR="003A1C75" w:rsidRPr="00BD2EF3" w:rsidRDefault="003A1C75" w:rsidP="003A1C75">
            <w:pPr>
              <w:pStyle w:val="Tabletext"/>
            </w:pPr>
            <w:r w:rsidRPr="00BD2EF3">
              <w:t>–</w:t>
            </w:r>
          </w:p>
        </w:tc>
      </w:tr>
      <w:tr w:rsidR="003A1C75" w:rsidRPr="00BD2EF3" w14:paraId="2472919D" w14:textId="77777777" w:rsidTr="003A1C75">
        <w:trPr>
          <w:cantSplit/>
        </w:trPr>
        <w:tc>
          <w:tcPr>
            <w:tcW w:w="1242" w:type="dxa"/>
            <w:shd w:val="clear" w:color="auto" w:fill="auto"/>
          </w:tcPr>
          <w:p w14:paraId="5A190BB8" w14:textId="77777777" w:rsidR="003A1C75" w:rsidRPr="00BD2EF3" w:rsidRDefault="003A1C75" w:rsidP="003A1C75">
            <w:pPr>
              <w:pStyle w:val="Tabletext"/>
            </w:pPr>
            <w:proofErr w:type="spellStart"/>
            <w:r w:rsidRPr="00BD2EF3">
              <w:t>Neitsch</w:t>
            </w:r>
            <w:proofErr w:type="spellEnd"/>
          </w:p>
        </w:tc>
        <w:tc>
          <w:tcPr>
            <w:tcW w:w="1047" w:type="dxa"/>
            <w:shd w:val="clear" w:color="auto" w:fill="auto"/>
          </w:tcPr>
          <w:p w14:paraId="0DE37161" w14:textId="77777777" w:rsidR="003A1C75" w:rsidRPr="00BD2EF3" w:rsidRDefault="003A1C75" w:rsidP="003A1C75">
            <w:pPr>
              <w:pStyle w:val="Tabletext"/>
            </w:pPr>
            <w:r w:rsidRPr="00BD2EF3">
              <w:t>Abstract</w:t>
            </w:r>
          </w:p>
        </w:tc>
        <w:tc>
          <w:tcPr>
            <w:tcW w:w="1027" w:type="dxa"/>
            <w:shd w:val="clear" w:color="auto" w:fill="auto"/>
          </w:tcPr>
          <w:p w14:paraId="6981606A" w14:textId="77777777" w:rsidR="003A1C75" w:rsidRPr="00BD2EF3" w:rsidRDefault="003A1C75" w:rsidP="003A1C75">
            <w:pPr>
              <w:pStyle w:val="Tabletext"/>
            </w:pPr>
            <w:r w:rsidRPr="00BD2EF3">
              <w:t>27</w:t>
            </w:r>
          </w:p>
        </w:tc>
        <w:tc>
          <w:tcPr>
            <w:tcW w:w="1895" w:type="dxa"/>
            <w:shd w:val="clear" w:color="auto" w:fill="auto"/>
          </w:tcPr>
          <w:p w14:paraId="235CBBF8" w14:textId="77777777" w:rsidR="003A1C75" w:rsidRPr="00BD2EF3" w:rsidRDefault="003A1C75" w:rsidP="003A1C75">
            <w:pPr>
              <w:pStyle w:val="Tabletext"/>
            </w:pPr>
            <w:r w:rsidRPr="00BD2EF3">
              <w:t>None specified</w:t>
            </w:r>
          </w:p>
        </w:tc>
        <w:tc>
          <w:tcPr>
            <w:tcW w:w="3828" w:type="dxa"/>
            <w:shd w:val="clear" w:color="auto" w:fill="auto"/>
          </w:tcPr>
          <w:p w14:paraId="37A3DD6E" w14:textId="77777777" w:rsidR="003A1C75" w:rsidRPr="00BD2EF3" w:rsidRDefault="003A1C75" w:rsidP="003A1C75">
            <w:pPr>
              <w:pStyle w:val="Tabletext"/>
            </w:pPr>
            <w:r w:rsidRPr="00BD2EF3">
              <w:t>Comparison with push enteroscopy</w:t>
            </w:r>
          </w:p>
        </w:tc>
      </w:tr>
    </w:tbl>
    <w:p w14:paraId="5A4906E8" w14:textId="77777777" w:rsidR="003A1C75" w:rsidRDefault="003A1C75" w:rsidP="003A1C75">
      <w:pPr>
        <w:tabs>
          <w:tab w:val="left" w:pos="720"/>
        </w:tabs>
        <w:rPr>
          <w:rFonts w:ascii="Arial Narrow" w:hAnsi="Arial Narrow" w:cs="Arial"/>
          <w:b/>
          <w:bCs/>
          <w:iCs/>
          <w:sz w:val="20"/>
          <w:lang w:eastAsia="en-US"/>
        </w:rPr>
      </w:pPr>
      <w:r w:rsidRPr="00203F6E">
        <w:rPr>
          <w:rFonts w:ascii="Arial Narrow" w:hAnsi="Arial Narrow" w:cs="Arial"/>
          <w:b/>
          <w:bCs/>
          <w:iCs/>
          <w:sz w:val="20"/>
          <w:lang w:eastAsia="en-US"/>
        </w:rPr>
        <w:t xml:space="preserve">Source: </w:t>
      </w:r>
      <w:r>
        <w:rPr>
          <w:rFonts w:ascii="Arial Narrow" w:hAnsi="Arial Narrow" w:cs="Arial"/>
          <w:b/>
          <w:bCs/>
          <w:iCs/>
          <w:sz w:val="20"/>
          <w:lang w:eastAsia="en-US"/>
        </w:rPr>
        <w:t>Table 3</w:t>
      </w:r>
      <w:r w:rsidRPr="00203F6E">
        <w:rPr>
          <w:rFonts w:ascii="Arial Narrow" w:hAnsi="Arial Narrow" w:cs="Arial"/>
          <w:b/>
          <w:bCs/>
          <w:iCs/>
          <w:sz w:val="20"/>
          <w:lang w:eastAsia="en-US"/>
        </w:rPr>
        <w:t xml:space="preserve"> of the SBA</w:t>
      </w:r>
      <w:r>
        <w:rPr>
          <w:rFonts w:ascii="Arial Narrow" w:hAnsi="Arial Narrow" w:cs="Arial"/>
          <w:b/>
          <w:bCs/>
          <w:iCs/>
          <w:sz w:val="20"/>
          <w:lang w:eastAsia="en-US"/>
        </w:rPr>
        <w:t>, p. 20</w:t>
      </w:r>
    </w:p>
    <w:p w14:paraId="7AA8D428" w14:textId="77777777" w:rsidR="007C06DB" w:rsidRPr="00203F6E" w:rsidRDefault="007C06DB" w:rsidP="003A1C75">
      <w:pPr>
        <w:tabs>
          <w:tab w:val="left" w:pos="720"/>
        </w:tabs>
        <w:rPr>
          <w:rFonts w:ascii="Arial Narrow" w:hAnsi="Arial Narrow" w:cs="Arial"/>
          <w:b/>
          <w:bCs/>
          <w:iCs/>
          <w:sz w:val="20"/>
          <w:lang w:eastAsia="en-US"/>
        </w:rPr>
      </w:pPr>
    </w:p>
    <w:p w14:paraId="3E9AC813" w14:textId="77777777" w:rsidR="003A1C75" w:rsidRPr="00744C2E" w:rsidRDefault="003A1C75" w:rsidP="007C06DB">
      <w:pPr>
        <w:pStyle w:val="ListParagraph"/>
        <w:numPr>
          <w:ilvl w:val="0"/>
          <w:numId w:val="11"/>
        </w:numPr>
        <w:tabs>
          <w:tab w:val="left" w:pos="720"/>
        </w:tabs>
        <w:contextualSpacing w:val="0"/>
        <w:rPr>
          <w:szCs w:val="24"/>
        </w:rPr>
      </w:pPr>
      <w:r w:rsidRPr="00744C2E">
        <w:rPr>
          <w:szCs w:val="24"/>
        </w:rPr>
        <w:t>Evidence on the clinical relevance of the ‘six month’ rule:</w:t>
      </w:r>
    </w:p>
    <w:p w14:paraId="52FA59EB" w14:textId="77777777" w:rsidR="003A1C75" w:rsidRPr="00744C2E" w:rsidRDefault="003A1C75" w:rsidP="007C06DB">
      <w:pPr>
        <w:pStyle w:val="ListParagraph"/>
        <w:tabs>
          <w:tab w:val="left" w:pos="720"/>
        </w:tabs>
        <w:contextualSpacing w:val="0"/>
        <w:rPr>
          <w:szCs w:val="24"/>
        </w:rPr>
      </w:pPr>
      <w:r w:rsidRPr="00744C2E">
        <w:rPr>
          <w:szCs w:val="24"/>
        </w:rPr>
        <w:t>A PubMed search was presented in the SBA report which identified two relevant studies regarding the clinical relevance of the ‘six month’ rule:</w:t>
      </w:r>
    </w:p>
    <w:p w14:paraId="69585E1E" w14:textId="77777777" w:rsidR="003A1C75" w:rsidRPr="00744C2E" w:rsidRDefault="003A1C75" w:rsidP="007C06DB">
      <w:pPr>
        <w:pStyle w:val="ListParagraph"/>
        <w:numPr>
          <w:ilvl w:val="1"/>
          <w:numId w:val="12"/>
        </w:numPr>
        <w:tabs>
          <w:tab w:val="left" w:pos="720"/>
        </w:tabs>
        <w:contextualSpacing w:val="0"/>
        <w:rPr>
          <w:szCs w:val="24"/>
        </w:rPr>
      </w:pPr>
      <w:r w:rsidRPr="00744C2E">
        <w:rPr>
          <w:szCs w:val="24"/>
        </w:rPr>
        <w:t xml:space="preserve">Gilbert 2008, Journal of gastroenterology and </w:t>
      </w:r>
      <w:proofErr w:type="spellStart"/>
      <w:r w:rsidRPr="00744C2E">
        <w:rPr>
          <w:szCs w:val="24"/>
        </w:rPr>
        <w:t>hepatology</w:t>
      </w:r>
      <w:proofErr w:type="spellEnd"/>
      <w:r w:rsidRPr="00744C2E">
        <w:rPr>
          <w:szCs w:val="24"/>
        </w:rPr>
        <w:t>,</w:t>
      </w:r>
      <w:r w:rsidRPr="00744C2E">
        <w:rPr>
          <w:i/>
          <w:szCs w:val="24"/>
        </w:rPr>
        <w:t xml:space="preserve"> Are repeat upper gastrointestinal endoscopy and colonoscopy necessary within six months of capsule endoscopy in patients with obscure gastrointestinal bleeding?</w:t>
      </w:r>
      <w:r w:rsidRPr="00744C2E">
        <w:rPr>
          <w:szCs w:val="24"/>
        </w:rPr>
        <w:t>; and</w:t>
      </w:r>
    </w:p>
    <w:p w14:paraId="7E1F8541" w14:textId="77777777" w:rsidR="003A1C75" w:rsidRPr="007C06DB" w:rsidRDefault="003A1C75" w:rsidP="007C06DB">
      <w:pPr>
        <w:pStyle w:val="ListParagraph"/>
        <w:numPr>
          <w:ilvl w:val="1"/>
          <w:numId w:val="12"/>
        </w:numPr>
        <w:tabs>
          <w:tab w:val="left" w:pos="720"/>
        </w:tabs>
        <w:contextualSpacing w:val="0"/>
        <w:rPr>
          <w:szCs w:val="24"/>
        </w:rPr>
      </w:pPr>
      <w:proofErr w:type="spellStart"/>
      <w:r w:rsidRPr="00744C2E">
        <w:rPr>
          <w:szCs w:val="24"/>
        </w:rPr>
        <w:t>Vlachogiannakos</w:t>
      </w:r>
      <w:proofErr w:type="spellEnd"/>
      <w:r w:rsidRPr="00744C2E">
        <w:rPr>
          <w:szCs w:val="24"/>
        </w:rPr>
        <w:t xml:space="preserve"> 2011, Digestive diseases and sciences, </w:t>
      </w:r>
      <w:proofErr w:type="gramStart"/>
      <w:r w:rsidRPr="00744C2E">
        <w:rPr>
          <w:i/>
          <w:szCs w:val="24"/>
        </w:rPr>
        <w:t>Bleeding</w:t>
      </w:r>
      <w:proofErr w:type="gramEnd"/>
      <w:r w:rsidRPr="00744C2E">
        <w:rPr>
          <w:i/>
          <w:szCs w:val="24"/>
        </w:rPr>
        <w:t xml:space="preserve"> lesions within reach of conventional endoscopy in capsule endoscopy examinations for obscure gastrointestinal bleeding: is repeating endoscopy economically feasible?</w:t>
      </w:r>
    </w:p>
    <w:p w14:paraId="39DFFDA4" w14:textId="77777777" w:rsidR="007C06DB" w:rsidRPr="00744C2E" w:rsidRDefault="007C06DB" w:rsidP="007C06DB">
      <w:pPr>
        <w:pStyle w:val="ListParagraph"/>
        <w:tabs>
          <w:tab w:val="left" w:pos="720"/>
        </w:tabs>
        <w:ind w:left="1800"/>
        <w:contextualSpacing w:val="0"/>
        <w:rPr>
          <w:szCs w:val="24"/>
        </w:rPr>
      </w:pPr>
    </w:p>
    <w:p w14:paraId="1A47FF15" w14:textId="77777777" w:rsidR="003A1C75" w:rsidRPr="00744C2E" w:rsidRDefault="003A1C75" w:rsidP="007C06DB">
      <w:pPr>
        <w:pStyle w:val="ListParagraph"/>
        <w:numPr>
          <w:ilvl w:val="0"/>
          <w:numId w:val="11"/>
        </w:numPr>
        <w:tabs>
          <w:tab w:val="left" w:pos="720"/>
        </w:tabs>
        <w:contextualSpacing w:val="0"/>
        <w:rPr>
          <w:szCs w:val="24"/>
        </w:rPr>
      </w:pPr>
      <w:r w:rsidRPr="00744C2E">
        <w:rPr>
          <w:szCs w:val="24"/>
        </w:rPr>
        <w:t>Adverse events potentially avoided by the removal of the ‘six month’ rule:</w:t>
      </w:r>
    </w:p>
    <w:p w14:paraId="571194D4" w14:textId="77777777" w:rsidR="003A1C75" w:rsidRPr="00744C2E" w:rsidRDefault="003A1C75" w:rsidP="007C06DB">
      <w:pPr>
        <w:pStyle w:val="ListParagraph"/>
        <w:tabs>
          <w:tab w:val="left" w:pos="720"/>
        </w:tabs>
        <w:contextualSpacing w:val="0"/>
        <w:rPr>
          <w:szCs w:val="24"/>
        </w:rPr>
      </w:pPr>
      <w:r w:rsidRPr="00744C2E">
        <w:rPr>
          <w:szCs w:val="24"/>
        </w:rPr>
        <w:t>The SBA report provided a summary of two reports produced by the American Society for Gastrointestinal Endoscopy as evidence of the adverse events associated with colonoscopy and upper GI endoscopy.</w:t>
      </w:r>
    </w:p>
    <w:p w14:paraId="58877ECD" w14:textId="77777777" w:rsidR="003A1C75" w:rsidRPr="000058B5" w:rsidRDefault="003A1C75" w:rsidP="00E70677">
      <w:pPr>
        <w:pStyle w:val="Heading2"/>
      </w:pPr>
      <w:proofErr w:type="gramStart"/>
      <w:r>
        <w:t>Table 5.</w:t>
      </w:r>
      <w:proofErr w:type="gramEnd"/>
      <w:r>
        <w:t xml:space="preserve"> </w:t>
      </w:r>
      <w:r w:rsidRPr="000058B5">
        <w:t>Rate of complications associated with repeat colonoscopy and endoscopy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2251"/>
        <w:gridCol w:w="2251"/>
        <w:gridCol w:w="2251"/>
      </w:tblGrid>
      <w:tr w:rsidR="003A1C75" w14:paraId="0824D552" w14:textId="77777777" w:rsidTr="003A1C75">
        <w:tc>
          <w:tcPr>
            <w:tcW w:w="2251" w:type="dxa"/>
            <w:shd w:val="clear" w:color="auto" w:fill="auto"/>
          </w:tcPr>
          <w:p w14:paraId="61186CFD" w14:textId="77777777" w:rsidR="003A1C75" w:rsidRPr="00213091" w:rsidRDefault="003A1C75" w:rsidP="003A1C75">
            <w:pPr>
              <w:pStyle w:val="Tabletext"/>
              <w:rPr>
                <w:b/>
              </w:rPr>
            </w:pPr>
            <w:r w:rsidRPr="00213091">
              <w:rPr>
                <w:b/>
              </w:rPr>
              <w:t>Procedure</w:t>
            </w:r>
          </w:p>
        </w:tc>
        <w:tc>
          <w:tcPr>
            <w:tcW w:w="2251" w:type="dxa"/>
            <w:shd w:val="clear" w:color="auto" w:fill="auto"/>
          </w:tcPr>
          <w:p w14:paraId="011A230B" w14:textId="77777777" w:rsidR="003A1C75" w:rsidRPr="00213091" w:rsidRDefault="003A1C75" w:rsidP="003A1C75">
            <w:pPr>
              <w:pStyle w:val="Tabletext"/>
              <w:rPr>
                <w:b/>
              </w:rPr>
            </w:pPr>
            <w:r w:rsidRPr="00213091">
              <w:rPr>
                <w:b/>
              </w:rPr>
              <w:t>GI perforation</w:t>
            </w:r>
          </w:p>
        </w:tc>
        <w:tc>
          <w:tcPr>
            <w:tcW w:w="2251" w:type="dxa"/>
            <w:shd w:val="clear" w:color="auto" w:fill="auto"/>
          </w:tcPr>
          <w:p w14:paraId="62BF1D82" w14:textId="77777777" w:rsidR="003A1C75" w:rsidRPr="00213091" w:rsidRDefault="003A1C75" w:rsidP="003A1C75">
            <w:pPr>
              <w:pStyle w:val="Tabletext"/>
              <w:rPr>
                <w:b/>
              </w:rPr>
            </w:pPr>
            <w:r w:rsidRPr="00213091">
              <w:rPr>
                <w:b/>
              </w:rPr>
              <w:t>GI haemorrhage</w:t>
            </w:r>
          </w:p>
        </w:tc>
        <w:tc>
          <w:tcPr>
            <w:tcW w:w="2251" w:type="dxa"/>
            <w:shd w:val="clear" w:color="auto" w:fill="auto"/>
          </w:tcPr>
          <w:p w14:paraId="58DBED20" w14:textId="77777777" w:rsidR="003A1C75" w:rsidRPr="00213091" w:rsidRDefault="003A1C75" w:rsidP="003A1C75">
            <w:pPr>
              <w:pStyle w:val="Tabletext"/>
              <w:rPr>
                <w:b/>
              </w:rPr>
            </w:pPr>
            <w:r w:rsidRPr="00213091">
              <w:rPr>
                <w:b/>
              </w:rPr>
              <w:t>Death</w:t>
            </w:r>
          </w:p>
        </w:tc>
      </w:tr>
      <w:tr w:rsidR="003A1C75" w14:paraId="50F763A3" w14:textId="77777777" w:rsidTr="003A1C75">
        <w:tc>
          <w:tcPr>
            <w:tcW w:w="2251" w:type="dxa"/>
            <w:shd w:val="clear" w:color="auto" w:fill="auto"/>
          </w:tcPr>
          <w:p w14:paraId="08186576" w14:textId="77777777" w:rsidR="003A1C75" w:rsidRPr="00213091" w:rsidRDefault="003A1C75" w:rsidP="003A1C75">
            <w:pPr>
              <w:pStyle w:val="Tabletext"/>
              <w:rPr>
                <w:b/>
              </w:rPr>
            </w:pPr>
            <w:r w:rsidRPr="00213091">
              <w:rPr>
                <w:b/>
              </w:rPr>
              <w:t>Colonoscopy</w:t>
            </w:r>
          </w:p>
        </w:tc>
        <w:tc>
          <w:tcPr>
            <w:tcW w:w="2251" w:type="dxa"/>
            <w:shd w:val="clear" w:color="auto" w:fill="auto"/>
          </w:tcPr>
          <w:p w14:paraId="2AF91BF6" w14:textId="77777777" w:rsidR="003A1C75" w:rsidRDefault="003A1C75" w:rsidP="003A1C75">
            <w:pPr>
              <w:pStyle w:val="Tabletext"/>
            </w:pPr>
            <w:r>
              <w:t>10/10,000</w:t>
            </w:r>
          </w:p>
        </w:tc>
        <w:tc>
          <w:tcPr>
            <w:tcW w:w="2251" w:type="dxa"/>
            <w:shd w:val="clear" w:color="auto" w:fill="auto"/>
          </w:tcPr>
          <w:p w14:paraId="31B279C5" w14:textId="77777777" w:rsidR="003A1C75" w:rsidRDefault="003A1C75" w:rsidP="003A1C75">
            <w:pPr>
              <w:pStyle w:val="Tabletext"/>
            </w:pPr>
            <w:r>
              <w:t>35/10,000</w:t>
            </w:r>
          </w:p>
        </w:tc>
        <w:tc>
          <w:tcPr>
            <w:tcW w:w="2251" w:type="dxa"/>
            <w:shd w:val="clear" w:color="auto" w:fill="auto"/>
          </w:tcPr>
          <w:p w14:paraId="26F64665" w14:textId="77777777" w:rsidR="003A1C75" w:rsidRDefault="003A1C75" w:rsidP="003A1C75">
            <w:pPr>
              <w:pStyle w:val="Tabletext"/>
            </w:pPr>
            <w:r>
              <w:t>0.7/10,000</w:t>
            </w:r>
          </w:p>
        </w:tc>
      </w:tr>
      <w:tr w:rsidR="003A1C75" w14:paraId="70556984" w14:textId="77777777" w:rsidTr="003A1C75">
        <w:tc>
          <w:tcPr>
            <w:tcW w:w="2251" w:type="dxa"/>
            <w:shd w:val="clear" w:color="auto" w:fill="auto"/>
          </w:tcPr>
          <w:p w14:paraId="3DB640FA" w14:textId="77777777" w:rsidR="003A1C75" w:rsidRPr="00213091" w:rsidRDefault="003A1C75" w:rsidP="003A1C75">
            <w:pPr>
              <w:pStyle w:val="Tabletext"/>
              <w:rPr>
                <w:b/>
              </w:rPr>
            </w:pPr>
            <w:r w:rsidRPr="00213091">
              <w:rPr>
                <w:b/>
              </w:rPr>
              <w:t>Endoscopy</w:t>
            </w:r>
          </w:p>
        </w:tc>
        <w:tc>
          <w:tcPr>
            <w:tcW w:w="2251" w:type="dxa"/>
            <w:shd w:val="clear" w:color="auto" w:fill="auto"/>
          </w:tcPr>
          <w:p w14:paraId="13E78BB8" w14:textId="77777777" w:rsidR="003A1C75" w:rsidRDefault="003A1C75" w:rsidP="003A1C75">
            <w:pPr>
              <w:pStyle w:val="Tabletext"/>
            </w:pPr>
            <w:r>
              <w:t>3/10,000</w:t>
            </w:r>
          </w:p>
        </w:tc>
        <w:tc>
          <w:tcPr>
            <w:tcW w:w="2251" w:type="dxa"/>
            <w:shd w:val="clear" w:color="auto" w:fill="auto"/>
          </w:tcPr>
          <w:p w14:paraId="34E7BD9A" w14:textId="77777777" w:rsidR="003A1C75" w:rsidRDefault="003A1C75" w:rsidP="003A1C75">
            <w:pPr>
              <w:pStyle w:val="Tabletext"/>
            </w:pPr>
            <w:r>
              <w:t>“Rare”</w:t>
            </w:r>
          </w:p>
        </w:tc>
        <w:tc>
          <w:tcPr>
            <w:tcW w:w="2251" w:type="dxa"/>
            <w:shd w:val="clear" w:color="auto" w:fill="auto"/>
          </w:tcPr>
          <w:p w14:paraId="396199C8" w14:textId="77777777" w:rsidR="003A1C75" w:rsidRDefault="003A1C75" w:rsidP="003A1C75">
            <w:pPr>
              <w:pStyle w:val="Tabletext"/>
            </w:pPr>
            <w:r>
              <w:t>0.4/10,000</w:t>
            </w:r>
          </w:p>
        </w:tc>
      </w:tr>
      <w:tr w:rsidR="003A1C75" w14:paraId="51D56841" w14:textId="77777777" w:rsidTr="003A1C75">
        <w:tc>
          <w:tcPr>
            <w:tcW w:w="2251" w:type="dxa"/>
            <w:shd w:val="clear" w:color="auto" w:fill="auto"/>
          </w:tcPr>
          <w:p w14:paraId="17BDE152" w14:textId="77777777" w:rsidR="003A1C75" w:rsidRPr="00213091" w:rsidRDefault="003A1C75" w:rsidP="003A1C75">
            <w:pPr>
              <w:pStyle w:val="Tabletext"/>
              <w:rPr>
                <w:b/>
              </w:rPr>
            </w:pPr>
            <w:r w:rsidRPr="00213091">
              <w:rPr>
                <w:b/>
              </w:rPr>
              <w:t>Cumulative</w:t>
            </w:r>
          </w:p>
        </w:tc>
        <w:tc>
          <w:tcPr>
            <w:tcW w:w="2251" w:type="dxa"/>
            <w:shd w:val="clear" w:color="auto" w:fill="auto"/>
          </w:tcPr>
          <w:p w14:paraId="6A79BDB6" w14:textId="77777777" w:rsidR="003A1C75" w:rsidRDefault="003A1C75" w:rsidP="003A1C75">
            <w:pPr>
              <w:pStyle w:val="Tabletext"/>
            </w:pPr>
            <w:r>
              <w:t>13/10,000</w:t>
            </w:r>
          </w:p>
        </w:tc>
        <w:tc>
          <w:tcPr>
            <w:tcW w:w="2251" w:type="dxa"/>
            <w:shd w:val="clear" w:color="auto" w:fill="auto"/>
          </w:tcPr>
          <w:p w14:paraId="5B6FCE6D" w14:textId="77777777" w:rsidR="003A1C75" w:rsidRDefault="003A1C75" w:rsidP="003A1C75">
            <w:pPr>
              <w:pStyle w:val="Tabletext"/>
            </w:pPr>
            <w:r>
              <w:t>35/10,000</w:t>
            </w:r>
          </w:p>
        </w:tc>
        <w:tc>
          <w:tcPr>
            <w:tcW w:w="2251" w:type="dxa"/>
            <w:shd w:val="clear" w:color="auto" w:fill="auto"/>
          </w:tcPr>
          <w:p w14:paraId="6B4F073C" w14:textId="77777777" w:rsidR="003A1C75" w:rsidRDefault="003A1C75" w:rsidP="003A1C75">
            <w:pPr>
              <w:pStyle w:val="Tabletext"/>
            </w:pPr>
            <w:r>
              <w:t>1.1/10,000</w:t>
            </w:r>
          </w:p>
        </w:tc>
      </w:tr>
    </w:tbl>
    <w:p w14:paraId="030D6F57" w14:textId="77777777" w:rsidR="003A1C75" w:rsidRPr="00E3324A" w:rsidRDefault="003A1C75" w:rsidP="003A1C75">
      <w:pPr>
        <w:tabs>
          <w:tab w:val="left" w:pos="720"/>
        </w:tabs>
        <w:rPr>
          <w:rFonts w:ascii="Arial Narrow" w:hAnsi="Arial Narrow" w:cs="Arial"/>
          <w:b/>
          <w:bCs/>
          <w:iCs/>
          <w:sz w:val="20"/>
          <w:lang w:eastAsia="en-US"/>
        </w:rPr>
      </w:pPr>
      <w:r w:rsidRPr="000058B5">
        <w:rPr>
          <w:rFonts w:ascii="Arial Narrow" w:hAnsi="Arial Narrow" w:cs="Arial"/>
          <w:b/>
          <w:bCs/>
          <w:iCs/>
          <w:sz w:val="20"/>
          <w:lang w:eastAsia="en-US"/>
        </w:rPr>
        <w:t xml:space="preserve">Source: </w:t>
      </w:r>
      <w:r>
        <w:rPr>
          <w:rFonts w:ascii="Arial Narrow" w:hAnsi="Arial Narrow" w:cs="Arial"/>
          <w:b/>
          <w:bCs/>
          <w:iCs/>
          <w:sz w:val="20"/>
          <w:lang w:eastAsia="en-US"/>
        </w:rPr>
        <w:t>Table 5</w:t>
      </w:r>
      <w:r w:rsidRPr="000058B5">
        <w:rPr>
          <w:rFonts w:ascii="Arial Narrow" w:hAnsi="Arial Narrow" w:cs="Arial"/>
          <w:b/>
          <w:bCs/>
          <w:iCs/>
          <w:sz w:val="20"/>
          <w:lang w:eastAsia="en-US"/>
        </w:rPr>
        <w:t xml:space="preserve"> of the SBA</w:t>
      </w:r>
      <w:r>
        <w:rPr>
          <w:rFonts w:ascii="Arial Narrow" w:hAnsi="Arial Narrow" w:cs="Arial"/>
          <w:b/>
          <w:bCs/>
          <w:iCs/>
          <w:sz w:val="20"/>
          <w:lang w:eastAsia="en-US"/>
        </w:rPr>
        <w:t>, p. 24</w:t>
      </w:r>
      <w:r w:rsidRPr="000058B5">
        <w:rPr>
          <w:rFonts w:ascii="Arial Narrow" w:hAnsi="Arial Narrow" w:cs="Arial"/>
          <w:b/>
          <w:bCs/>
          <w:iCs/>
          <w:sz w:val="20"/>
          <w:lang w:eastAsia="en-US"/>
        </w:rPr>
        <w:t>.</w:t>
      </w:r>
    </w:p>
    <w:p w14:paraId="35751B65" w14:textId="77777777" w:rsidR="003A1C75" w:rsidRPr="00744C2E" w:rsidRDefault="003A1C75" w:rsidP="007C06DB">
      <w:pPr>
        <w:tabs>
          <w:tab w:val="left" w:pos="720"/>
        </w:tabs>
        <w:rPr>
          <w:szCs w:val="24"/>
        </w:rPr>
      </w:pPr>
      <w:r w:rsidRPr="00744C2E">
        <w:rPr>
          <w:szCs w:val="24"/>
        </w:rPr>
        <w:t>No meta-analyses or systematic reviews were identified by the SBA report.</w:t>
      </w:r>
    </w:p>
    <w:p w14:paraId="68A8D3C6" w14:textId="77777777" w:rsidR="003A1C75" w:rsidRPr="00744C2E" w:rsidRDefault="003A1C75" w:rsidP="007C06DB">
      <w:pPr>
        <w:tabs>
          <w:tab w:val="left" w:pos="720"/>
        </w:tabs>
        <w:rPr>
          <w:szCs w:val="24"/>
        </w:rPr>
      </w:pPr>
    </w:p>
    <w:p w14:paraId="2FD13ADB" w14:textId="77777777" w:rsidR="003A1C75" w:rsidRPr="007C06DB" w:rsidRDefault="003A1C75" w:rsidP="007C06DB">
      <w:pPr>
        <w:tabs>
          <w:tab w:val="left" w:pos="720"/>
        </w:tabs>
        <w:rPr>
          <w:i/>
          <w:szCs w:val="24"/>
        </w:rPr>
      </w:pPr>
      <w:r w:rsidRPr="007C06DB">
        <w:rPr>
          <w:i/>
          <w:szCs w:val="24"/>
        </w:rPr>
        <w:t>Amendment 1</w:t>
      </w:r>
    </w:p>
    <w:p w14:paraId="08CBBAEE" w14:textId="77777777" w:rsidR="003A1C75" w:rsidRPr="00744C2E" w:rsidRDefault="003A1C75" w:rsidP="007C06DB">
      <w:pPr>
        <w:tabs>
          <w:tab w:val="left" w:pos="720"/>
        </w:tabs>
        <w:rPr>
          <w:szCs w:val="24"/>
        </w:rPr>
      </w:pPr>
      <w:r w:rsidRPr="00744C2E">
        <w:rPr>
          <w:szCs w:val="24"/>
        </w:rPr>
        <w:t>The SBA report noted that the major safety concern regarding the use of CE in paediatric patients may be the perceived risk of delayed passage or capsule retention due to the size of the capsule compared with the size of the paediatric bowel. The 44 publications considered in the SBA report evidence reviewed collectively include 1128 patients, most of whom were paediatric or adolescent. Of the 1128 cases, there were no cases of capsule retention requiring extraction (and there were no cases of capsule retention in OGIB cases).</w:t>
      </w:r>
    </w:p>
    <w:p w14:paraId="47F42BF4" w14:textId="77777777" w:rsidR="007C06DB" w:rsidRDefault="007C06DB" w:rsidP="007C06DB">
      <w:pPr>
        <w:tabs>
          <w:tab w:val="left" w:pos="720"/>
        </w:tabs>
        <w:rPr>
          <w:szCs w:val="24"/>
        </w:rPr>
      </w:pPr>
    </w:p>
    <w:p w14:paraId="0ACEE7FF" w14:textId="77777777" w:rsidR="003A1C75" w:rsidRPr="00744C2E" w:rsidRDefault="003A1C75" w:rsidP="007C06DB">
      <w:pPr>
        <w:tabs>
          <w:tab w:val="left" w:pos="720"/>
        </w:tabs>
        <w:rPr>
          <w:szCs w:val="24"/>
        </w:rPr>
      </w:pPr>
      <w:r w:rsidRPr="00744C2E">
        <w:rPr>
          <w:szCs w:val="24"/>
        </w:rPr>
        <w:t>The SBA report acknowledged that while a portion of adult patients have endoscopic placement, this is not uncommon in paediatric patients. Furthermore, to minimise patient impact in paediatric patients, if CE was available, it is highly likely that endoscopic placement would occur immediately after a non-diagnostic colonoscopy and endoscopy, while the patient was still sedated.</w:t>
      </w:r>
    </w:p>
    <w:p w14:paraId="7D471684" w14:textId="77777777" w:rsidR="007C06DB" w:rsidRDefault="007C06DB" w:rsidP="007C06DB">
      <w:pPr>
        <w:tabs>
          <w:tab w:val="left" w:pos="720"/>
        </w:tabs>
        <w:rPr>
          <w:szCs w:val="24"/>
        </w:rPr>
      </w:pPr>
    </w:p>
    <w:p w14:paraId="3EA6E991" w14:textId="77777777" w:rsidR="003A1C75" w:rsidRPr="00744C2E" w:rsidRDefault="003A1C75" w:rsidP="007C06DB">
      <w:pPr>
        <w:tabs>
          <w:tab w:val="left" w:pos="720"/>
        </w:tabs>
        <w:rPr>
          <w:szCs w:val="24"/>
        </w:rPr>
      </w:pPr>
      <w:r w:rsidRPr="00744C2E">
        <w:rPr>
          <w:szCs w:val="24"/>
        </w:rPr>
        <w:t>The SBA report concluded that based on the evidence, CE for OGIB is safe in children, including paediatric patients affected by this amendment (i.e. those aged two to nine years old).</w:t>
      </w:r>
    </w:p>
    <w:p w14:paraId="2B37AEDB" w14:textId="77777777" w:rsidR="007C06DB" w:rsidRDefault="007C06DB" w:rsidP="007C06DB">
      <w:pPr>
        <w:tabs>
          <w:tab w:val="left" w:pos="720"/>
        </w:tabs>
        <w:rPr>
          <w:szCs w:val="24"/>
        </w:rPr>
      </w:pPr>
    </w:p>
    <w:p w14:paraId="245B47E7" w14:textId="77777777" w:rsidR="003A1C75" w:rsidRPr="00744C2E" w:rsidRDefault="003A1C75" w:rsidP="007C06DB">
      <w:pPr>
        <w:tabs>
          <w:tab w:val="left" w:pos="720"/>
        </w:tabs>
        <w:rPr>
          <w:szCs w:val="24"/>
        </w:rPr>
      </w:pPr>
      <w:r w:rsidRPr="00744C2E">
        <w:rPr>
          <w:szCs w:val="24"/>
        </w:rPr>
        <w:lastRenderedPageBreak/>
        <w:t xml:space="preserve">The critique noted that the safety data presented in the SBA report indicated that the rates of delayed passage and capsule retention with CE in paediatric patients are generally low and comparable to the rates observed in adult patients. The rate of endoscopic placement of the capsule ranged between 7% and 25% in the seven included studies, with a rate of 11% in the largest study (de’ Angelis 2007). </w:t>
      </w:r>
      <w:r w:rsidR="000F4375">
        <w:rPr>
          <w:szCs w:val="24"/>
        </w:rPr>
        <w:t>However, it was noted that in the more recent</w:t>
      </w:r>
      <w:r w:rsidR="0017785A">
        <w:rPr>
          <w:szCs w:val="24"/>
        </w:rPr>
        <w:t xml:space="preserve"> study (</w:t>
      </w:r>
      <w:proofErr w:type="spellStart"/>
      <w:r w:rsidR="0017785A">
        <w:rPr>
          <w:szCs w:val="24"/>
        </w:rPr>
        <w:t>Frtischer</w:t>
      </w:r>
      <w:proofErr w:type="spellEnd"/>
      <w:r w:rsidR="0017785A">
        <w:rPr>
          <w:szCs w:val="24"/>
        </w:rPr>
        <w:t xml:space="preserve">-Raven 2009), </w:t>
      </w:r>
      <w:r w:rsidR="000F4375">
        <w:rPr>
          <w:szCs w:val="24"/>
        </w:rPr>
        <w:t xml:space="preserve">endoscopic placement was performed in 76% of </w:t>
      </w:r>
      <w:proofErr w:type="gramStart"/>
      <w:r w:rsidR="000F4375">
        <w:rPr>
          <w:szCs w:val="24"/>
        </w:rPr>
        <w:t>patients,</w:t>
      </w:r>
      <w:proofErr w:type="gramEnd"/>
      <w:r w:rsidR="000F4375">
        <w:rPr>
          <w:szCs w:val="24"/>
        </w:rPr>
        <w:t xml:space="preserve"> however the relevance of this to Australian practice was questioned</w:t>
      </w:r>
      <w:r w:rsidR="0017785A">
        <w:rPr>
          <w:szCs w:val="24"/>
        </w:rPr>
        <w:t xml:space="preserve">. </w:t>
      </w:r>
      <w:r w:rsidRPr="00744C2E">
        <w:rPr>
          <w:szCs w:val="24"/>
        </w:rPr>
        <w:t>The critique concluded that endoscopic placement could be a significant safety issue in paediatric patients, as it may involve additional anaesthesia and endoscopy procedures.</w:t>
      </w:r>
    </w:p>
    <w:p w14:paraId="5CE235CB" w14:textId="77777777" w:rsidR="003A1C75" w:rsidRPr="00744C2E" w:rsidRDefault="003A1C75" w:rsidP="007C06DB">
      <w:pPr>
        <w:tabs>
          <w:tab w:val="left" w:pos="720"/>
        </w:tabs>
        <w:rPr>
          <w:szCs w:val="24"/>
        </w:rPr>
      </w:pPr>
    </w:p>
    <w:p w14:paraId="6D369485" w14:textId="77777777" w:rsidR="003A1C75" w:rsidRPr="007C06DB" w:rsidRDefault="003A1C75" w:rsidP="007C06DB">
      <w:pPr>
        <w:tabs>
          <w:tab w:val="left" w:pos="720"/>
        </w:tabs>
        <w:rPr>
          <w:i/>
          <w:szCs w:val="24"/>
        </w:rPr>
      </w:pPr>
      <w:r w:rsidRPr="007C06DB">
        <w:rPr>
          <w:i/>
          <w:szCs w:val="24"/>
        </w:rPr>
        <w:t>Amendment 2</w:t>
      </w:r>
    </w:p>
    <w:p w14:paraId="61ECA21C" w14:textId="77777777" w:rsidR="003A1C75" w:rsidRPr="00744C2E" w:rsidRDefault="003A1C75" w:rsidP="007C06DB">
      <w:pPr>
        <w:tabs>
          <w:tab w:val="left" w:pos="720"/>
        </w:tabs>
        <w:rPr>
          <w:szCs w:val="24"/>
        </w:rPr>
      </w:pPr>
      <w:r w:rsidRPr="00744C2E">
        <w:rPr>
          <w:szCs w:val="24"/>
        </w:rPr>
        <w:t>The SBA report noted that some patients who were not satisfactorily diagnosed using the upper GI endoscopy and colonoscopy in the past (more than 6 months ago), are given these procedures again solely because of the ‘six month’ rule, rather than for clinical indications. The vast majority of repeat colonoscopies and endoscopies are futile in these patients, with a reported diagnostic yield of 4%. The SBA report concluded that the removal of the ‘six month’ rule would avoid adverse events potentially caused by the unnecessary colonoscopy/endoscopy procedures currently given due to the ‘six month’ rule.</w:t>
      </w:r>
    </w:p>
    <w:p w14:paraId="5FB4855B" w14:textId="77777777" w:rsidR="007C06DB" w:rsidRDefault="007C06DB" w:rsidP="007C06DB">
      <w:pPr>
        <w:tabs>
          <w:tab w:val="left" w:pos="720"/>
        </w:tabs>
        <w:rPr>
          <w:szCs w:val="24"/>
        </w:rPr>
      </w:pPr>
    </w:p>
    <w:p w14:paraId="4E13E64F" w14:textId="77777777" w:rsidR="003A1C75" w:rsidRPr="00744C2E" w:rsidRDefault="003A1C75" w:rsidP="007C06DB">
      <w:pPr>
        <w:tabs>
          <w:tab w:val="left" w:pos="720"/>
        </w:tabs>
        <w:rPr>
          <w:szCs w:val="24"/>
        </w:rPr>
      </w:pPr>
      <w:r w:rsidRPr="00744C2E">
        <w:rPr>
          <w:szCs w:val="24"/>
        </w:rPr>
        <w:t>The SBA report identified that for diagnostic colonoscopies and endoscopies, the notable complications are cardiopulmonary complications related to the administration of anaesthesia, GI perforation, haemorrhage and death.</w:t>
      </w:r>
    </w:p>
    <w:p w14:paraId="2B6CE0A2" w14:textId="77777777" w:rsidR="007C06DB" w:rsidRDefault="007C06DB" w:rsidP="007C06DB">
      <w:pPr>
        <w:tabs>
          <w:tab w:val="left" w:pos="720"/>
        </w:tabs>
        <w:rPr>
          <w:szCs w:val="24"/>
        </w:rPr>
      </w:pPr>
    </w:p>
    <w:p w14:paraId="6C77523E" w14:textId="77777777" w:rsidR="003A1C75" w:rsidRPr="00744C2E" w:rsidRDefault="003A1C75" w:rsidP="007C06DB">
      <w:pPr>
        <w:tabs>
          <w:tab w:val="left" w:pos="720"/>
        </w:tabs>
        <w:rPr>
          <w:szCs w:val="24"/>
        </w:rPr>
      </w:pPr>
      <w:r w:rsidRPr="00744C2E">
        <w:rPr>
          <w:szCs w:val="24"/>
        </w:rPr>
        <w:t>However, the critique noted that the SBA report identified a number of key rare complications associated with colonoscopy and endoscopy. The critique concluded that as the true extent of the utilisation of repeat procedures to qualify for CE is uncertain, the impact of any potential complications of these procedures is also uncertain.</w:t>
      </w:r>
    </w:p>
    <w:p w14:paraId="389B03CB" w14:textId="77777777" w:rsidR="0079412A" w:rsidRPr="00BB418D" w:rsidRDefault="0079412A" w:rsidP="007C06DB">
      <w:pPr>
        <w:tabs>
          <w:tab w:val="left" w:pos="720"/>
        </w:tabs>
        <w:rPr>
          <w:szCs w:val="24"/>
        </w:rPr>
      </w:pPr>
    </w:p>
    <w:p w14:paraId="2DED528C" w14:textId="77777777" w:rsidR="009140DF" w:rsidRPr="002B4CE2" w:rsidRDefault="002B4CE2" w:rsidP="007C06DB">
      <w:pPr>
        <w:pStyle w:val="Heading1"/>
        <w:spacing w:before="0"/>
      </w:pPr>
      <w:r>
        <w:t>10.</w:t>
      </w:r>
      <w:r>
        <w:tab/>
      </w:r>
      <w:r w:rsidR="00E67C5A" w:rsidRPr="002B4CE2">
        <w:t xml:space="preserve">Comparative </w:t>
      </w:r>
      <w:r w:rsidR="00937076" w:rsidRPr="002B4CE2">
        <w:t>effectiveness</w:t>
      </w:r>
    </w:p>
    <w:p w14:paraId="0484897F" w14:textId="01296C89" w:rsidR="003A1C75" w:rsidRPr="00744C2E" w:rsidRDefault="003A1C75" w:rsidP="007C06DB">
      <w:pPr>
        <w:tabs>
          <w:tab w:val="left" w:pos="720"/>
          <w:tab w:val="left" w:pos="1140"/>
        </w:tabs>
        <w:rPr>
          <w:szCs w:val="24"/>
        </w:rPr>
      </w:pPr>
      <w:r w:rsidRPr="00744C2E">
        <w:rPr>
          <w:szCs w:val="24"/>
        </w:rPr>
        <w:t xml:space="preserve">Evidence for comparative effectiveness of the two proposed amendments </w:t>
      </w:r>
      <w:r w:rsidR="007C06DB">
        <w:rPr>
          <w:szCs w:val="24"/>
        </w:rPr>
        <w:t>wa</w:t>
      </w:r>
      <w:r w:rsidRPr="00744C2E">
        <w:rPr>
          <w:szCs w:val="24"/>
        </w:rPr>
        <w:t xml:space="preserve">s derived from the same sources used to derive comparative safety. </w:t>
      </w:r>
    </w:p>
    <w:p w14:paraId="0AF261E6" w14:textId="77777777" w:rsidR="007C06DB" w:rsidRDefault="007C06DB" w:rsidP="007C06DB">
      <w:pPr>
        <w:tabs>
          <w:tab w:val="left" w:pos="720"/>
        </w:tabs>
        <w:rPr>
          <w:szCs w:val="24"/>
        </w:rPr>
      </w:pPr>
    </w:p>
    <w:p w14:paraId="6B9B8F4C" w14:textId="77777777" w:rsidR="003A1C75" w:rsidRPr="00744C2E" w:rsidRDefault="003A1C75" w:rsidP="007C06DB">
      <w:pPr>
        <w:tabs>
          <w:tab w:val="left" w:pos="720"/>
        </w:tabs>
        <w:rPr>
          <w:szCs w:val="24"/>
        </w:rPr>
      </w:pPr>
      <w:r w:rsidRPr="00744C2E">
        <w:rPr>
          <w:szCs w:val="24"/>
        </w:rPr>
        <w:t>No meta-analyses or systematic reviews were identified by the SBA report.</w:t>
      </w:r>
    </w:p>
    <w:p w14:paraId="49D53F5C" w14:textId="77777777" w:rsidR="003A1C75" w:rsidRPr="00744C2E" w:rsidRDefault="003A1C75" w:rsidP="007C06DB">
      <w:pPr>
        <w:tabs>
          <w:tab w:val="left" w:pos="720"/>
        </w:tabs>
        <w:rPr>
          <w:szCs w:val="24"/>
        </w:rPr>
      </w:pPr>
    </w:p>
    <w:p w14:paraId="14EC83DE" w14:textId="77777777" w:rsidR="003A1C75" w:rsidRPr="007C06DB" w:rsidRDefault="003A1C75" w:rsidP="007C06DB">
      <w:pPr>
        <w:tabs>
          <w:tab w:val="left" w:pos="720"/>
        </w:tabs>
        <w:rPr>
          <w:i/>
          <w:szCs w:val="24"/>
        </w:rPr>
      </w:pPr>
      <w:r w:rsidRPr="007C06DB">
        <w:rPr>
          <w:i/>
          <w:szCs w:val="24"/>
        </w:rPr>
        <w:t>Amendment 1</w:t>
      </w:r>
    </w:p>
    <w:p w14:paraId="508B8E26" w14:textId="77777777" w:rsidR="003A1C75" w:rsidRPr="00744C2E" w:rsidRDefault="003A1C75" w:rsidP="007C06DB">
      <w:pPr>
        <w:tabs>
          <w:tab w:val="left" w:pos="720"/>
        </w:tabs>
        <w:rPr>
          <w:szCs w:val="24"/>
        </w:rPr>
      </w:pPr>
      <w:r w:rsidRPr="00744C2E">
        <w:rPr>
          <w:szCs w:val="24"/>
        </w:rPr>
        <w:t>The SBA report claimed that based on the five studies published between 2004 and 2008 that involved paediatric patients with OGIB (including two studies comparing CE with SBS), CE in paediatric patients returned a diagnostic yield rate of greater than 60% (the range was 64% to 100%). The two studies comparing CE with SBS demonstrated that CE was significantly more effective than SBS, with CE again returning a diagnostic yield greater than 60%, compared with a diagnostic yield of less than 21% for SBS (although these two studies also included non-OGIB patients). The applicant suggested that CE provides a similar, if not better, diagnostic yield in paediatric patients when compared with its use in adults.</w:t>
      </w:r>
    </w:p>
    <w:p w14:paraId="14D931FB" w14:textId="77777777" w:rsidR="003A1C75" w:rsidRPr="00744C2E" w:rsidRDefault="003A1C75" w:rsidP="007C06DB">
      <w:pPr>
        <w:tabs>
          <w:tab w:val="left" w:pos="720"/>
        </w:tabs>
        <w:rPr>
          <w:szCs w:val="24"/>
        </w:rPr>
      </w:pPr>
      <w:r w:rsidRPr="00744C2E">
        <w:rPr>
          <w:szCs w:val="24"/>
        </w:rPr>
        <w:t xml:space="preserve">The study by </w:t>
      </w:r>
      <w:proofErr w:type="spellStart"/>
      <w:r w:rsidRPr="00744C2E">
        <w:rPr>
          <w:szCs w:val="24"/>
        </w:rPr>
        <w:t>Fritscher</w:t>
      </w:r>
      <w:proofErr w:type="spellEnd"/>
      <w:r w:rsidRPr="00744C2E">
        <w:rPr>
          <w:szCs w:val="24"/>
        </w:rPr>
        <w:t>-Ravens et al (2009), the largest study involving paediatric OGIB patients, reports a diagnostic yield of 53% (16/30) for children aged 1.5 to 7 years with OGIB.</w:t>
      </w:r>
    </w:p>
    <w:p w14:paraId="47DCF7F9" w14:textId="77777777" w:rsidR="007C06DB" w:rsidRDefault="007C06DB" w:rsidP="007C06DB">
      <w:pPr>
        <w:tabs>
          <w:tab w:val="left" w:pos="720"/>
        </w:tabs>
        <w:rPr>
          <w:szCs w:val="24"/>
        </w:rPr>
      </w:pPr>
    </w:p>
    <w:p w14:paraId="6B5F2C6B" w14:textId="77777777" w:rsidR="003A1C75" w:rsidRPr="00744C2E" w:rsidRDefault="003A1C75" w:rsidP="007C06DB">
      <w:pPr>
        <w:tabs>
          <w:tab w:val="left" w:pos="720"/>
        </w:tabs>
        <w:rPr>
          <w:szCs w:val="24"/>
        </w:rPr>
      </w:pPr>
      <w:r w:rsidRPr="00744C2E">
        <w:rPr>
          <w:szCs w:val="24"/>
        </w:rPr>
        <w:t>The critique noted that this claim of effectiveness relies entirely on diagnostic yield, with no evidence for the true diagnostic accuracy of CE in patients aged 2-9 years (although this was also the case in the application for listing for adults (MSAC Application 1057)).</w:t>
      </w:r>
    </w:p>
    <w:p w14:paraId="0321DD48" w14:textId="77777777" w:rsidR="007C06DB" w:rsidRDefault="007C06DB" w:rsidP="007C06DB">
      <w:pPr>
        <w:tabs>
          <w:tab w:val="left" w:pos="720"/>
        </w:tabs>
        <w:rPr>
          <w:szCs w:val="24"/>
        </w:rPr>
      </w:pPr>
    </w:p>
    <w:p w14:paraId="3D37F497" w14:textId="77777777" w:rsidR="003A1C75" w:rsidRPr="007C06DB" w:rsidRDefault="003A1C75" w:rsidP="007C06DB">
      <w:pPr>
        <w:tabs>
          <w:tab w:val="left" w:pos="720"/>
        </w:tabs>
        <w:rPr>
          <w:i/>
          <w:szCs w:val="24"/>
        </w:rPr>
      </w:pPr>
      <w:r w:rsidRPr="007C06DB">
        <w:rPr>
          <w:i/>
          <w:szCs w:val="24"/>
        </w:rPr>
        <w:t>Amendment 2</w:t>
      </w:r>
    </w:p>
    <w:p w14:paraId="26AF181A" w14:textId="77777777" w:rsidR="003A1C75" w:rsidRPr="00744C2E" w:rsidRDefault="003A1C75" w:rsidP="007C06DB">
      <w:pPr>
        <w:tabs>
          <w:tab w:val="left" w:pos="720"/>
        </w:tabs>
        <w:rPr>
          <w:szCs w:val="24"/>
        </w:rPr>
      </w:pPr>
      <w:r w:rsidRPr="00744C2E">
        <w:rPr>
          <w:szCs w:val="24"/>
        </w:rPr>
        <w:lastRenderedPageBreak/>
        <w:t>The SBA report noted that the ‘six month’ rule does not reflect the patient population represented by the clinical evidence included in the August 2003 assessment. While the pivotal clinical trials included in the assessment required patients to have undergone previously negative or non-diagnostic colonoscopy and endoscopy, no ‘six month’ rule was implemented in any of the trials.</w:t>
      </w:r>
    </w:p>
    <w:p w14:paraId="4532D41E" w14:textId="77777777" w:rsidR="007C06DB" w:rsidRDefault="007C06DB" w:rsidP="007C06DB">
      <w:pPr>
        <w:tabs>
          <w:tab w:val="left" w:pos="720"/>
        </w:tabs>
        <w:rPr>
          <w:szCs w:val="24"/>
        </w:rPr>
      </w:pPr>
    </w:p>
    <w:p w14:paraId="263C6FB8" w14:textId="77777777" w:rsidR="003A1C75" w:rsidRPr="00744C2E" w:rsidRDefault="003A1C75" w:rsidP="007C06DB">
      <w:pPr>
        <w:tabs>
          <w:tab w:val="left" w:pos="720"/>
        </w:tabs>
        <w:rPr>
          <w:szCs w:val="24"/>
        </w:rPr>
      </w:pPr>
      <w:r w:rsidRPr="00744C2E">
        <w:rPr>
          <w:szCs w:val="24"/>
        </w:rPr>
        <w:t xml:space="preserve">The critique noted that there were no studies included in the 2003 assessment report that included a maximum time of six months; however, two of the key comparative studies included a maximum time period of twelve months. </w:t>
      </w:r>
    </w:p>
    <w:p w14:paraId="4A006F3F" w14:textId="77777777" w:rsidR="007C06DB" w:rsidRDefault="007C06DB" w:rsidP="007C06DB">
      <w:pPr>
        <w:tabs>
          <w:tab w:val="left" w:pos="720"/>
        </w:tabs>
        <w:rPr>
          <w:szCs w:val="24"/>
        </w:rPr>
      </w:pPr>
    </w:p>
    <w:p w14:paraId="7796AA40" w14:textId="06A2C8DE" w:rsidR="003A1C75" w:rsidRPr="00744C2E" w:rsidRDefault="003A1C75" w:rsidP="00EA2258">
      <w:pPr>
        <w:tabs>
          <w:tab w:val="left" w:pos="720"/>
        </w:tabs>
        <w:rPr>
          <w:szCs w:val="24"/>
        </w:rPr>
      </w:pPr>
      <w:r w:rsidRPr="00744C2E">
        <w:rPr>
          <w:szCs w:val="24"/>
        </w:rPr>
        <w:t>The SBA report use</w:t>
      </w:r>
      <w:r w:rsidR="007C06DB">
        <w:rPr>
          <w:szCs w:val="24"/>
        </w:rPr>
        <w:t>d</w:t>
      </w:r>
      <w:r w:rsidRPr="00744C2E">
        <w:rPr>
          <w:szCs w:val="24"/>
        </w:rPr>
        <w:t xml:space="preserve"> data from an Australian study (Gilbert et al., 2008) to suggest that a high proportion of patients undergo repeat colonoscopy and endoscopy specifically to qualify for CE. The study reported that the diagnostic yield of these repeat procedures is very low, at 4%. Based on this study, the SBA assumed </w:t>
      </w:r>
      <w:r w:rsidR="0044179E">
        <w:rPr>
          <w:szCs w:val="24"/>
        </w:rPr>
        <w:t>that</w:t>
      </w:r>
      <w:r w:rsidRPr="00744C2E">
        <w:rPr>
          <w:szCs w:val="24"/>
        </w:rPr>
        <w:t xml:space="preserve"> 25% </w:t>
      </w:r>
      <w:r w:rsidR="0044179E">
        <w:rPr>
          <w:szCs w:val="24"/>
        </w:rPr>
        <w:t>of patients referred for CE would need to undergo repeat</w:t>
      </w:r>
      <w:r w:rsidRPr="00744C2E">
        <w:rPr>
          <w:szCs w:val="24"/>
        </w:rPr>
        <w:t xml:space="preserve"> endoscopy/colonoscopy</w:t>
      </w:r>
      <w:r w:rsidR="0044179E">
        <w:rPr>
          <w:szCs w:val="24"/>
        </w:rPr>
        <w:t>,</w:t>
      </w:r>
      <w:r w:rsidRPr="00744C2E">
        <w:rPr>
          <w:szCs w:val="24"/>
        </w:rPr>
        <w:t xml:space="preserve"> </w:t>
      </w:r>
      <w:r w:rsidR="0044179E">
        <w:rPr>
          <w:szCs w:val="24"/>
        </w:rPr>
        <w:t>because</w:t>
      </w:r>
      <w:r w:rsidRPr="00744C2E">
        <w:rPr>
          <w:szCs w:val="24"/>
        </w:rPr>
        <w:t xml:space="preserve"> of the 6-month rule. The critique noted that this study covers the time period immediately after the listing of item 11820 on the MBS and it is unclear whether these data are applicable to current clinical practice. Given the minimal amount of data available, the critique concluded that the true extent of the utilisation and diagnostic value of repeat colonoscopy and endoscopy procedures is highly uncertain.</w:t>
      </w:r>
    </w:p>
    <w:p w14:paraId="6A0E533B" w14:textId="77777777" w:rsidR="003A1C75" w:rsidRPr="00744C2E" w:rsidRDefault="003A1C75" w:rsidP="00EA2258">
      <w:pPr>
        <w:tabs>
          <w:tab w:val="left" w:pos="720"/>
        </w:tabs>
        <w:rPr>
          <w:szCs w:val="24"/>
        </w:rPr>
      </w:pPr>
    </w:p>
    <w:p w14:paraId="429BF38C" w14:textId="77777777" w:rsidR="003A1C75" w:rsidRPr="00EA2258" w:rsidRDefault="003A1C75" w:rsidP="00EA2258">
      <w:pPr>
        <w:tabs>
          <w:tab w:val="left" w:pos="720"/>
        </w:tabs>
        <w:rPr>
          <w:i/>
          <w:szCs w:val="24"/>
        </w:rPr>
      </w:pPr>
      <w:r w:rsidRPr="00EA2258">
        <w:rPr>
          <w:i/>
          <w:szCs w:val="24"/>
        </w:rPr>
        <w:t>Amendment 1</w:t>
      </w:r>
    </w:p>
    <w:p w14:paraId="73DB1806" w14:textId="77777777" w:rsidR="003A1C75" w:rsidRPr="00744C2E" w:rsidRDefault="003A1C75" w:rsidP="00EA2258">
      <w:pPr>
        <w:tabs>
          <w:tab w:val="left" w:pos="720"/>
        </w:tabs>
        <w:rPr>
          <w:szCs w:val="24"/>
        </w:rPr>
      </w:pPr>
      <w:r w:rsidRPr="00744C2E">
        <w:rPr>
          <w:szCs w:val="24"/>
        </w:rPr>
        <w:t>The SBA report noted that based on the evidence, CE provided similar, if not better, diagnostic yield (</w:t>
      </w:r>
      <w:r w:rsidRPr="00744C2E">
        <w:rPr>
          <w:szCs w:val="24"/>
        </w:rPr>
        <w:sym w:font="Symbol" w:char="F03E"/>
      </w:r>
      <w:r w:rsidRPr="00744C2E">
        <w:rPr>
          <w:szCs w:val="24"/>
        </w:rPr>
        <w:t>60%) in paediatric patients when compared with its use in adults. The conclusion of the SBA was that CE is both safe and effective in patients under 10 years old.</w:t>
      </w:r>
    </w:p>
    <w:p w14:paraId="37359A09" w14:textId="2E00AAFD" w:rsidR="003A1C75" w:rsidRPr="00744C2E" w:rsidRDefault="003A1C75" w:rsidP="00EA2258">
      <w:pPr>
        <w:tabs>
          <w:tab w:val="left" w:pos="720"/>
        </w:tabs>
        <w:rPr>
          <w:szCs w:val="24"/>
        </w:rPr>
      </w:pPr>
      <w:r w:rsidRPr="00744C2E">
        <w:rPr>
          <w:szCs w:val="24"/>
        </w:rPr>
        <w:t xml:space="preserve">The critique summarised that, based on the evidence presented, CE is effective for the investigation of OGIB in patients aged 2-9 years. This conclusion </w:t>
      </w:r>
      <w:r w:rsidR="00EA2258">
        <w:rPr>
          <w:szCs w:val="24"/>
        </w:rPr>
        <w:t>wa</w:t>
      </w:r>
      <w:r w:rsidRPr="00744C2E">
        <w:rPr>
          <w:szCs w:val="24"/>
        </w:rPr>
        <w:t>s based on findings from observational CE studies, two of which reported limited evidence for the efficacy of CE compared with SBS.</w:t>
      </w:r>
    </w:p>
    <w:p w14:paraId="0CB4AD7D" w14:textId="77777777" w:rsidR="00EA2258" w:rsidRDefault="00EA2258" w:rsidP="00EA2258">
      <w:pPr>
        <w:tabs>
          <w:tab w:val="left" w:pos="720"/>
        </w:tabs>
        <w:rPr>
          <w:szCs w:val="24"/>
        </w:rPr>
      </w:pPr>
    </w:p>
    <w:p w14:paraId="1E632EDA" w14:textId="77777777" w:rsidR="003A1C75" w:rsidRPr="00EA2258" w:rsidRDefault="003A1C75" w:rsidP="00EA2258">
      <w:pPr>
        <w:tabs>
          <w:tab w:val="left" w:pos="720"/>
        </w:tabs>
        <w:rPr>
          <w:i/>
          <w:szCs w:val="24"/>
        </w:rPr>
      </w:pPr>
      <w:r w:rsidRPr="00EA2258">
        <w:rPr>
          <w:i/>
          <w:szCs w:val="24"/>
        </w:rPr>
        <w:t>Amendment 2</w:t>
      </w:r>
    </w:p>
    <w:p w14:paraId="5E092408" w14:textId="11E2C9A1" w:rsidR="003A1C75" w:rsidRPr="00744C2E" w:rsidRDefault="003A1C75" w:rsidP="00EA2258">
      <w:pPr>
        <w:tabs>
          <w:tab w:val="left" w:pos="720"/>
        </w:tabs>
        <w:rPr>
          <w:szCs w:val="24"/>
        </w:rPr>
      </w:pPr>
      <w:r w:rsidRPr="00744C2E">
        <w:rPr>
          <w:szCs w:val="24"/>
        </w:rPr>
        <w:t>The SBA report noted that in Australian clinical practice, some patients who were not satisfactorily diagnosed using the upper GI endoscopy and colonoscopy in the past (more than 6 months ago), are currently given these procedures again solely because of the ‘six month’ rule. In summary, the evidence presented in the SBA report does not support the current ‘six month’ rule.</w:t>
      </w:r>
    </w:p>
    <w:p w14:paraId="10ECFC5B" w14:textId="77777777" w:rsidR="00EA2258" w:rsidRDefault="00EA2258" w:rsidP="00EA2258">
      <w:pPr>
        <w:tabs>
          <w:tab w:val="left" w:pos="720"/>
        </w:tabs>
        <w:rPr>
          <w:szCs w:val="24"/>
        </w:rPr>
      </w:pPr>
    </w:p>
    <w:p w14:paraId="1FB821A6" w14:textId="77777777" w:rsidR="0030582B" w:rsidRDefault="003A1C75" w:rsidP="00EA2258">
      <w:pPr>
        <w:tabs>
          <w:tab w:val="left" w:pos="720"/>
        </w:tabs>
        <w:rPr>
          <w:szCs w:val="24"/>
        </w:rPr>
      </w:pPr>
      <w:r w:rsidRPr="00744C2E">
        <w:rPr>
          <w:szCs w:val="24"/>
        </w:rPr>
        <w:t>The critique noted that a review of the studies included in the 2003 assessment report found no studies that included a ‘six month rule’; however, two of the key comparative studies made use of a ‘twelve month rule’. In response to the critique, the applicant maintained that the presented clinical evidence supported the removal of any time restriction. The applicant also indicated that the mean time since previous colonoscopy/endoscopy in the Gilbert cohort was ~19 months (median: 14).</w:t>
      </w:r>
    </w:p>
    <w:p w14:paraId="6E99E30E" w14:textId="77777777" w:rsidR="00EA2258" w:rsidRPr="00BB418D" w:rsidRDefault="00EA2258" w:rsidP="00EA2258">
      <w:pPr>
        <w:tabs>
          <w:tab w:val="left" w:pos="720"/>
        </w:tabs>
        <w:rPr>
          <w:szCs w:val="24"/>
        </w:rPr>
      </w:pPr>
    </w:p>
    <w:p w14:paraId="75EF8F81" w14:textId="77777777" w:rsidR="004C0DCE" w:rsidRPr="002B4CE2" w:rsidRDefault="002B4CE2" w:rsidP="00EA2258">
      <w:pPr>
        <w:pStyle w:val="Heading1"/>
        <w:spacing w:before="0"/>
      </w:pPr>
      <w:r>
        <w:t>11.</w:t>
      </w:r>
      <w:r>
        <w:tab/>
      </w:r>
      <w:r w:rsidR="004C0DCE" w:rsidRPr="002B4CE2">
        <w:t>Economic evaluation</w:t>
      </w:r>
    </w:p>
    <w:p w14:paraId="02613C88" w14:textId="77777777" w:rsidR="003A1C75" w:rsidRPr="00744C2E" w:rsidRDefault="003A1C75" w:rsidP="00EA2258">
      <w:pPr>
        <w:tabs>
          <w:tab w:val="left" w:pos="720"/>
        </w:tabs>
        <w:rPr>
          <w:szCs w:val="24"/>
        </w:rPr>
      </w:pPr>
      <w:r w:rsidRPr="00744C2E">
        <w:rPr>
          <w:szCs w:val="24"/>
        </w:rPr>
        <w:t>The SBA report did not present a formal economic evaluation. The applicant suggested that the cost-effectiveness of the proposed amendments is expected to be favourable or at least indifferent to the cost-effectiveness as observed with the existing MBS wording.</w:t>
      </w:r>
    </w:p>
    <w:p w14:paraId="0BA1B201" w14:textId="77777777" w:rsidR="00EA2258" w:rsidRDefault="00EA2258" w:rsidP="00EA2258">
      <w:pPr>
        <w:tabs>
          <w:tab w:val="left" w:pos="720"/>
        </w:tabs>
        <w:rPr>
          <w:szCs w:val="24"/>
        </w:rPr>
      </w:pPr>
    </w:p>
    <w:p w14:paraId="675BD9D6" w14:textId="77777777" w:rsidR="003A1C75" w:rsidRPr="00744C2E" w:rsidRDefault="003A1C75" w:rsidP="00EA2258">
      <w:pPr>
        <w:tabs>
          <w:tab w:val="left" w:pos="720"/>
        </w:tabs>
        <w:rPr>
          <w:szCs w:val="24"/>
        </w:rPr>
      </w:pPr>
      <w:r w:rsidRPr="00744C2E">
        <w:rPr>
          <w:szCs w:val="24"/>
        </w:rPr>
        <w:t xml:space="preserve">The applicant indicated that the amendments to item 11820 are expected to have negligible or favourable budgetary implications to the MBS. The available data suggests the use of CE in paediatric patients (Amendment 1) will be relatively rare, while it will play a valuable role in the management of a small paediatric patient population with specific clinical needs. </w:t>
      </w:r>
      <w:r w:rsidRPr="00744C2E">
        <w:rPr>
          <w:szCs w:val="24"/>
        </w:rPr>
        <w:lastRenderedPageBreak/>
        <w:t>Amendment 2 will avoid repeat colonoscopies and/or endoscopies with uncertain clinical value (Gilbert et al 2008), thereby generating cost savings to the MBS.</w:t>
      </w:r>
    </w:p>
    <w:p w14:paraId="49C0DBEF" w14:textId="77777777" w:rsidR="00D91C2B" w:rsidRPr="00744C2E" w:rsidRDefault="00D91C2B" w:rsidP="00EA2258">
      <w:pPr>
        <w:tabs>
          <w:tab w:val="left" w:pos="720"/>
        </w:tabs>
        <w:rPr>
          <w:szCs w:val="24"/>
        </w:rPr>
      </w:pPr>
    </w:p>
    <w:p w14:paraId="06C22D9B" w14:textId="77777777" w:rsidR="003A1C75" w:rsidRPr="00EA2258" w:rsidRDefault="003A1C75" w:rsidP="00EA2258">
      <w:pPr>
        <w:tabs>
          <w:tab w:val="left" w:pos="720"/>
        </w:tabs>
        <w:rPr>
          <w:i/>
          <w:szCs w:val="24"/>
        </w:rPr>
      </w:pPr>
      <w:r w:rsidRPr="00EA2258">
        <w:rPr>
          <w:i/>
          <w:szCs w:val="24"/>
        </w:rPr>
        <w:t>Amendment 1</w:t>
      </w:r>
    </w:p>
    <w:p w14:paraId="625C3540" w14:textId="77777777" w:rsidR="003A1C75" w:rsidRPr="00744C2E" w:rsidRDefault="003A1C75" w:rsidP="00EA2258">
      <w:pPr>
        <w:tabs>
          <w:tab w:val="left" w:pos="720"/>
        </w:tabs>
        <w:rPr>
          <w:szCs w:val="24"/>
        </w:rPr>
      </w:pPr>
      <w:r w:rsidRPr="00744C2E">
        <w:rPr>
          <w:szCs w:val="24"/>
        </w:rPr>
        <w:t>Using MBS statistics, the SBA report noted that between 11 and 28 claims were made per year between July 2007 and June 2012 for patients aged 5 – 14 for CE for OGIB. As per the current MBS listing, this usage is expected to be in patients aged from 10 to 14 years old.</w:t>
      </w:r>
    </w:p>
    <w:p w14:paraId="0673BCF5" w14:textId="445DE567" w:rsidR="003A1C75" w:rsidRDefault="003A1C75" w:rsidP="00EA2258">
      <w:pPr>
        <w:tabs>
          <w:tab w:val="left" w:pos="720"/>
        </w:tabs>
        <w:rPr>
          <w:szCs w:val="24"/>
        </w:rPr>
      </w:pPr>
      <w:r w:rsidRPr="00744C2E">
        <w:rPr>
          <w:szCs w:val="24"/>
        </w:rPr>
        <w:t>The relative population size in Australia between the 2 – 9 year old group and the 10 – 14 year old group is roughly 1.6 to 1. Assuming the incidence rate of OGIB is similar in the two age groups, the estimated number of CE procedures in the 2 – 9 year old group is 26 each year</w:t>
      </w:r>
      <w:r w:rsidR="003C4F0D">
        <w:rPr>
          <w:szCs w:val="24"/>
        </w:rPr>
        <w:t xml:space="preserve"> (based upon an annualised average over the last 5 years)</w:t>
      </w:r>
    </w:p>
    <w:p w14:paraId="7C5D2827" w14:textId="77777777" w:rsidR="00EA2258" w:rsidRDefault="00EA2258" w:rsidP="00EA2258">
      <w:pPr>
        <w:tabs>
          <w:tab w:val="left" w:pos="720"/>
        </w:tabs>
        <w:rPr>
          <w:szCs w:val="24"/>
        </w:rPr>
      </w:pPr>
    </w:p>
    <w:p w14:paraId="25881517" w14:textId="77777777" w:rsidR="00EA2258" w:rsidRDefault="00EA2258" w:rsidP="00EA2258">
      <w:pPr>
        <w:rPr>
          <w:szCs w:val="24"/>
        </w:rPr>
      </w:pPr>
      <w:r w:rsidRPr="00744C2E">
        <w:rPr>
          <w:szCs w:val="24"/>
        </w:rPr>
        <w:t>The SBA report included the fee for MBS item 11820 ($2,039.20) as the only cost to estimate the financial impact of expanding the listing for item 11820 to include patients aged 2-9 years.</w:t>
      </w:r>
    </w:p>
    <w:p w14:paraId="732D519A" w14:textId="77777777" w:rsidR="00EA2258" w:rsidRPr="00744C2E" w:rsidRDefault="00EA2258" w:rsidP="00EA2258">
      <w:pPr>
        <w:rPr>
          <w:szCs w:val="24"/>
        </w:rPr>
      </w:pPr>
    </w:p>
    <w:p w14:paraId="19315615" w14:textId="60A1FCB2" w:rsidR="00D91C2B" w:rsidRPr="00313414" w:rsidRDefault="00EA2258" w:rsidP="00313414">
      <w:pPr>
        <w:rPr>
          <w:szCs w:val="24"/>
        </w:rPr>
      </w:pPr>
      <w:r w:rsidRPr="00744C2E">
        <w:rPr>
          <w:szCs w:val="24"/>
        </w:rPr>
        <w:t xml:space="preserve">The critique noted that costs associated with endoscopic placement have not been included in the financial impact calculations. In response to the critique, the applicant provided evidence that 11% of patients would require endoscopic placement, indicating that, based on 26 CE procedures for this age group each year, endoscopic placements may be required for 2 to 3 patients (de’ Angelis 2007). A study provided by </w:t>
      </w:r>
      <w:proofErr w:type="spellStart"/>
      <w:r w:rsidRPr="00744C2E">
        <w:rPr>
          <w:szCs w:val="24"/>
        </w:rPr>
        <w:t>Fritscher</w:t>
      </w:r>
      <w:proofErr w:type="spellEnd"/>
      <w:r w:rsidRPr="00744C2E">
        <w:rPr>
          <w:szCs w:val="24"/>
        </w:rPr>
        <w:t>-Ravens indicated that 76% of patients in this age group required endoscopic placement</w:t>
      </w:r>
      <w:r>
        <w:rPr>
          <w:szCs w:val="24"/>
        </w:rPr>
        <w:t>,</w:t>
      </w:r>
      <w:r w:rsidRPr="00744C2E">
        <w:rPr>
          <w:szCs w:val="24"/>
        </w:rPr>
        <w:t xml:space="preserve"> however</w:t>
      </w:r>
      <w:r>
        <w:rPr>
          <w:szCs w:val="24"/>
        </w:rPr>
        <w:t xml:space="preserve"> the relevance of this to clinical practice in Australia was uncertain</w:t>
      </w:r>
      <w:r w:rsidRPr="00744C2E">
        <w:rPr>
          <w:szCs w:val="24"/>
        </w:rPr>
        <w:t>. In response to the critique, the applicant provided an estimated cost if all patients underwent endoscopic placement, noting that the cost to the MBS would be “less than $30,000” per year.</w:t>
      </w:r>
    </w:p>
    <w:p w14:paraId="14C01B74" w14:textId="77777777" w:rsidR="003A1C75" w:rsidRPr="00986B69" w:rsidRDefault="003A1C75" w:rsidP="00E70677">
      <w:pPr>
        <w:pStyle w:val="Heading2"/>
      </w:pPr>
      <w:r>
        <w:t xml:space="preserve">Table6. </w:t>
      </w:r>
      <w:r w:rsidRPr="00986B69">
        <w:t>Es</w:t>
      </w:r>
      <w:r>
        <w:t>timated extent of CE use for OGIB</w:t>
      </w:r>
      <w:r w:rsidRPr="00986B69">
        <w:t xml:space="preserve"> in paediatric patients aged 2 – 9 year old and associated financial implications</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133"/>
        <w:gridCol w:w="4329"/>
      </w:tblGrid>
      <w:tr w:rsidR="003A1C75" w14:paraId="53C3D424" w14:textId="77777777" w:rsidTr="00741933">
        <w:tc>
          <w:tcPr>
            <w:tcW w:w="2015" w:type="pct"/>
            <w:shd w:val="clear" w:color="auto" w:fill="auto"/>
          </w:tcPr>
          <w:p w14:paraId="28E9F0FB" w14:textId="77777777" w:rsidR="003A1C75" w:rsidRDefault="003A1C75" w:rsidP="003A1C75">
            <w:pPr>
              <w:pStyle w:val="Tableheading"/>
            </w:pPr>
            <w:r>
              <w:t>Variable</w:t>
            </w:r>
          </w:p>
        </w:tc>
        <w:tc>
          <w:tcPr>
            <w:tcW w:w="619" w:type="pct"/>
            <w:tcBorders>
              <w:bottom w:val="single" w:sz="4" w:space="0" w:color="000000"/>
            </w:tcBorders>
            <w:shd w:val="clear" w:color="auto" w:fill="auto"/>
          </w:tcPr>
          <w:p w14:paraId="31CE9DBC" w14:textId="77777777" w:rsidR="003A1C75" w:rsidRDefault="003A1C75" w:rsidP="003A1C75">
            <w:pPr>
              <w:pStyle w:val="Tableheading"/>
            </w:pPr>
            <w:r>
              <w:t>Estimates</w:t>
            </w:r>
          </w:p>
        </w:tc>
        <w:tc>
          <w:tcPr>
            <w:tcW w:w="2366" w:type="pct"/>
            <w:tcBorders>
              <w:bottom w:val="single" w:sz="4" w:space="0" w:color="000000"/>
            </w:tcBorders>
            <w:shd w:val="clear" w:color="auto" w:fill="auto"/>
          </w:tcPr>
          <w:p w14:paraId="5E85F2E3" w14:textId="77777777" w:rsidR="003A1C75" w:rsidRDefault="003A1C75" w:rsidP="003A1C75">
            <w:pPr>
              <w:pStyle w:val="Tableheading"/>
            </w:pPr>
            <w:r>
              <w:t>Source/notes</w:t>
            </w:r>
          </w:p>
        </w:tc>
      </w:tr>
      <w:tr w:rsidR="00741933" w14:paraId="4B6E71D3" w14:textId="77777777" w:rsidTr="00741933">
        <w:tc>
          <w:tcPr>
            <w:tcW w:w="2015" w:type="pct"/>
            <w:shd w:val="clear" w:color="auto" w:fill="auto"/>
          </w:tcPr>
          <w:p w14:paraId="61341BB3" w14:textId="67117DD9" w:rsidR="00741933" w:rsidRPr="00741933" w:rsidRDefault="00741933" w:rsidP="003A1C75">
            <w:pPr>
              <w:pStyle w:val="Tabletext"/>
              <w:rPr>
                <w:b/>
                <w:i/>
              </w:rPr>
            </w:pPr>
            <w:r w:rsidRPr="00741933">
              <w:rPr>
                <w:b/>
                <w:i/>
              </w:rPr>
              <w:t>Expected Usage</w:t>
            </w:r>
          </w:p>
        </w:tc>
        <w:tc>
          <w:tcPr>
            <w:tcW w:w="619" w:type="pct"/>
            <w:shd w:val="clear" w:color="auto" w:fill="auto"/>
          </w:tcPr>
          <w:p w14:paraId="27178456" w14:textId="2515D1A3" w:rsidR="00741933" w:rsidRPr="00E5096E" w:rsidRDefault="00741933" w:rsidP="003A1C75">
            <w:pPr>
              <w:pStyle w:val="Tabletext"/>
            </w:pPr>
            <w:r>
              <w:t>-</w:t>
            </w:r>
          </w:p>
        </w:tc>
        <w:tc>
          <w:tcPr>
            <w:tcW w:w="2366" w:type="pct"/>
            <w:shd w:val="clear" w:color="auto" w:fill="auto"/>
          </w:tcPr>
          <w:p w14:paraId="4C3C96B5" w14:textId="511831F5" w:rsidR="00741933" w:rsidRPr="00E5096E" w:rsidRDefault="00741933" w:rsidP="003A1C75">
            <w:pPr>
              <w:pStyle w:val="Tabletext"/>
            </w:pPr>
            <w:r>
              <w:t>-</w:t>
            </w:r>
          </w:p>
        </w:tc>
      </w:tr>
      <w:tr w:rsidR="003A1C75" w14:paraId="6BA16189" w14:textId="77777777" w:rsidTr="00741933">
        <w:tc>
          <w:tcPr>
            <w:tcW w:w="2015" w:type="pct"/>
            <w:shd w:val="clear" w:color="auto" w:fill="auto"/>
          </w:tcPr>
          <w:p w14:paraId="52D6F86F" w14:textId="77777777" w:rsidR="003A1C75" w:rsidRPr="00E5096E" w:rsidRDefault="003A1C75" w:rsidP="003A1C75">
            <w:pPr>
              <w:pStyle w:val="Tabletext"/>
            </w:pPr>
            <w:r>
              <w:t>Current use in 10 –</w:t>
            </w:r>
            <w:r w:rsidRPr="00E5096E">
              <w:t xml:space="preserve">14 </w:t>
            </w:r>
            <w:proofErr w:type="spellStart"/>
            <w:r w:rsidRPr="00E5096E">
              <w:t>y.o</w:t>
            </w:r>
            <w:proofErr w:type="spellEnd"/>
            <w:r w:rsidRPr="00E5096E">
              <w:t>., per year</w:t>
            </w:r>
          </w:p>
        </w:tc>
        <w:tc>
          <w:tcPr>
            <w:tcW w:w="619" w:type="pct"/>
            <w:shd w:val="clear" w:color="auto" w:fill="auto"/>
          </w:tcPr>
          <w:p w14:paraId="1C059045" w14:textId="77777777" w:rsidR="003A1C75" w:rsidRPr="00E5096E" w:rsidRDefault="003A1C75" w:rsidP="003A1C75">
            <w:pPr>
              <w:pStyle w:val="Tabletext"/>
            </w:pPr>
            <w:r w:rsidRPr="00E5096E">
              <w:t>16</w:t>
            </w:r>
          </w:p>
        </w:tc>
        <w:tc>
          <w:tcPr>
            <w:tcW w:w="2366" w:type="pct"/>
            <w:shd w:val="clear" w:color="auto" w:fill="auto"/>
          </w:tcPr>
          <w:p w14:paraId="1C7C67A8" w14:textId="77777777" w:rsidR="003A1C75" w:rsidRPr="00E5096E" w:rsidRDefault="003A1C75" w:rsidP="003A1C75">
            <w:pPr>
              <w:pStyle w:val="Tabletext"/>
            </w:pPr>
            <w:r w:rsidRPr="00E5096E">
              <w:t>Annual average over the past five years</w:t>
            </w:r>
            <w:r>
              <w:t>, MBS statistics</w:t>
            </w:r>
          </w:p>
        </w:tc>
      </w:tr>
      <w:tr w:rsidR="003A1C75" w14:paraId="625B9877" w14:textId="77777777" w:rsidTr="00741933">
        <w:tc>
          <w:tcPr>
            <w:tcW w:w="2015" w:type="pct"/>
            <w:shd w:val="clear" w:color="auto" w:fill="auto"/>
          </w:tcPr>
          <w:p w14:paraId="2927A5E1" w14:textId="77777777" w:rsidR="003A1C75" w:rsidRPr="00E5096E" w:rsidRDefault="003A1C75" w:rsidP="003A1C75">
            <w:pPr>
              <w:pStyle w:val="Tabletext"/>
            </w:pPr>
            <w:r w:rsidRPr="00E5096E">
              <w:t>Rel</w:t>
            </w:r>
            <w:r>
              <w:t xml:space="preserve">ative population size between 2–9 </w:t>
            </w:r>
            <w:proofErr w:type="spellStart"/>
            <w:r>
              <w:t>y.o</w:t>
            </w:r>
            <w:proofErr w:type="spellEnd"/>
            <w:r>
              <w:t>. and 10–</w:t>
            </w:r>
            <w:r w:rsidRPr="00E5096E">
              <w:t xml:space="preserve">14 </w:t>
            </w:r>
            <w:proofErr w:type="spellStart"/>
            <w:r w:rsidRPr="00E5096E">
              <w:t>y.o</w:t>
            </w:r>
            <w:proofErr w:type="spellEnd"/>
            <w:r w:rsidRPr="00E5096E">
              <w:t>.</w:t>
            </w:r>
          </w:p>
        </w:tc>
        <w:tc>
          <w:tcPr>
            <w:tcW w:w="619" w:type="pct"/>
            <w:shd w:val="clear" w:color="auto" w:fill="auto"/>
          </w:tcPr>
          <w:p w14:paraId="71136BCC" w14:textId="77777777" w:rsidR="003A1C75" w:rsidRPr="00E5096E" w:rsidRDefault="003A1C75" w:rsidP="003A1C75">
            <w:pPr>
              <w:pStyle w:val="Tabletext"/>
            </w:pPr>
            <w:r w:rsidRPr="00E5096E">
              <w:t>1.6</w:t>
            </w:r>
          </w:p>
        </w:tc>
        <w:tc>
          <w:tcPr>
            <w:tcW w:w="2366" w:type="pct"/>
            <w:shd w:val="clear" w:color="auto" w:fill="auto"/>
          </w:tcPr>
          <w:p w14:paraId="111B60C1" w14:textId="77777777" w:rsidR="003A1C75" w:rsidRPr="00E5096E" w:rsidRDefault="003A1C75" w:rsidP="003A1C75">
            <w:pPr>
              <w:pStyle w:val="Tabletext"/>
            </w:pPr>
            <w:r>
              <w:t xml:space="preserve">ABS 2008, 2.3 million for the 2–9 </w:t>
            </w:r>
            <w:proofErr w:type="spellStart"/>
            <w:r>
              <w:t>y.o</w:t>
            </w:r>
            <w:proofErr w:type="spellEnd"/>
            <w:r>
              <w:t xml:space="preserve">. group and 1.4 million for the 10–14 </w:t>
            </w:r>
            <w:proofErr w:type="spellStart"/>
            <w:r>
              <w:t>y.o</w:t>
            </w:r>
            <w:proofErr w:type="spellEnd"/>
            <w:r>
              <w:t xml:space="preserve">. </w:t>
            </w:r>
            <w:proofErr w:type="gramStart"/>
            <w:r>
              <w:t>group</w:t>
            </w:r>
            <w:proofErr w:type="gramEnd"/>
            <w:r>
              <w:t xml:space="preserve">. </w:t>
            </w:r>
          </w:p>
        </w:tc>
      </w:tr>
      <w:tr w:rsidR="003A1C75" w14:paraId="3C57685A" w14:textId="77777777" w:rsidTr="00741933">
        <w:tc>
          <w:tcPr>
            <w:tcW w:w="2015" w:type="pct"/>
            <w:shd w:val="clear" w:color="auto" w:fill="auto"/>
          </w:tcPr>
          <w:p w14:paraId="6EF4EA97" w14:textId="77777777" w:rsidR="003A1C75" w:rsidRPr="00E5096E" w:rsidRDefault="003A1C75" w:rsidP="003A1C75">
            <w:pPr>
              <w:pStyle w:val="Tabletext"/>
            </w:pPr>
            <w:r w:rsidRPr="00E5096E">
              <w:t xml:space="preserve">Estimated usage in </w:t>
            </w:r>
            <w:r>
              <w:t xml:space="preserve">2–9 </w:t>
            </w:r>
            <w:proofErr w:type="spellStart"/>
            <w:r>
              <w:t>y.o</w:t>
            </w:r>
            <w:proofErr w:type="spellEnd"/>
            <w:r>
              <w:t>.</w:t>
            </w:r>
          </w:p>
        </w:tc>
        <w:tc>
          <w:tcPr>
            <w:tcW w:w="619" w:type="pct"/>
            <w:tcBorders>
              <w:bottom w:val="single" w:sz="4" w:space="0" w:color="000000"/>
            </w:tcBorders>
            <w:shd w:val="clear" w:color="auto" w:fill="auto"/>
          </w:tcPr>
          <w:p w14:paraId="44D88922" w14:textId="77777777" w:rsidR="003A1C75" w:rsidRPr="00E5096E" w:rsidRDefault="003A1C75" w:rsidP="003A1C75">
            <w:pPr>
              <w:pStyle w:val="Tabletext"/>
            </w:pPr>
            <w:r w:rsidRPr="00E5096E">
              <w:t>26</w:t>
            </w:r>
          </w:p>
        </w:tc>
        <w:tc>
          <w:tcPr>
            <w:tcW w:w="2366" w:type="pct"/>
            <w:tcBorders>
              <w:bottom w:val="single" w:sz="4" w:space="0" w:color="000000"/>
            </w:tcBorders>
            <w:shd w:val="clear" w:color="auto" w:fill="auto"/>
          </w:tcPr>
          <w:p w14:paraId="4211B4F1" w14:textId="77777777" w:rsidR="003A1C75" w:rsidRDefault="003A1C75" w:rsidP="003A1C75">
            <w:pPr>
              <w:pStyle w:val="Tabletext"/>
            </w:pPr>
            <w:r w:rsidRPr="00E5096E">
              <w:t>Calculated</w:t>
            </w:r>
            <w:r>
              <w:t xml:space="preserve"> (i.e., 16 procedures X 1.6) </w:t>
            </w:r>
          </w:p>
        </w:tc>
      </w:tr>
      <w:tr w:rsidR="00741933" w14:paraId="64CB1207" w14:textId="77777777" w:rsidTr="00741933">
        <w:tc>
          <w:tcPr>
            <w:tcW w:w="2015" w:type="pct"/>
            <w:tcBorders>
              <w:top w:val="single" w:sz="4" w:space="0" w:color="auto"/>
              <w:left w:val="single" w:sz="4" w:space="0" w:color="auto"/>
              <w:bottom w:val="single" w:sz="4" w:space="0" w:color="auto"/>
              <w:right w:val="single" w:sz="4" w:space="0" w:color="auto"/>
            </w:tcBorders>
            <w:shd w:val="clear" w:color="auto" w:fill="auto"/>
          </w:tcPr>
          <w:p w14:paraId="1EE7B234" w14:textId="62CD617D" w:rsidR="00741933" w:rsidRPr="004E139E" w:rsidRDefault="00741933" w:rsidP="003A1C75">
            <w:pPr>
              <w:pStyle w:val="Tabletext"/>
            </w:pPr>
            <w:r w:rsidRPr="00CB6571">
              <w:rPr>
                <w:b/>
                <w:i/>
              </w:rPr>
              <w:t>Estimated costs</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39AC3268" w14:textId="7C21EE1F" w:rsidR="00741933" w:rsidRPr="004E139E" w:rsidRDefault="00741933" w:rsidP="003A1C75">
            <w:pPr>
              <w:pStyle w:val="Tabletext"/>
            </w:pPr>
            <w:r>
              <w:t>-</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1E169E7E" w14:textId="3CB902D0" w:rsidR="00741933" w:rsidRPr="004E139E" w:rsidRDefault="00741933" w:rsidP="003A1C75">
            <w:pPr>
              <w:pStyle w:val="Tabletext"/>
            </w:pPr>
            <w:r>
              <w:t>-</w:t>
            </w:r>
          </w:p>
        </w:tc>
      </w:tr>
      <w:tr w:rsidR="003A1C75" w14:paraId="030BE60C" w14:textId="77777777" w:rsidTr="00741933">
        <w:tc>
          <w:tcPr>
            <w:tcW w:w="2015" w:type="pct"/>
            <w:tcBorders>
              <w:top w:val="single" w:sz="4" w:space="0" w:color="auto"/>
              <w:left w:val="single" w:sz="4" w:space="0" w:color="auto"/>
              <w:bottom w:val="single" w:sz="4" w:space="0" w:color="auto"/>
              <w:right w:val="single" w:sz="4" w:space="0" w:color="auto"/>
            </w:tcBorders>
            <w:shd w:val="clear" w:color="auto" w:fill="auto"/>
          </w:tcPr>
          <w:p w14:paraId="52941E91" w14:textId="77777777" w:rsidR="003A1C75" w:rsidRPr="004E139E" w:rsidRDefault="003A1C75" w:rsidP="003A1C75">
            <w:pPr>
              <w:pStyle w:val="Tabletext"/>
            </w:pPr>
            <w:r w:rsidRPr="004E139E">
              <w:t>Cost per procedure</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1765863E" w14:textId="77777777" w:rsidR="003A1C75" w:rsidRPr="004E139E" w:rsidRDefault="003A1C75" w:rsidP="003A1C75">
            <w:pPr>
              <w:pStyle w:val="Tabletext"/>
            </w:pPr>
            <w:r w:rsidRPr="004E139E">
              <w:t>$2,039.20</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CDBB06C" w14:textId="77777777" w:rsidR="003A1C75" w:rsidRPr="004E139E" w:rsidRDefault="003A1C75" w:rsidP="003A1C75">
            <w:pPr>
              <w:pStyle w:val="Tabletext"/>
            </w:pPr>
            <w:r w:rsidRPr="004E139E">
              <w:t>Current MBS benefit</w:t>
            </w:r>
          </w:p>
        </w:tc>
      </w:tr>
      <w:tr w:rsidR="003A1C75" w14:paraId="520E14C8" w14:textId="77777777" w:rsidTr="00741933">
        <w:tc>
          <w:tcPr>
            <w:tcW w:w="2015" w:type="pct"/>
            <w:tcBorders>
              <w:top w:val="single" w:sz="4" w:space="0" w:color="auto"/>
              <w:left w:val="single" w:sz="4" w:space="0" w:color="auto"/>
              <w:bottom w:val="single" w:sz="4" w:space="0" w:color="auto"/>
              <w:right w:val="single" w:sz="4" w:space="0" w:color="auto"/>
            </w:tcBorders>
            <w:shd w:val="clear" w:color="auto" w:fill="auto"/>
          </w:tcPr>
          <w:p w14:paraId="7A85006B" w14:textId="77777777" w:rsidR="003A1C75" w:rsidRPr="004E139E" w:rsidRDefault="003A1C75" w:rsidP="003A1C75">
            <w:pPr>
              <w:pStyle w:val="Tabletext"/>
            </w:pPr>
            <w:r w:rsidRPr="004E139E">
              <w:t>Estimated total cost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B6E1390" w14:textId="77777777" w:rsidR="003A1C75" w:rsidRPr="004E139E" w:rsidRDefault="003A1C75" w:rsidP="003A1C75">
            <w:pPr>
              <w:pStyle w:val="Tabletext"/>
            </w:pPr>
            <w:r>
              <w:t>$53</w:t>
            </w:r>
            <w:r w:rsidRPr="004E139E">
              <w:t>,</w:t>
            </w:r>
            <w:r>
              <w:t>019</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8F17479" w14:textId="77777777" w:rsidR="003A1C75" w:rsidRDefault="003A1C75" w:rsidP="003A1C75">
            <w:pPr>
              <w:pStyle w:val="Tabletext"/>
            </w:pPr>
            <w:r w:rsidRPr="004E139E">
              <w:t>Calculated</w:t>
            </w:r>
            <w:r>
              <w:t xml:space="preserve"> (i.e., </w:t>
            </w:r>
            <w:r w:rsidRPr="004E139E">
              <w:t>$2,039.20</w:t>
            </w:r>
            <w:r>
              <w:t xml:space="preserve"> X 26)</w:t>
            </w:r>
          </w:p>
        </w:tc>
      </w:tr>
    </w:tbl>
    <w:p w14:paraId="014019CC" w14:textId="77777777" w:rsidR="003A1C75" w:rsidRPr="00402515" w:rsidRDefault="003A1C75" w:rsidP="003A1C75">
      <w:pPr>
        <w:tabs>
          <w:tab w:val="left" w:pos="720"/>
        </w:tabs>
        <w:rPr>
          <w:rFonts w:ascii="Arial Narrow" w:hAnsi="Arial Narrow" w:cs="Arial"/>
          <w:b/>
          <w:bCs/>
          <w:iCs/>
          <w:sz w:val="20"/>
          <w:lang w:eastAsia="en-US"/>
        </w:rPr>
      </w:pPr>
      <w:r w:rsidRPr="00402515">
        <w:rPr>
          <w:rFonts w:ascii="Arial Narrow" w:hAnsi="Arial Narrow" w:cs="Arial"/>
          <w:b/>
          <w:bCs/>
          <w:iCs/>
          <w:sz w:val="20"/>
          <w:lang w:eastAsia="en-US"/>
        </w:rPr>
        <w:t>So</w:t>
      </w:r>
      <w:r>
        <w:rPr>
          <w:rFonts w:ascii="Arial Narrow" w:hAnsi="Arial Narrow" w:cs="Arial"/>
          <w:b/>
          <w:bCs/>
          <w:iCs/>
          <w:sz w:val="20"/>
          <w:lang w:eastAsia="en-US"/>
        </w:rPr>
        <w:t>urce: Table 6 of the SBA, p. 28</w:t>
      </w:r>
    </w:p>
    <w:p w14:paraId="2E3B4077" w14:textId="77777777" w:rsidR="00EA2258" w:rsidRDefault="00EA2258" w:rsidP="00EA2258">
      <w:pPr>
        <w:tabs>
          <w:tab w:val="left" w:pos="720"/>
        </w:tabs>
        <w:rPr>
          <w:szCs w:val="24"/>
        </w:rPr>
      </w:pPr>
    </w:p>
    <w:p w14:paraId="132A521F" w14:textId="08947216" w:rsidR="003A1C75" w:rsidRPr="00744C2E" w:rsidRDefault="003A1C75" w:rsidP="00EA2258">
      <w:pPr>
        <w:tabs>
          <w:tab w:val="left" w:pos="720"/>
        </w:tabs>
        <w:rPr>
          <w:szCs w:val="24"/>
        </w:rPr>
      </w:pPr>
      <w:r w:rsidRPr="00744C2E">
        <w:rPr>
          <w:szCs w:val="24"/>
        </w:rPr>
        <w:t xml:space="preserve">The number of patients aged 10-14 years was transformed into an estimate of the number of eligible patients aged 2-9 years using population projections from the Australian Bureau of Statistics. </w:t>
      </w:r>
    </w:p>
    <w:p w14:paraId="3224EBB3" w14:textId="77777777" w:rsidR="00EA2258" w:rsidRDefault="00EA2258" w:rsidP="00EA2258">
      <w:pPr>
        <w:tabs>
          <w:tab w:val="left" w:pos="720"/>
        </w:tabs>
        <w:rPr>
          <w:szCs w:val="24"/>
        </w:rPr>
      </w:pPr>
    </w:p>
    <w:p w14:paraId="599D2CC7" w14:textId="77777777" w:rsidR="003A1C75" w:rsidRPr="00EA2258" w:rsidRDefault="003A1C75" w:rsidP="00EA2258">
      <w:pPr>
        <w:tabs>
          <w:tab w:val="left" w:pos="720"/>
        </w:tabs>
        <w:rPr>
          <w:i/>
          <w:szCs w:val="24"/>
        </w:rPr>
      </w:pPr>
      <w:r w:rsidRPr="00EA2258">
        <w:rPr>
          <w:i/>
          <w:szCs w:val="24"/>
        </w:rPr>
        <w:t>Amendment 2</w:t>
      </w:r>
    </w:p>
    <w:p w14:paraId="7DCBB880" w14:textId="77777777" w:rsidR="003A1C75" w:rsidRPr="00744C2E" w:rsidRDefault="003A1C75" w:rsidP="00EA2258">
      <w:pPr>
        <w:tabs>
          <w:tab w:val="left" w:pos="720"/>
        </w:tabs>
        <w:rPr>
          <w:szCs w:val="24"/>
        </w:rPr>
      </w:pPr>
      <w:r w:rsidRPr="00744C2E">
        <w:rPr>
          <w:szCs w:val="24"/>
        </w:rPr>
        <w:t>The SBA report presented a cost comparison of diagnostic work-up using CE with and without the ‘six month’ rule. This analysis is based on MBS statistics from the calendar year of 2012 (9,014 CE services) and estimates the cost savings that would have accrued to the health system had the ‘six-month’ rule not been in place using the data from the Gilbert study.</w:t>
      </w:r>
    </w:p>
    <w:p w14:paraId="4D72FD08" w14:textId="77777777" w:rsidR="00EA2258" w:rsidRDefault="00EA2258" w:rsidP="00EA2258">
      <w:pPr>
        <w:tabs>
          <w:tab w:val="left" w:pos="720"/>
        </w:tabs>
        <w:rPr>
          <w:szCs w:val="24"/>
        </w:rPr>
      </w:pPr>
    </w:p>
    <w:p w14:paraId="0B7205BB" w14:textId="41E9789B" w:rsidR="003A1C75" w:rsidRPr="00744C2E" w:rsidRDefault="003A1C75" w:rsidP="00EA2258">
      <w:pPr>
        <w:tabs>
          <w:tab w:val="left" w:pos="720"/>
        </w:tabs>
        <w:rPr>
          <w:szCs w:val="24"/>
        </w:rPr>
      </w:pPr>
      <w:r w:rsidRPr="00744C2E">
        <w:rPr>
          <w:szCs w:val="24"/>
        </w:rPr>
        <w:t>The SBA report assume</w:t>
      </w:r>
      <w:r w:rsidR="00EA2258">
        <w:rPr>
          <w:szCs w:val="24"/>
        </w:rPr>
        <w:t>d</w:t>
      </w:r>
      <w:r w:rsidRPr="00744C2E">
        <w:rPr>
          <w:szCs w:val="24"/>
        </w:rPr>
        <w:t xml:space="preserve"> 25% of patients require repeat colonoscopy/endoscopy procedures due to the ‘six month’ rule and these repeat procedures give a diagnostic yield of 4%.</w:t>
      </w:r>
    </w:p>
    <w:p w14:paraId="30529AE5" w14:textId="77777777" w:rsidR="003A1C75" w:rsidRPr="00744C2E" w:rsidRDefault="003A1C75" w:rsidP="00EA2258">
      <w:pPr>
        <w:tabs>
          <w:tab w:val="left" w:pos="720"/>
        </w:tabs>
        <w:rPr>
          <w:szCs w:val="24"/>
        </w:rPr>
      </w:pPr>
      <w:r w:rsidRPr="00744C2E">
        <w:rPr>
          <w:szCs w:val="24"/>
        </w:rPr>
        <w:lastRenderedPageBreak/>
        <w:t>The SBA report uses data from the MBS and the public hospital cost weights to calculate procedure costs, and data from Gilbert et al (2008) to estimate the use and diagnostic yield of repeat colonoscopy and endoscopy procedures.</w:t>
      </w:r>
    </w:p>
    <w:p w14:paraId="3C6A11F5" w14:textId="77777777" w:rsidR="00524A83" w:rsidRDefault="00524A83" w:rsidP="00EA2258">
      <w:pPr>
        <w:tabs>
          <w:tab w:val="left" w:pos="720"/>
        </w:tabs>
        <w:rPr>
          <w:szCs w:val="24"/>
        </w:rPr>
      </w:pPr>
    </w:p>
    <w:p w14:paraId="6C0D135D" w14:textId="77777777" w:rsidR="003A1C75" w:rsidRPr="00744C2E" w:rsidRDefault="003A1C75" w:rsidP="00EA2258">
      <w:pPr>
        <w:tabs>
          <w:tab w:val="left" w:pos="720"/>
        </w:tabs>
        <w:rPr>
          <w:szCs w:val="24"/>
        </w:rPr>
      </w:pPr>
      <w:r w:rsidRPr="00744C2E">
        <w:rPr>
          <w:szCs w:val="24"/>
        </w:rPr>
        <w:t>The critique noted that the SBA report did not provide any additional analyses to explore the effect of the proposed changes to MBS item 11820 such as:</w:t>
      </w:r>
    </w:p>
    <w:p w14:paraId="4CACBE43" w14:textId="77777777" w:rsidR="003A1C75" w:rsidRPr="00744C2E" w:rsidRDefault="003A1C75" w:rsidP="00EA2258">
      <w:pPr>
        <w:numPr>
          <w:ilvl w:val="0"/>
          <w:numId w:val="13"/>
        </w:numPr>
        <w:tabs>
          <w:tab w:val="left" w:pos="720"/>
        </w:tabs>
        <w:rPr>
          <w:szCs w:val="24"/>
        </w:rPr>
      </w:pPr>
      <w:r w:rsidRPr="00744C2E">
        <w:rPr>
          <w:szCs w:val="24"/>
        </w:rPr>
        <w:t>Increase in the eligible population due to removal of the ‘six month’ rule;</w:t>
      </w:r>
    </w:p>
    <w:p w14:paraId="1A0BE456" w14:textId="77777777" w:rsidR="003A1C75" w:rsidRPr="00744C2E" w:rsidRDefault="003A1C75" w:rsidP="00EA2258">
      <w:pPr>
        <w:numPr>
          <w:ilvl w:val="0"/>
          <w:numId w:val="13"/>
        </w:numPr>
        <w:tabs>
          <w:tab w:val="left" w:pos="720"/>
        </w:tabs>
        <w:rPr>
          <w:szCs w:val="24"/>
        </w:rPr>
      </w:pPr>
      <w:r w:rsidRPr="00744C2E">
        <w:rPr>
          <w:szCs w:val="24"/>
        </w:rPr>
        <w:t>Lower proportion of patients undergoing repeat colonoscopy or endoscopy; or</w:t>
      </w:r>
    </w:p>
    <w:p w14:paraId="55438278" w14:textId="77777777" w:rsidR="003A1C75" w:rsidRPr="00744C2E" w:rsidRDefault="003A1C75" w:rsidP="00EA2258">
      <w:pPr>
        <w:pStyle w:val="ListParagraph"/>
        <w:numPr>
          <w:ilvl w:val="0"/>
          <w:numId w:val="13"/>
        </w:numPr>
        <w:tabs>
          <w:tab w:val="left" w:pos="720"/>
        </w:tabs>
        <w:rPr>
          <w:szCs w:val="24"/>
        </w:rPr>
      </w:pPr>
      <w:r w:rsidRPr="00744C2E">
        <w:rPr>
          <w:szCs w:val="24"/>
        </w:rPr>
        <w:t>Higher diagnostic yield from repeat colonoscopy or endoscopy.</w:t>
      </w:r>
    </w:p>
    <w:p w14:paraId="550503A7" w14:textId="77777777" w:rsidR="00524A83" w:rsidRDefault="00524A83" w:rsidP="00EA2258">
      <w:pPr>
        <w:tabs>
          <w:tab w:val="left" w:pos="720"/>
        </w:tabs>
        <w:rPr>
          <w:szCs w:val="24"/>
        </w:rPr>
      </w:pPr>
    </w:p>
    <w:p w14:paraId="19F11D86" w14:textId="77777777" w:rsidR="003A1C75" w:rsidRPr="00744C2E" w:rsidRDefault="003A1C75" w:rsidP="00EA2258">
      <w:pPr>
        <w:tabs>
          <w:tab w:val="left" w:pos="720"/>
        </w:tabs>
        <w:rPr>
          <w:szCs w:val="24"/>
        </w:rPr>
      </w:pPr>
      <w:r w:rsidRPr="00744C2E">
        <w:rPr>
          <w:szCs w:val="24"/>
        </w:rPr>
        <w:t>In response to the critique, the applicant indicated that the removal of the ‘six month’ rule is not expected to lead to a notable expansion of the CE market.</w:t>
      </w:r>
    </w:p>
    <w:p w14:paraId="4067E52D" w14:textId="77777777" w:rsidR="003A1C75" w:rsidRPr="00744C2E" w:rsidRDefault="003A1C75" w:rsidP="00524A83">
      <w:pPr>
        <w:tabs>
          <w:tab w:val="left" w:pos="720"/>
        </w:tabs>
        <w:rPr>
          <w:szCs w:val="24"/>
        </w:rPr>
      </w:pPr>
      <w:r w:rsidRPr="00744C2E">
        <w:rPr>
          <w:szCs w:val="24"/>
        </w:rPr>
        <w:t>The SBA report summarised that:</w:t>
      </w:r>
    </w:p>
    <w:p w14:paraId="6CCFD71F" w14:textId="77777777" w:rsidR="003A1C75" w:rsidRPr="00744C2E" w:rsidRDefault="003A1C75" w:rsidP="00524A83">
      <w:pPr>
        <w:pStyle w:val="ListParagraph"/>
        <w:numPr>
          <w:ilvl w:val="0"/>
          <w:numId w:val="14"/>
        </w:numPr>
        <w:tabs>
          <w:tab w:val="left" w:pos="720"/>
        </w:tabs>
        <w:ind w:left="714" w:right="-57" w:hanging="357"/>
        <w:contextualSpacing w:val="0"/>
        <w:rPr>
          <w:szCs w:val="24"/>
        </w:rPr>
      </w:pPr>
      <w:r w:rsidRPr="00744C2E">
        <w:rPr>
          <w:szCs w:val="24"/>
        </w:rPr>
        <w:t>Between May 2004 and September 2005, 25% of 198 patients referred to the Royal Prince Alfred Hospital, Sydney, received repeat colonoscopy/endoscopy procedures solely due to the ‘six month’ rule (Gilbert et al 2008);</w:t>
      </w:r>
    </w:p>
    <w:p w14:paraId="7C7CB00D" w14:textId="77777777" w:rsidR="003A1C75" w:rsidRPr="00744C2E" w:rsidRDefault="003A1C75" w:rsidP="00524A83">
      <w:pPr>
        <w:pStyle w:val="ListParagraph"/>
        <w:numPr>
          <w:ilvl w:val="0"/>
          <w:numId w:val="14"/>
        </w:numPr>
        <w:tabs>
          <w:tab w:val="left" w:pos="720"/>
        </w:tabs>
        <w:ind w:left="714" w:hanging="357"/>
        <w:contextualSpacing w:val="0"/>
        <w:rPr>
          <w:szCs w:val="24"/>
        </w:rPr>
      </w:pPr>
      <w:r w:rsidRPr="00744C2E">
        <w:rPr>
          <w:szCs w:val="24"/>
        </w:rPr>
        <w:t>A diagnostic yield of 4% is reported for patients receiving repeat colonoscopies and endoscopies (Gilbert et al 2008);</w:t>
      </w:r>
    </w:p>
    <w:p w14:paraId="567AE339" w14:textId="77777777" w:rsidR="003A1C75" w:rsidRPr="00744C2E" w:rsidRDefault="003A1C75" w:rsidP="00524A83">
      <w:pPr>
        <w:pStyle w:val="ListParagraph"/>
        <w:numPr>
          <w:ilvl w:val="0"/>
          <w:numId w:val="14"/>
        </w:numPr>
        <w:tabs>
          <w:tab w:val="left" w:pos="720"/>
        </w:tabs>
        <w:ind w:left="714" w:right="-227" w:hanging="357"/>
        <w:contextualSpacing w:val="0"/>
        <w:rPr>
          <w:szCs w:val="24"/>
        </w:rPr>
      </w:pPr>
      <w:r w:rsidRPr="00744C2E">
        <w:rPr>
          <w:szCs w:val="24"/>
        </w:rPr>
        <w:t>The estimated cost saving (25% repeat rate) is $3 million per year or greater than $1 million per year with a 10% repeat rate; and</w:t>
      </w:r>
    </w:p>
    <w:p w14:paraId="436BEF54" w14:textId="77777777" w:rsidR="003A1C75" w:rsidRPr="00744C2E" w:rsidRDefault="003A1C75" w:rsidP="00524A83">
      <w:pPr>
        <w:pStyle w:val="ListParagraph"/>
        <w:numPr>
          <w:ilvl w:val="0"/>
          <w:numId w:val="14"/>
        </w:numPr>
        <w:tabs>
          <w:tab w:val="left" w:pos="720"/>
        </w:tabs>
        <w:ind w:left="714" w:hanging="357"/>
        <w:contextualSpacing w:val="0"/>
        <w:rPr>
          <w:szCs w:val="24"/>
        </w:rPr>
      </w:pPr>
      <w:r w:rsidRPr="00744C2E">
        <w:rPr>
          <w:szCs w:val="24"/>
        </w:rPr>
        <w:t>Avoiding these repeat procedures also offers safety and quality of life benefits.</w:t>
      </w:r>
    </w:p>
    <w:p w14:paraId="3792EE2E" w14:textId="77777777" w:rsidR="006E0D54" w:rsidRDefault="006E0D54" w:rsidP="00524A83">
      <w:pPr>
        <w:tabs>
          <w:tab w:val="left" w:pos="720"/>
        </w:tabs>
        <w:ind w:left="720"/>
        <w:rPr>
          <w:szCs w:val="24"/>
        </w:rPr>
      </w:pPr>
    </w:p>
    <w:p w14:paraId="1AC8378D" w14:textId="041C9BCD" w:rsidR="006E0D54" w:rsidRPr="00524A83" w:rsidRDefault="006E0D54" w:rsidP="00524A83">
      <w:pPr>
        <w:tabs>
          <w:tab w:val="left" w:pos="720"/>
        </w:tabs>
        <w:rPr>
          <w:i/>
          <w:szCs w:val="24"/>
        </w:rPr>
      </w:pPr>
      <w:r w:rsidRPr="00524A83">
        <w:rPr>
          <w:i/>
          <w:szCs w:val="24"/>
        </w:rPr>
        <w:t>Other comments</w:t>
      </w:r>
    </w:p>
    <w:p w14:paraId="1EC93964" w14:textId="76C6BE31" w:rsidR="003A1C75" w:rsidRPr="00744C2E" w:rsidRDefault="003A1C75" w:rsidP="00524A83">
      <w:pPr>
        <w:rPr>
          <w:szCs w:val="24"/>
        </w:rPr>
      </w:pPr>
      <w:r w:rsidRPr="00744C2E">
        <w:rPr>
          <w:szCs w:val="24"/>
        </w:rPr>
        <w:t>The SBA report request</w:t>
      </w:r>
      <w:r w:rsidR="00524A83">
        <w:rPr>
          <w:szCs w:val="24"/>
        </w:rPr>
        <w:t>ed</w:t>
      </w:r>
      <w:r w:rsidRPr="00744C2E">
        <w:rPr>
          <w:szCs w:val="24"/>
        </w:rPr>
        <w:t xml:space="preserve"> two amendments to the current descriptor for MBS item 11820. The fee for item 11820 will remain unchanged ($2,039.20 as at May 2013).</w:t>
      </w:r>
    </w:p>
    <w:p w14:paraId="1DBBDEB8" w14:textId="77777777" w:rsidR="00524A83" w:rsidRDefault="00524A83" w:rsidP="00524A83">
      <w:pPr>
        <w:tabs>
          <w:tab w:val="left" w:pos="720"/>
        </w:tabs>
        <w:ind w:left="720"/>
        <w:rPr>
          <w:szCs w:val="24"/>
        </w:rPr>
      </w:pPr>
    </w:p>
    <w:p w14:paraId="28AB7CEF" w14:textId="7FF5FB13" w:rsidR="003A1C75" w:rsidRDefault="003A1C75" w:rsidP="00524A83">
      <w:pPr>
        <w:rPr>
          <w:szCs w:val="24"/>
        </w:rPr>
      </w:pPr>
      <w:r w:rsidRPr="00744C2E">
        <w:rPr>
          <w:szCs w:val="24"/>
        </w:rPr>
        <w:t>Expected co-payments/out of pocket costs have not been addressed in the SBA report.</w:t>
      </w:r>
    </w:p>
    <w:p w14:paraId="1AAE0329" w14:textId="77777777" w:rsidR="00524A83" w:rsidRPr="00744C2E" w:rsidRDefault="00524A83" w:rsidP="00524A83">
      <w:pPr>
        <w:rPr>
          <w:szCs w:val="24"/>
        </w:rPr>
      </w:pPr>
    </w:p>
    <w:p w14:paraId="55E49ADD" w14:textId="30A1EE46" w:rsidR="0030582B" w:rsidRDefault="003A1C75" w:rsidP="00524A83">
      <w:pPr>
        <w:rPr>
          <w:szCs w:val="24"/>
        </w:rPr>
      </w:pPr>
      <w:r w:rsidRPr="00744C2E">
        <w:rPr>
          <w:szCs w:val="24"/>
        </w:rPr>
        <w:t xml:space="preserve">As CE procedures are usually performed out of hospital, this proposal </w:t>
      </w:r>
      <w:r w:rsidR="00524A83" w:rsidRPr="00744C2E">
        <w:rPr>
          <w:szCs w:val="24"/>
        </w:rPr>
        <w:t>w</w:t>
      </w:r>
      <w:r w:rsidR="00524A83">
        <w:rPr>
          <w:szCs w:val="24"/>
        </w:rPr>
        <w:t>ould</w:t>
      </w:r>
      <w:r w:rsidR="00524A83" w:rsidRPr="00744C2E">
        <w:rPr>
          <w:szCs w:val="24"/>
        </w:rPr>
        <w:t xml:space="preserve"> </w:t>
      </w:r>
      <w:r w:rsidRPr="00744C2E">
        <w:rPr>
          <w:szCs w:val="24"/>
        </w:rPr>
        <w:t xml:space="preserve">have implications for the Medicare Safety Net and Extended Medicare Safety Net. These implications </w:t>
      </w:r>
      <w:r w:rsidR="00524A83">
        <w:rPr>
          <w:szCs w:val="24"/>
        </w:rPr>
        <w:t>wer</w:t>
      </w:r>
      <w:r w:rsidR="00524A83" w:rsidRPr="00744C2E">
        <w:rPr>
          <w:szCs w:val="24"/>
        </w:rPr>
        <w:t xml:space="preserve">e </w:t>
      </w:r>
      <w:r w:rsidRPr="00744C2E">
        <w:rPr>
          <w:szCs w:val="24"/>
        </w:rPr>
        <w:t>not been addressed by the SBA report.</w:t>
      </w:r>
    </w:p>
    <w:p w14:paraId="5647DB7B" w14:textId="77777777" w:rsidR="00524A83" w:rsidRPr="00744C2E" w:rsidRDefault="00524A83" w:rsidP="00524A83">
      <w:pPr>
        <w:tabs>
          <w:tab w:val="left" w:pos="720"/>
        </w:tabs>
        <w:ind w:left="720"/>
        <w:rPr>
          <w:szCs w:val="24"/>
        </w:rPr>
      </w:pPr>
    </w:p>
    <w:p w14:paraId="3E15F969" w14:textId="77777777" w:rsidR="00937076" w:rsidRPr="002B4CE2" w:rsidRDefault="002B4CE2" w:rsidP="00524A83">
      <w:pPr>
        <w:pStyle w:val="Heading1"/>
        <w:spacing w:before="0"/>
      </w:pPr>
      <w:r>
        <w:t>12.</w:t>
      </w:r>
      <w:r>
        <w:tab/>
      </w:r>
      <w:r w:rsidR="0095175A" w:rsidRPr="002B4CE2">
        <w:t>Financial/budgetary impacts</w:t>
      </w:r>
    </w:p>
    <w:p w14:paraId="6C0E04E9" w14:textId="77777777" w:rsidR="00D91C2B" w:rsidRPr="00313414" w:rsidRDefault="00D91C2B" w:rsidP="00524A83">
      <w:pPr>
        <w:tabs>
          <w:tab w:val="left" w:pos="720"/>
        </w:tabs>
        <w:rPr>
          <w:i/>
          <w:szCs w:val="24"/>
        </w:rPr>
      </w:pPr>
      <w:r w:rsidRPr="00313414">
        <w:rPr>
          <w:i/>
          <w:szCs w:val="24"/>
        </w:rPr>
        <w:t>Amendment 1</w:t>
      </w:r>
    </w:p>
    <w:p w14:paraId="70DF61B1" w14:textId="77777777" w:rsidR="00D91C2B" w:rsidRDefault="00D91C2B" w:rsidP="00524A83">
      <w:pPr>
        <w:tabs>
          <w:tab w:val="left" w:pos="720"/>
        </w:tabs>
        <w:rPr>
          <w:szCs w:val="24"/>
        </w:rPr>
      </w:pPr>
      <w:r w:rsidRPr="00744C2E">
        <w:rPr>
          <w:szCs w:val="24"/>
        </w:rPr>
        <w:t xml:space="preserve">As stated in the </w:t>
      </w:r>
      <w:r w:rsidRPr="00744C2E">
        <w:rPr>
          <w:i/>
          <w:szCs w:val="24"/>
        </w:rPr>
        <w:t>Economic Evaluation</w:t>
      </w:r>
      <w:r w:rsidRPr="00744C2E">
        <w:rPr>
          <w:szCs w:val="24"/>
        </w:rPr>
        <w:t xml:space="preserve"> section, it is estimated that amendment 1 will result in an additional 26 services per year.</w:t>
      </w:r>
    </w:p>
    <w:p w14:paraId="7203EFA2" w14:textId="77777777" w:rsidR="00524A83" w:rsidRPr="00744C2E" w:rsidRDefault="00524A83" w:rsidP="00524A83">
      <w:pPr>
        <w:tabs>
          <w:tab w:val="left" w:pos="720"/>
        </w:tabs>
        <w:rPr>
          <w:szCs w:val="24"/>
        </w:rPr>
      </w:pPr>
    </w:p>
    <w:p w14:paraId="44B3B7AA" w14:textId="77777777" w:rsidR="00D91C2B" w:rsidRPr="00313414" w:rsidRDefault="00D91C2B" w:rsidP="00524A83">
      <w:pPr>
        <w:tabs>
          <w:tab w:val="left" w:pos="720"/>
        </w:tabs>
        <w:rPr>
          <w:i/>
          <w:szCs w:val="24"/>
        </w:rPr>
      </w:pPr>
      <w:r w:rsidRPr="00313414">
        <w:rPr>
          <w:i/>
          <w:szCs w:val="24"/>
        </w:rPr>
        <w:t>Amendment 2</w:t>
      </w:r>
    </w:p>
    <w:p w14:paraId="3D99D20B" w14:textId="4F3ECF71" w:rsidR="00D91C2B" w:rsidRPr="00744C2E" w:rsidRDefault="00D91C2B" w:rsidP="00524A83">
      <w:pPr>
        <w:tabs>
          <w:tab w:val="left" w:pos="720"/>
        </w:tabs>
        <w:rPr>
          <w:szCs w:val="24"/>
        </w:rPr>
      </w:pPr>
      <w:r w:rsidRPr="00744C2E">
        <w:rPr>
          <w:szCs w:val="24"/>
        </w:rPr>
        <w:t>The SBA report indicate</w:t>
      </w:r>
      <w:r w:rsidR="00524A83">
        <w:rPr>
          <w:szCs w:val="24"/>
        </w:rPr>
        <w:t>d</w:t>
      </w:r>
      <w:r w:rsidRPr="00744C2E">
        <w:rPr>
          <w:szCs w:val="24"/>
        </w:rPr>
        <w:t xml:space="preserve"> that the removal of the ‘six month’ rule will reduce repeat colonoscopies by 2,254 per year. The number of patients presenting for CE will remain the same as when the ‘six month’ rule was in place (9,014 services).</w:t>
      </w:r>
    </w:p>
    <w:p w14:paraId="511BCF4E" w14:textId="77777777" w:rsidR="00D91C2B" w:rsidRPr="00606ADA" w:rsidRDefault="00D91C2B" w:rsidP="00E70677">
      <w:pPr>
        <w:pStyle w:val="Heading2"/>
      </w:pPr>
      <w:proofErr w:type="gramStart"/>
      <w:r>
        <w:t>Table 7.</w:t>
      </w:r>
      <w:proofErr w:type="gramEnd"/>
      <w:r>
        <w:t xml:space="preserve"> </w:t>
      </w:r>
      <w:r w:rsidRPr="00606ADA">
        <w:t>Cost comparison of diagnostic</w:t>
      </w:r>
      <w:r>
        <w:t xml:space="preserve"> work-up using CE</w:t>
      </w:r>
      <w:r w:rsidRPr="00606ADA">
        <w:t xml:space="preserve"> with and without the ‘six month’ ru</w:t>
      </w:r>
      <w:r>
        <w: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3"/>
        <w:gridCol w:w="1406"/>
        <w:gridCol w:w="1407"/>
        <w:gridCol w:w="1407"/>
        <w:gridCol w:w="2348"/>
      </w:tblGrid>
      <w:tr w:rsidR="00D91C2B" w:rsidRPr="002572D1" w14:paraId="28A0696C" w14:textId="77777777" w:rsidTr="00176943">
        <w:trPr>
          <w:tblHeader/>
        </w:trPr>
        <w:tc>
          <w:tcPr>
            <w:tcW w:w="2603" w:type="dxa"/>
            <w:shd w:val="clear" w:color="auto" w:fill="auto"/>
          </w:tcPr>
          <w:p w14:paraId="32ECBEF9" w14:textId="77777777" w:rsidR="00D91C2B" w:rsidRPr="002572D1" w:rsidRDefault="00D91C2B" w:rsidP="00BF3E55">
            <w:pPr>
              <w:pStyle w:val="Tabletext"/>
              <w:rPr>
                <w:b/>
              </w:rPr>
            </w:pPr>
            <w:r w:rsidRPr="002572D1">
              <w:rPr>
                <w:b/>
              </w:rPr>
              <w:t>Comparison</w:t>
            </w:r>
          </w:p>
        </w:tc>
        <w:tc>
          <w:tcPr>
            <w:tcW w:w="1406" w:type="dxa"/>
            <w:shd w:val="clear" w:color="auto" w:fill="auto"/>
          </w:tcPr>
          <w:p w14:paraId="3F6735EB" w14:textId="77777777" w:rsidR="00D91C2B" w:rsidRPr="002572D1" w:rsidRDefault="00D91C2B" w:rsidP="00BF3E55">
            <w:pPr>
              <w:pStyle w:val="Tabletext"/>
              <w:rPr>
                <w:b/>
              </w:rPr>
            </w:pPr>
            <w:r w:rsidRPr="002572D1">
              <w:rPr>
                <w:b/>
              </w:rPr>
              <w:t>With ‘six month’ rule</w:t>
            </w:r>
          </w:p>
        </w:tc>
        <w:tc>
          <w:tcPr>
            <w:tcW w:w="1407" w:type="dxa"/>
            <w:shd w:val="clear" w:color="auto" w:fill="auto"/>
          </w:tcPr>
          <w:p w14:paraId="758C3B94" w14:textId="77777777" w:rsidR="00D91C2B" w:rsidRPr="002572D1" w:rsidRDefault="00D91C2B" w:rsidP="00BF3E55">
            <w:pPr>
              <w:pStyle w:val="Tabletext"/>
              <w:rPr>
                <w:b/>
              </w:rPr>
            </w:pPr>
            <w:r w:rsidRPr="002572D1">
              <w:rPr>
                <w:b/>
              </w:rPr>
              <w:t>No ‘six month’ rule</w:t>
            </w:r>
          </w:p>
        </w:tc>
        <w:tc>
          <w:tcPr>
            <w:tcW w:w="1407" w:type="dxa"/>
          </w:tcPr>
          <w:p w14:paraId="1FD69A59" w14:textId="77777777" w:rsidR="00D91C2B" w:rsidRPr="002572D1" w:rsidRDefault="00D91C2B" w:rsidP="00BF3E55">
            <w:pPr>
              <w:pStyle w:val="Tabletext"/>
              <w:rPr>
                <w:b/>
              </w:rPr>
            </w:pPr>
            <w:r w:rsidRPr="002572D1">
              <w:rPr>
                <w:b/>
              </w:rPr>
              <w:t>Difference</w:t>
            </w:r>
          </w:p>
        </w:tc>
        <w:tc>
          <w:tcPr>
            <w:tcW w:w="2348" w:type="dxa"/>
            <w:shd w:val="clear" w:color="auto" w:fill="auto"/>
          </w:tcPr>
          <w:p w14:paraId="06EC0C4C" w14:textId="77777777" w:rsidR="00D91C2B" w:rsidRPr="002572D1" w:rsidRDefault="00D91C2B" w:rsidP="00BF3E55">
            <w:pPr>
              <w:pStyle w:val="Tabletext"/>
              <w:rPr>
                <w:b/>
              </w:rPr>
            </w:pPr>
            <w:r w:rsidRPr="002572D1">
              <w:rPr>
                <w:b/>
              </w:rPr>
              <w:t>Source/notes</w:t>
            </w:r>
          </w:p>
        </w:tc>
      </w:tr>
      <w:tr w:rsidR="00D91C2B" w14:paraId="4DF95178" w14:textId="77777777" w:rsidTr="00176943">
        <w:tc>
          <w:tcPr>
            <w:tcW w:w="2603" w:type="dxa"/>
            <w:shd w:val="clear" w:color="auto" w:fill="auto"/>
          </w:tcPr>
          <w:p w14:paraId="2CF91559" w14:textId="77777777" w:rsidR="00D91C2B" w:rsidRDefault="00D91C2B" w:rsidP="001A6A0F">
            <w:pPr>
              <w:pStyle w:val="Tabletext"/>
              <w:ind w:left="142"/>
            </w:pPr>
            <w:r>
              <w:t>Number of patients presenting for CE</w:t>
            </w:r>
          </w:p>
        </w:tc>
        <w:tc>
          <w:tcPr>
            <w:tcW w:w="1406" w:type="dxa"/>
            <w:shd w:val="clear" w:color="auto" w:fill="auto"/>
          </w:tcPr>
          <w:p w14:paraId="6AB4CB40" w14:textId="77777777" w:rsidR="00D91C2B" w:rsidRDefault="00D91C2B" w:rsidP="00BF3E55">
            <w:pPr>
              <w:pStyle w:val="Tabletext"/>
            </w:pPr>
            <w:r>
              <w:t>9,014</w:t>
            </w:r>
          </w:p>
        </w:tc>
        <w:tc>
          <w:tcPr>
            <w:tcW w:w="1407" w:type="dxa"/>
            <w:shd w:val="clear" w:color="auto" w:fill="auto"/>
          </w:tcPr>
          <w:p w14:paraId="34E640E0" w14:textId="77777777" w:rsidR="00D91C2B" w:rsidRDefault="00D91C2B" w:rsidP="00BF3E55">
            <w:pPr>
              <w:pStyle w:val="Tabletext"/>
            </w:pPr>
            <w:r>
              <w:t>9,014</w:t>
            </w:r>
          </w:p>
        </w:tc>
        <w:tc>
          <w:tcPr>
            <w:tcW w:w="1407" w:type="dxa"/>
          </w:tcPr>
          <w:p w14:paraId="00539710" w14:textId="77777777" w:rsidR="00D91C2B" w:rsidRDefault="00D91C2B" w:rsidP="00BF3E55">
            <w:pPr>
              <w:pStyle w:val="Tabletext"/>
            </w:pPr>
            <w:r>
              <w:t>-</w:t>
            </w:r>
          </w:p>
        </w:tc>
        <w:tc>
          <w:tcPr>
            <w:tcW w:w="2348" w:type="dxa"/>
            <w:shd w:val="clear" w:color="auto" w:fill="auto"/>
          </w:tcPr>
          <w:p w14:paraId="21D6F171" w14:textId="77777777" w:rsidR="00D91C2B" w:rsidRDefault="00D91C2B" w:rsidP="00BF3E55">
            <w:pPr>
              <w:pStyle w:val="Tabletext"/>
            </w:pPr>
            <w:r>
              <w:t>MBS item 11820</w:t>
            </w:r>
            <w:r>
              <w:br/>
            </w:r>
            <w:r w:rsidRPr="006708E9">
              <w:t>Requested Medicare items processed from January 2012 to December 2012</w:t>
            </w:r>
            <w:r w:rsidRPr="002D6C76">
              <w:t>)</w:t>
            </w:r>
          </w:p>
        </w:tc>
      </w:tr>
      <w:tr w:rsidR="001A6A0F" w:rsidRPr="002D6C76" w14:paraId="09168EA3" w14:textId="77777777" w:rsidTr="00176943">
        <w:tc>
          <w:tcPr>
            <w:tcW w:w="2603" w:type="dxa"/>
            <w:shd w:val="clear" w:color="auto" w:fill="auto"/>
          </w:tcPr>
          <w:p w14:paraId="095D2FB8" w14:textId="697D4A36" w:rsidR="001A6A0F" w:rsidRPr="001A6A0F" w:rsidRDefault="001A6A0F" w:rsidP="001A6A0F">
            <w:pPr>
              <w:pStyle w:val="Tabletext"/>
              <w:ind w:left="142"/>
              <w:rPr>
                <w:b/>
              </w:rPr>
            </w:pPr>
            <w:r w:rsidRPr="001A6A0F">
              <w:rPr>
                <w:b/>
              </w:rPr>
              <w:t>Cost of repeat colonoscopy/endoscopy</w:t>
            </w:r>
          </w:p>
        </w:tc>
        <w:tc>
          <w:tcPr>
            <w:tcW w:w="1406" w:type="dxa"/>
            <w:shd w:val="clear" w:color="auto" w:fill="auto"/>
          </w:tcPr>
          <w:p w14:paraId="56FC65E8" w14:textId="77777777" w:rsidR="001A6A0F" w:rsidRDefault="001A6A0F" w:rsidP="00BF3E55">
            <w:pPr>
              <w:pStyle w:val="Tabletext"/>
            </w:pPr>
          </w:p>
        </w:tc>
        <w:tc>
          <w:tcPr>
            <w:tcW w:w="1407" w:type="dxa"/>
            <w:shd w:val="clear" w:color="auto" w:fill="auto"/>
          </w:tcPr>
          <w:p w14:paraId="2BDE5ABC" w14:textId="77777777" w:rsidR="001A6A0F" w:rsidRDefault="001A6A0F" w:rsidP="00BF3E55">
            <w:pPr>
              <w:pStyle w:val="Tabletext"/>
            </w:pPr>
          </w:p>
        </w:tc>
        <w:tc>
          <w:tcPr>
            <w:tcW w:w="1407" w:type="dxa"/>
          </w:tcPr>
          <w:p w14:paraId="0C4BB5E4" w14:textId="77777777" w:rsidR="001A6A0F" w:rsidRDefault="001A6A0F" w:rsidP="00BF3E55">
            <w:pPr>
              <w:pStyle w:val="Tabletext"/>
            </w:pPr>
          </w:p>
        </w:tc>
        <w:tc>
          <w:tcPr>
            <w:tcW w:w="2348" w:type="dxa"/>
            <w:shd w:val="clear" w:color="auto" w:fill="auto"/>
          </w:tcPr>
          <w:p w14:paraId="4F8DAC44" w14:textId="77777777" w:rsidR="001A6A0F" w:rsidRDefault="001A6A0F" w:rsidP="00BF3E55">
            <w:pPr>
              <w:pStyle w:val="Tabletext"/>
            </w:pPr>
          </w:p>
        </w:tc>
      </w:tr>
      <w:tr w:rsidR="00D91C2B" w:rsidRPr="002D6C76" w14:paraId="23D65E73" w14:textId="77777777" w:rsidTr="00176943">
        <w:tc>
          <w:tcPr>
            <w:tcW w:w="2603" w:type="dxa"/>
            <w:shd w:val="clear" w:color="auto" w:fill="auto"/>
          </w:tcPr>
          <w:p w14:paraId="144AF840" w14:textId="77777777" w:rsidR="00D91C2B" w:rsidRDefault="00D91C2B" w:rsidP="001A6A0F">
            <w:pPr>
              <w:pStyle w:val="Tabletext"/>
              <w:ind w:left="142"/>
            </w:pPr>
            <w:r>
              <w:t xml:space="preserve">Number of patients receiving repeat colonoscopy/endoscopy due </w:t>
            </w:r>
            <w:r>
              <w:lastRenderedPageBreak/>
              <w:t xml:space="preserve">to ‘six month’ rule </w:t>
            </w:r>
          </w:p>
        </w:tc>
        <w:tc>
          <w:tcPr>
            <w:tcW w:w="1406" w:type="dxa"/>
            <w:shd w:val="clear" w:color="auto" w:fill="auto"/>
          </w:tcPr>
          <w:p w14:paraId="1B226DBE" w14:textId="77777777" w:rsidR="00D91C2B" w:rsidRDefault="00D91C2B" w:rsidP="00BF3E55">
            <w:pPr>
              <w:pStyle w:val="Tabletext"/>
            </w:pPr>
            <w:r>
              <w:lastRenderedPageBreak/>
              <w:t>2,254</w:t>
            </w:r>
          </w:p>
          <w:p w14:paraId="12D8D83C" w14:textId="77777777" w:rsidR="00D91C2B" w:rsidRPr="002D6C76" w:rsidRDefault="00D91C2B" w:rsidP="00BF3E55">
            <w:pPr>
              <w:pStyle w:val="Tabletext"/>
            </w:pPr>
            <w:r>
              <w:t>(9014x25%)</w:t>
            </w:r>
          </w:p>
        </w:tc>
        <w:tc>
          <w:tcPr>
            <w:tcW w:w="1407" w:type="dxa"/>
            <w:shd w:val="clear" w:color="auto" w:fill="auto"/>
          </w:tcPr>
          <w:p w14:paraId="23EC30D8" w14:textId="77777777" w:rsidR="00D91C2B" w:rsidRPr="002D6C76" w:rsidRDefault="00D91C2B" w:rsidP="00BF3E55">
            <w:pPr>
              <w:pStyle w:val="Tabletext"/>
            </w:pPr>
            <w:r>
              <w:t>-</w:t>
            </w:r>
          </w:p>
        </w:tc>
        <w:tc>
          <w:tcPr>
            <w:tcW w:w="1407" w:type="dxa"/>
          </w:tcPr>
          <w:p w14:paraId="371A870A" w14:textId="77777777" w:rsidR="00D91C2B" w:rsidRDefault="00D91C2B" w:rsidP="00BF3E55">
            <w:pPr>
              <w:pStyle w:val="Tabletext"/>
            </w:pPr>
            <w:r>
              <w:t>-2,254</w:t>
            </w:r>
          </w:p>
        </w:tc>
        <w:tc>
          <w:tcPr>
            <w:tcW w:w="2348" w:type="dxa"/>
            <w:shd w:val="clear" w:color="auto" w:fill="auto"/>
          </w:tcPr>
          <w:p w14:paraId="0FBB69CC" w14:textId="77777777" w:rsidR="00D91C2B" w:rsidRPr="002D6C76" w:rsidRDefault="00D91C2B" w:rsidP="00BF3E55">
            <w:pPr>
              <w:pStyle w:val="Tabletext"/>
            </w:pPr>
            <w:r>
              <w:t>Rate of repeat procedure due to</w:t>
            </w:r>
            <w:r w:rsidRPr="002D6C76">
              <w:t xml:space="preserve"> the </w:t>
            </w:r>
            <w:r>
              <w:t>‘</w:t>
            </w:r>
            <w:r w:rsidRPr="002D6C76">
              <w:t>six month</w:t>
            </w:r>
            <w:r>
              <w:t>’</w:t>
            </w:r>
            <w:r w:rsidRPr="002D6C76">
              <w:t xml:space="preserve"> rule (</w:t>
            </w:r>
            <w:r>
              <w:t xml:space="preserve">i.e., 25%; </w:t>
            </w:r>
            <w:r w:rsidRPr="002D6C76">
              <w:t>Gilbert 2008)</w:t>
            </w:r>
          </w:p>
        </w:tc>
      </w:tr>
      <w:tr w:rsidR="00D91C2B" w:rsidRPr="002D6C76" w14:paraId="58BC71F7" w14:textId="77777777" w:rsidTr="00176943">
        <w:tc>
          <w:tcPr>
            <w:tcW w:w="2603" w:type="dxa"/>
            <w:shd w:val="clear" w:color="auto" w:fill="auto"/>
          </w:tcPr>
          <w:p w14:paraId="71F2231D" w14:textId="77777777" w:rsidR="00D91C2B" w:rsidRDefault="00D91C2B" w:rsidP="001A6A0F">
            <w:pPr>
              <w:pStyle w:val="Tabletext"/>
              <w:ind w:left="142"/>
            </w:pPr>
            <w:r>
              <w:lastRenderedPageBreak/>
              <w:t>Cost per procedure</w:t>
            </w:r>
          </w:p>
        </w:tc>
        <w:tc>
          <w:tcPr>
            <w:tcW w:w="1406" w:type="dxa"/>
            <w:shd w:val="clear" w:color="auto" w:fill="auto"/>
          </w:tcPr>
          <w:p w14:paraId="7139F85B" w14:textId="77777777" w:rsidR="00D91C2B" w:rsidRPr="002D6C76" w:rsidRDefault="00D91C2B" w:rsidP="00BF3E55">
            <w:pPr>
              <w:pStyle w:val="Tabletext"/>
            </w:pPr>
            <w:r w:rsidRPr="002D6C76">
              <w:t>$1,469</w:t>
            </w:r>
          </w:p>
        </w:tc>
        <w:tc>
          <w:tcPr>
            <w:tcW w:w="1407" w:type="dxa"/>
            <w:shd w:val="clear" w:color="auto" w:fill="auto"/>
          </w:tcPr>
          <w:p w14:paraId="57F9BFC1" w14:textId="77777777" w:rsidR="00D91C2B" w:rsidRPr="002D6C76" w:rsidRDefault="00D91C2B" w:rsidP="00BF3E55">
            <w:pPr>
              <w:pStyle w:val="Tabletext"/>
            </w:pPr>
            <w:r>
              <w:t>-</w:t>
            </w:r>
          </w:p>
        </w:tc>
        <w:tc>
          <w:tcPr>
            <w:tcW w:w="1407" w:type="dxa"/>
          </w:tcPr>
          <w:p w14:paraId="233E4354" w14:textId="77777777" w:rsidR="00D91C2B" w:rsidRPr="002D6C76" w:rsidRDefault="00D91C2B" w:rsidP="00BF3E55">
            <w:pPr>
              <w:pStyle w:val="Tabletext"/>
            </w:pPr>
            <w:r>
              <w:t>-</w:t>
            </w:r>
          </w:p>
        </w:tc>
        <w:tc>
          <w:tcPr>
            <w:tcW w:w="2348" w:type="dxa"/>
            <w:shd w:val="clear" w:color="auto" w:fill="auto"/>
          </w:tcPr>
          <w:p w14:paraId="26A9BCCB" w14:textId="77777777" w:rsidR="00D91C2B" w:rsidRPr="002D6C76" w:rsidRDefault="00D91C2B" w:rsidP="00BF3E55">
            <w:pPr>
              <w:pStyle w:val="Tabletext"/>
            </w:pPr>
            <w:proofErr w:type="spellStart"/>
            <w:r w:rsidRPr="002D6C76">
              <w:t>C</w:t>
            </w:r>
            <w:r>
              <w:t>asemix</w:t>
            </w:r>
            <w:proofErr w:type="spellEnd"/>
            <w:r w:rsidRPr="002D6C76">
              <w:t>, Public hospital cost weights round 14 (2009-2010)</w:t>
            </w:r>
            <w:r>
              <w:t xml:space="preserve">, G48C – colonoscopy; similar costs for endoscopy. </w:t>
            </w:r>
          </w:p>
        </w:tc>
      </w:tr>
      <w:tr w:rsidR="00D91C2B" w:rsidRPr="006708E9" w14:paraId="5C5D6575" w14:textId="77777777" w:rsidTr="00176943">
        <w:tc>
          <w:tcPr>
            <w:tcW w:w="2603" w:type="dxa"/>
            <w:shd w:val="clear" w:color="auto" w:fill="auto"/>
          </w:tcPr>
          <w:p w14:paraId="506CEFBD" w14:textId="77777777" w:rsidR="00D91C2B" w:rsidRPr="006708E9" w:rsidRDefault="00D91C2B" w:rsidP="001A6A0F">
            <w:pPr>
              <w:pStyle w:val="Tabletext"/>
              <w:ind w:left="142"/>
            </w:pPr>
            <w:r w:rsidRPr="006708E9">
              <w:t xml:space="preserve">Total costs </w:t>
            </w:r>
          </w:p>
        </w:tc>
        <w:tc>
          <w:tcPr>
            <w:tcW w:w="1406" w:type="dxa"/>
            <w:shd w:val="clear" w:color="auto" w:fill="auto"/>
          </w:tcPr>
          <w:p w14:paraId="7E360BC9" w14:textId="77777777" w:rsidR="00D91C2B" w:rsidRPr="006708E9" w:rsidRDefault="00D91C2B" w:rsidP="00BF3E55">
            <w:pPr>
              <w:pStyle w:val="Tabletext"/>
              <w:rPr>
                <w:szCs w:val="22"/>
              </w:rPr>
            </w:pPr>
            <w:r w:rsidRPr="006708E9">
              <w:rPr>
                <w:szCs w:val="22"/>
              </w:rPr>
              <w:t>$3,310,392</w:t>
            </w:r>
          </w:p>
          <w:p w14:paraId="7A6F0DF6" w14:textId="77777777" w:rsidR="00D91C2B" w:rsidRPr="006708E9" w:rsidRDefault="00D91C2B" w:rsidP="00BF3E55">
            <w:pPr>
              <w:pStyle w:val="Tabletext"/>
            </w:pPr>
            <w:r w:rsidRPr="006708E9">
              <w:rPr>
                <w:szCs w:val="22"/>
              </w:rPr>
              <w:t>(2254x$1469)</w:t>
            </w:r>
          </w:p>
        </w:tc>
        <w:tc>
          <w:tcPr>
            <w:tcW w:w="1407" w:type="dxa"/>
            <w:shd w:val="clear" w:color="auto" w:fill="auto"/>
          </w:tcPr>
          <w:p w14:paraId="11777E98" w14:textId="77777777" w:rsidR="00D91C2B" w:rsidRPr="006708E9" w:rsidRDefault="00D91C2B" w:rsidP="00BF3E55">
            <w:pPr>
              <w:pStyle w:val="Tabletext"/>
            </w:pPr>
            <w:r w:rsidRPr="006708E9">
              <w:t>-</w:t>
            </w:r>
          </w:p>
        </w:tc>
        <w:tc>
          <w:tcPr>
            <w:tcW w:w="1407" w:type="dxa"/>
          </w:tcPr>
          <w:p w14:paraId="30405A2C" w14:textId="77777777" w:rsidR="00D91C2B" w:rsidRPr="006708E9" w:rsidRDefault="00D91C2B" w:rsidP="00BF3E55">
            <w:pPr>
              <w:pStyle w:val="Tabletext"/>
            </w:pPr>
            <w:r w:rsidRPr="006708E9">
              <w:rPr>
                <w:szCs w:val="22"/>
              </w:rPr>
              <w:t>-$3,310,392</w:t>
            </w:r>
          </w:p>
        </w:tc>
        <w:tc>
          <w:tcPr>
            <w:tcW w:w="2348" w:type="dxa"/>
            <w:shd w:val="clear" w:color="auto" w:fill="auto"/>
          </w:tcPr>
          <w:p w14:paraId="2FD0125E" w14:textId="77777777" w:rsidR="00D91C2B" w:rsidRPr="006708E9" w:rsidRDefault="00D91C2B" w:rsidP="00BF3E55">
            <w:pPr>
              <w:pStyle w:val="Tabletext"/>
            </w:pPr>
            <w:r w:rsidRPr="006708E9">
              <w:t>Calculated</w:t>
            </w:r>
          </w:p>
        </w:tc>
      </w:tr>
      <w:tr w:rsidR="001A6A0F" w:rsidRPr="00842D4F" w14:paraId="26CE2A41" w14:textId="77777777" w:rsidTr="00176943">
        <w:tc>
          <w:tcPr>
            <w:tcW w:w="2603" w:type="dxa"/>
            <w:shd w:val="clear" w:color="auto" w:fill="auto"/>
          </w:tcPr>
          <w:p w14:paraId="5EAE0715" w14:textId="7CC4ECF3" w:rsidR="001A6A0F" w:rsidRPr="001A6A0F" w:rsidRDefault="001A6A0F" w:rsidP="001A6A0F">
            <w:pPr>
              <w:pStyle w:val="Tabletext"/>
              <w:ind w:left="142"/>
              <w:rPr>
                <w:b/>
              </w:rPr>
            </w:pPr>
            <w:r w:rsidRPr="001A6A0F">
              <w:rPr>
                <w:b/>
              </w:rPr>
              <w:t>Cost of CE</w:t>
            </w:r>
          </w:p>
        </w:tc>
        <w:tc>
          <w:tcPr>
            <w:tcW w:w="1406" w:type="dxa"/>
            <w:shd w:val="clear" w:color="auto" w:fill="auto"/>
          </w:tcPr>
          <w:p w14:paraId="5552A704" w14:textId="29C31ADE" w:rsidR="001A6A0F" w:rsidRDefault="001A6A0F" w:rsidP="00BF3E55">
            <w:pPr>
              <w:pStyle w:val="Tabletext"/>
            </w:pPr>
            <w:r>
              <w:t>-</w:t>
            </w:r>
          </w:p>
        </w:tc>
        <w:tc>
          <w:tcPr>
            <w:tcW w:w="1407" w:type="dxa"/>
            <w:shd w:val="clear" w:color="auto" w:fill="auto"/>
          </w:tcPr>
          <w:p w14:paraId="5EDE1DFE" w14:textId="3CEA8267" w:rsidR="001A6A0F" w:rsidRPr="00842D4F" w:rsidRDefault="001A6A0F" w:rsidP="00BF3E55">
            <w:pPr>
              <w:pStyle w:val="Tabletext"/>
            </w:pPr>
            <w:r>
              <w:t>-</w:t>
            </w:r>
          </w:p>
        </w:tc>
        <w:tc>
          <w:tcPr>
            <w:tcW w:w="1407" w:type="dxa"/>
          </w:tcPr>
          <w:p w14:paraId="0A317570" w14:textId="0B997566" w:rsidR="001A6A0F" w:rsidRDefault="001A6A0F" w:rsidP="00BF3E55">
            <w:pPr>
              <w:pStyle w:val="Tabletext"/>
            </w:pPr>
            <w:r>
              <w:t>-</w:t>
            </w:r>
          </w:p>
        </w:tc>
        <w:tc>
          <w:tcPr>
            <w:tcW w:w="2348" w:type="dxa"/>
            <w:shd w:val="clear" w:color="auto" w:fill="auto"/>
          </w:tcPr>
          <w:p w14:paraId="26730D33" w14:textId="19398494" w:rsidR="001A6A0F" w:rsidRDefault="001A6A0F" w:rsidP="00BF3E55">
            <w:pPr>
              <w:pStyle w:val="Tabletext"/>
            </w:pPr>
            <w:r>
              <w:t>-</w:t>
            </w:r>
          </w:p>
        </w:tc>
      </w:tr>
      <w:tr w:rsidR="00D91C2B" w:rsidRPr="00842D4F" w14:paraId="36003F62" w14:textId="77777777" w:rsidTr="00176943">
        <w:tc>
          <w:tcPr>
            <w:tcW w:w="2603" w:type="dxa"/>
            <w:shd w:val="clear" w:color="auto" w:fill="auto"/>
          </w:tcPr>
          <w:p w14:paraId="0B276DFD" w14:textId="77777777" w:rsidR="00D91C2B" w:rsidRPr="00842D4F" w:rsidRDefault="00D91C2B" w:rsidP="001A6A0F">
            <w:pPr>
              <w:pStyle w:val="Tabletext"/>
              <w:ind w:left="142"/>
            </w:pPr>
            <w:r>
              <w:t xml:space="preserve">Patients diagnosed </w:t>
            </w:r>
            <w:r w:rsidRPr="00842D4F">
              <w:t>after repeat colonoscopy/endoscopy</w:t>
            </w:r>
          </w:p>
        </w:tc>
        <w:tc>
          <w:tcPr>
            <w:tcW w:w="1406" w:type="dxa"/>
            <w:shd w:val="clear" w:color="auto" w:fill="auto"/>
          </w:tcPr>
          <w:p w14:paraId="02B32E26" w14:textId="77777777" w:rsidR="00D91C2B" w:rsidRDefault="00D91C2B" w:rsidP="00BF3E55">
            <w:pPr>
              <w:pStyle w:val="Tabletext"/>
            </w:pPr>
            <w:r>
              <w:t>90</w:t>
            </w:r>
          </w:p>
          <w:p w14:paraId="2EFE13DD" w14:textId="77777777" w:rsidR="00D91C2B" w:rsidRPr="00842D4F" w:rsidRDefault="00D91C2B" w:rsidP="00BF3E55">
            <w:pPr>
              <w:pStyle w:val="Tabletext"/>
            </w:pPr>
            <w:r>
              <w:t>(</w:t>
            </w:r>
            <w:r w:rsidRPr="00842D4F">
              <w:t>4%</w:t>
            </w:r>
            <w:r>
              <w:t xml:space="preserve"> of 2254)</w:t>
            </w:r>
          </w:p>
        </w:tc>
        <w:tc>
          <w:tcPr>
            <w:tcW w:w="1407" w:type="dxa"/>
            <w:shd w:val="clear" w:color="auto" w:fill="auto"/>
          </w:tcPr>
          <w:p w14:paraId="644CD7A2" w14:textId="77777777" w:rsidR="00D91C2B" w:rsidRPr="00842D4F" w:rsidRDefault="00D91C2B" w:rsidP="00BF3E55">
            <w:pPr>
              <w:pStyle w:val="Tabletext"/>
            </w:pPr>
            <w:r w:rsidRPr="00842D4F">
              <w:t>0</w:t>
            </w:r>
          </w:p>
        </w:tc>
        <w:tc>
          <w:tcPr>
            <w:tcW w:w="1407" w:type="dxa"/>
          </w:tcPr>
          <w:p w14:paraId="72F9443B" w14:textId="77777777" w:rsidR="00D91C2B" w:rsidRDefault="00D91C2B" w:rsidP="00BF3E55">
            <w:pPr>
              <w:pStyle w:val="Tabletext"/>
            </w:pPr>
            <w:r>
              <w:t>-90</w:t>
            </w:r>
          </w:p>
        </w:tc>
        <w:tc>
          <w:tcPr>
            <w:tcW w:w="2348" w:type="dxa"/>
            <w:shd w:val="clear" w:color="auto" w:fill="auto"/>
          </w:tcPr>
          <w:p w14:paraId="5FBB783A" w14:textId="77777777" w:rsidR="00D91C2B" w:rsidRPr="00842D4F" w:rsidRDefault="00D91C2B" w:rsidP="00BF3E55">
            <w:pPr>
              <w:pStyle w:val="Tabletext"/>
            </w:pPr>
            <w:r>
              <w:t xml:space="preserve">Diagnostic yield of repeat procedures, </w:t>
            </w:r>
            <w:r w:rsidRPr="00842D4F">
              <w:t>Gilbert et al 2008</w:t>
            </w:r>
          </w:p>
        </w:tc>
      </w:tr>
      <w:tr w:rsidR="00D91C2B" w:rsidRPr="00842D4F" w14:paraId="100DFBB2" w14:textId="77777777" w:rsidTr="00176943">
        <w:tc>
          <w:tcPr>
            <w:tcW w:w="2603" w:type="dxa"/>
            <w:shd w:val="clear" w:color="auto" w:fill="auto"/>
          </w:tcPr>
          <w:p w14:paraId="428C652C" w14:textId="77777777" w:rsidR="00D91C2B" w:rsidRPr="00842D4F" w:rsidRDefault="00D91C2B" w:rsidP="001A6A0F">
            <w:pPr>
              <w:pStyle w:val="Tabletext"/>
              <w:ind w:left="142"/>
            </w:pPr>
            <w:r w:rsidRPr="00842D4F">
              <w:t>Number of pati</w:t>
            </w:r>
            <w:r>
              <w:t>ents receiving CE</w:t>
            </w:r>
          </w:p>
        </w:tc>
        <w:tc>
          <w:tcPr>
            <w:tcW w:w="1406" w:type="dxa"/>
            <w:shd w:val="clear" w:color="auto" w:fill="auto"/>
          </w:tcPr>
          <w:p w14:paraId="1F122945" w14:textId="77777777" w:rsidR="00D91C2B" w:rsidRPr="00842D4F" w:rsidRDefault="00D91C2B" w:rsidP="00BF3E55">
            <w:pPr>
              <w:pStyle w:val="Tabletext"/>
            </w:pPr>
            <w:r>
              <w:t>8,924</w:t>
            </w:r>
          </w:p>
        </w:tc>
        <w:tc>
          <w:tcPr>
            <w:tcW w:w="1407" w:type="dxa"/>
            <w:shd w:val="clear" w:color="auto" w:fill="auto"/>
          </w:tcPr>
          <w:p w14:paraId="16C5FF34" w14:textId="77777777" w:rsidR="00D91C2B" w:rsidRPr="00842D4F" w:rsidRDefault="00D91C2B" w:rsidP="00BF3E55">
            <w:pPr>
              <w:pStyle w:val="Tabletext"/>
            </w:pPr>
            <w:r>
              <w:t>9014</w:t>
            </w:r>
          </w:p>
        </w:tc>
        <w:tc>
          <w:tcPr>
            <w:tcW w:w="1407" w:type="dxa"/>
          </w:tcPr>
          <w:p w14:paraId="44DC3E24" w14:textId="77777777" w:rsidR="00D91C2B" w:rsidRPr="00842D4F" w:rsidRDefault="00D91C2B" w:rsidP="00BF3E55">
            <w:pPr>
              <w:pStyle w:val="Tabletext"/>
            </w:pPr>
            <w:r>
              <w:t>90</w:t>
            </w:r>
          </w:p>
        </w:tc>
        <w:tc>
          <w:tcPr>
            <w:tcW w:w="2348" w:type="dxa"/>
            <w:shd w:val="clear" w:color="auto" w:fill="auto"/>
          </w:tcPr>
          <w:p w14:paraId="5048B329" w14:textId="77777777" w:rsidR="00D91C2B" w:rsidRPr="00842D4F" w:rsidRDefault="00D91C2B" w:rsidP="00BF3E55">
            <w:pPr>
              <w:pStyle w:val="Tabletext"/>
            </w:pPr>
            <w:r w:rsidRPr="00842D4F">
              <w:t>Assumption (cohort analysis)</w:t>
            </w:r>
          </w:p>
        </w:tc>
      </w:tr>
      <w:tr w:rsidR="00D91C2B" w:rsidRPr="00842D4F" w14:paraId="7FACA2C6" w14:textId="77777777" w:rsidTr="00176943">
        <w:tc>
          <w:tcPr>
            <w:tcW w:w="2603" w:type="dxa"/>
            <w:shd w:val="clear" w:color="auto" w:fill="auto"/>
          </w:tcPr>
          <w:p w14:paraId="037DA04D" w14:textId="77777777" w:rsidR="00D91C2B" w:rsidRPr="00842D4F" w:rsidRDefault="00D91C2B" w:rsidP="001A6A0F">
            <w:pPr>
              <w:pStyle w:val="Tabletext"/>
              <w:ind w:left="142"/>
            </w:pPr>
            <w:r w:rsidRPr="00842D4F">
              <w:t xml:space="preserve">Cost per </w:t>
            </w:r>
            <w:r>
              <w:t>CE</w:t>
            </w:r>
          </w:p>
        </w:tc>
        <w:tc>
          <w:tcPr>
            <w:tcW w:w="1406" w:type="dxa"/>
            <w:shd w:val="clear" w:color="auto" w:fill="auto"/>
          </w:tcPr>
          <w:p w14:paraId="057B6C23" w14:textId="77777777" w:rsidR="00D91C2B" w:rsidRPr="00842D4F" w:rsidRDefault="00D91C2B" w:rsidP="00BF3E55">
            <w:pPr>
              <w:pStyle w:val="Tabletext"/>
            </w:pPr>
            <w:r w:rsidRPr="00842D4F">
              <w:t>$2,039.20</w:t>
            </w:r>
          </w:p>
        </w:tc>
        <w:tc>
          <w:tcPr>
            <w:tcW w:w="1407" w:type="dxa"/>
            <w:shd w:val="clear" w:color="auto" w:fill="auto"/>
          </w:tcPr>
          <w:p w14:paraId="6AF03D19" w14:textId="77777777" w:rsidR="00D91C2B" w:rsidRPr="00842D4F" w:rsidRDefault="00D91C2B" w:rsidP="00BF3E55">
            <w:pPr>
              <w:pStyle w:val="Tabletext"/>
            </w:pPr>
            <w:r w:rsidRPr="00842D4F">
              <w:t>$2,039.20</w:t>
            </w:r>
          </w:p>
        </w:tc>
        <w:tc>
          <w:tcPr>
            <w:tcW w:w="1407" w:type="dxa"/>
            <w:shd w:val="clear" w:color="auto" w:fill="auto"/>
          </w:tcPr>
          <w:p w14:paraId="1D64E5BD" w14:textId="77777777" w:rsidR="00D91C2B" w:rsidRPr="00842D4F" w:rsidRDefault="00D91C2B" w:rsidP="00BF3E55">
            <w:pPr>
              <w:pStyle w:val="Tabletext"/>
            </w:pPr>
            <w:r>
              <w:t>-</w:t>
            </w:r>
          </w:p>
        </w:tc>
        <w:tc>
          <w:tcPr>
            <w:tcW w:w="2348" w:type="dxa"/>
            <w:shd w:val="clear" w:color="auto" w:fill="auto"/>
          </w:tcPr>
          <w:p w14:paraId="42CE4EAA" w14:textId="77777777" w:rsidR="00D91C2B" w:rsidRPr="00842D4F" w:rsidRDefault="00D91C2B" w:rsidP="00BF3E55">
            <w:pPr>
              <w:pStyle w:val="Tabletext"/>
            </w:pPr>
            <w:r w:rsidRPr="00842D4F">
              <w:t>Current MBS benefit</w:t>
            </w:r>
          </w:p>
        </w:tc>
      </w:tr>
      <w:tr w:rsidR="00D91C2B" w14:paraId="3C398881" w14:textId="77777777" w:rsidTr="00176943">
        <w:trPr>
          <w:trHeight w:val="314"/>
        </w:trPr>
        <w:tc>
          <w:tcPr>
            <w:tcW w:w="2603" w:type="dxa"/>
            <w:shd w:val="clear" w:color="auto" w:fill="auto"/>
          </w:tcPr>
          <w:p w14:paraId="1CED9006" w14:textId="77777777" w:rsidR="00D91C2B" w:rsidRPr="00842D4F" w:rsidRDefault="00D91C2B" w:rsidP="001A6A0F">
            <w:pPr>
              <w:pStyle w:val="Tabletext"/>
              <w:ind w:left="142"/>
            </w:pPr>
            <w:r w:rsidRPr="00842D4F">
              <w:t xml:space="preserve">Total </w:t>
            </w:r>
            <w:r>
              <w:t xml:space="preserve">CE </w:t>
            </w:r>
            <w:r w:rsidRPr="00842D4F">
              <w:t>costs</w:t>
            </w:r>
          </w:p>
        </w:tc>
        <w:tc>
          <w:tcPr>
            <w:tcW w:w="1406" w:type="dxa"/>
            <w:shd w:val="clear" w:color="auto" w:fill="auto"/>
          </w:tcPr>
          <w:p w14:paraId="60BB0707" w14:textId="77777777" w:rsidR="00D91C2B" w:rsidRDefault="00D91C2B" w:rsidP="00BF3E55">
            <w:pPr>
              <w:pStyle w:val="Tabletext"/>
            </w:pPr>
            <w:r>
              <w:t>$18,197,535</w:t>
            </w:r>
          </w:p>
        </w:tc>
        <w:tc>
          <w:tcPr>
            <w:tcW w:w="1407" w:type="dxa"/>
            <w:shd w:val="clear" w:color="auto" w:fill="auto"/>
          </w:tcPr>
          <w:p w14:paraId="02097103" w14:textId="77777777" w:rsidR="00D91C2B" w:rsidRDefault="00D91C2B" w:rsidP="00BF3E55">
            <w:pPr>
              <w:pStyle w:val="Tabletext"/>
            </w:pPr>
            <w:r>
              <w:t>$18,381,349</w:t>
            </w:r>
          </w:p>
        </w:tc>
        <w:tc>
          <w:tcPr>
            <w:tcW w:w="1407" w:type="dxa"/>
          </w:tcPr>
          <w:p w14:paraId="3F412EEC" w14:textId="77777777" w:rsidR="00D91C2B" w:rsidRDefault="00D91C2B" w:rsidP="00BF3E55">
            <w:pPr>
              <w:pStyle w:val="Tabletext"/>
            </w:pPr>
            <w:r>
              <w:t>$183,813</w:t>
            </w:r>
          </w:p>
        </w:tc>
        <w:tc>
          <w:tcPr>
            <w:tcW w:w="2348" w:type="dxa"/>
            <w:shd w:val="clear" w:color="auto" w:fill="auto"/>
          </w:tcPr>
          <w:p w14:paraId="42B1DB5E" w14:textId="77777777" w:rsidR="00D91C2B" w:rsidRDefault="00D91C2B" w:rsidP="00BF3E55">
            <w:pPr>
              <w:pStyle w:val="Tabletext"/>
            </w:pPr>
            <w:r w:rsidRPr="00842D4F">
              <w:t>Calculated</w:t>
            </w:r>
          </w:p>
        </w:tc>
      </w:tr>
      <w:tr w:rsidR="001A6A0F" w:rsidRPr="002572D1" w14:paraId="7F3193BC" w14:textId="77777777" w:rsidTr="00176943">
        <w:tc>
          <w:tcPr>
            <w:tcW w:w="2603" w:type="dxa"/>
            <w:shd w:val="clear" w:color="auto" w:fill="auto"/>
          </w:tcPr>
          <w:p w14:paraId="1F4674C6" w14:textId="2DDB51DE" w:rsidR="001A6A0F" w:rsidRPr="002572D1" w:rsidRDefault="001A6A0F" w:rsidP="001A6A0F">
            <w:pPr>
              <w:pStyle w:val="Tabletext"/>
              <w:ind w:left="142"/>
            </w:pPr>
            <w:r w:rsidRPr="002572D1">
              <w:rPr>
                <w:b/>
              </w:rPr>
              <w:t>Summary</w:t>
            </w:r>
            <w:r>
              <w:rPr>
                <w:b/>
              </w:rPr>
              <w:t xml:space="preserve"> all costs</w:t>
            </w:r>
          </w:p>
        </w:tc>
        <w:tc>
          <w:tcPr>
            <w:tcW w:w="1406" w:type="dxa"/>
            <w:shd w:val="clear" w:color="auto" w:fill="auto"/>
          </w:tcPr>
          <w:p w14:paraId="6CFA8E31" w14:textId="51E06BB8" w:rsidR="001A6A0F" w:rsidRPr="002572D1" w:rsidRDefault="001A6A0F" w:rsidP="00BF3E55">
            <w:pPr>
              <w:pStyle w:val="Tabletext"/>
              <w:rPr>
                <w:szCs w:val="22"/>
              </w:rPr>
            </w:pPr>
            <w:r>
              <w:rPr>
                <w:szCs w:val="22"/>
              </w:rPr>
              <w:t>-</w:t>
            </w:r>
          </w:p>
        </w:tc>
        <w:tc>
          <w:tcPr>
            <w:tcW w:w="1407" w:type="dxa"/>
            <w:shd w:val="clear" w:color="auto" w:fill="auto"/>
          </w:tcPr>
          <w:p w14:paraId="632DEBD4" w14:textId="299142EB" w:rsidR="001A6A0F" w:rsidRPr="002572D1" w:rsidRDefault="001A6A0F" w:rsidP="00BF3E55">
            <w:pPr>
              <w:pStyle w:val="Tabletext"/>
            </w:pPr>
            <w:r>
              <w:t>-</w:t>
            </w:r>
          </w:p>
        </w:tc>
        <w:tc>
          <w:tcPr>
            <w:tcW w:w="1407" w:type="dxa"/>
          </w:tcPr>
          <w:p w14:paraId="73BD11C8" w14:textId="44C0F961" w:rsidR="001A6A0F" w:rsidRPr="002572D1" w:rsidRDefault="001A6A0F" w:rsidP="00BF3E55">
            <w:pPr>
              <w:pStyle w:val="Tabletext"/>
              <w:rPr>
                <w:szCs w:val="22"/>
              </w:rPr>
            </w:pPr>
            <w:r>
              <w:rPr>
                <w:szCs w:val="22"/>
              </w:rPr>
              <w:t>-</w:t>
            </w:r>
          </w:p>
        </w:tc>
        <w:tc>
          <w:tcPr>
            <w:tcW w:w="2348" w:type="dxa"/>
            <w:shd w:val="clear" w:color="auto" w:fill="auto"/>
          </w:tcPr>
          <w:p w14:paraId="376029D5" w14:textId="3A2BC712" w:rsidR="001A6A0F" w:rsidRPr="002572D1" w:rsidRDefault="001A6A0F" w:rsidP="00BF3E55">
            <w:pPr>
              <w:pStyle w:val="Tabletext"/>
            </w:pPr>
            <w:r>
              <w:t>-</w:t>
            </w:r>
          </w:p>
        </w:tc>
      </w:tr>
      <w:tr w:rsidR="00D91C2B" w:rsidRPr="002572D1" w14:paraId="3704F13B" w14:textId="77777777" w:rsidTr="00176943">
        <w:tc>
          <w:tcPr>
            <w:tcW w:w="2603" w:type="dxa"/>
            <w:shd w:val="clear" w:color="auto" w:fill="auto"/>
          </w:tcPr>
          <w:p w14:paraId="17E5284C" w14:textId="77777777" w:rsidR="00D91C2B" w:rsidRPr="002572D1" w:rsidRDefault="00D91C2B" w:rsidP="001A6A0F">
            <w:pPr>
              <w:pStyle w:val="Tabletext"/>
              <w:ind w:left="142"/>
            </w:pPr>
            <w:r w:rsidRPr="002572D1">
              <w:t>Cost of repeat colonoscopy/endoscopy</w:t>
            </w:r>
          </w:p>
        </w:tc>
        <w:tc>
          <w:tcPr>
            <w:tcW w:w="1406" w:type="dxa"/>
            <w:shd w:val="clear" w:color="auto" w:fill="auto"/>
          </w:tcPr>
          <w:p w14:paraId="4D479E2F" w14:textId="77777777" w:rsidR="00D91C2B" w:rsidRPr="002572D1" w:rsidRDefault="00D91C2B" w:rsidP="00BF3E55">
            <w:pPr>
              <w:pStyle w:val="Tabletext"/>
            </w:pPr>
            <w:r w:rsidRPr="002572D1">
              <w:rPr>
                <w:szCs w:val="22"/>
              </w:rPr>
              <w:t>$3,310,392</w:t>
            </w:r>
          </w:p>
        </w:tc>
        <w:tc>
          <w:tcPr>
            <w:tcW w:w="1407" w:type="dxa"/>
            <w:shd w:val="clear" w:color="auto" w:fill="auto"/>
          </w:tcPr>
          <w:p w14:paraId="4F8C6237" w14:textId="77777777" w:rsidR="00D91C2B" w:rsidRPr="002572D1" w:rsidRDefault="00D91C2B" w:rsidP="00BF3E55">
            <w:pPr>
              <w:pStyle w:val="Tabletext"/>
            </w:pPr>
            <w:r w:rsidRPr="002572D1">
              <w:t>-</w:t>
            </w:r>
          </w:p>
        </w:tc>
        <w:tc>
          <w:tcPr>
            <w:tcW w:w="1407" w:type="dxa"/>
          </w:tcPr>
          <w:p w14:paraId="57A0BC75" w14:textId="77777777" w:rsidR="00D91C2B" w:rsidRPr="002572D1" w:rsidRDefault="00D91C2B" w:rsidP="00BF3E55">
            <w:pPr>
              <w:pStyle w:val="Tabletext"/>
            </w:pPr>
            <w:r w:rsidRPr="002572D1">
              <w:rPr>
                <w:szCs w:val="22"/>
              </w:rPr>
              <w:t>-$3,310,392</w:t>
            </w:r>
          </w:p>
        </w:tc>
        <w:tc>
          <w:tcPr>
            <w:tcW w:w="2348" w:type="dxa"/>
            <w:shd w:val="clear" w:color="auto" w:fill="auto"/>
          </w:tcPr>
          <w:p w14:paraId="4C6AC499" w14:textId="77777777" w:rsidR="00D91C2B" w:rsidRPr="002572D1" w:rsidRDefault="00D91C2B" w:rsidP="00BF3E55">
            <w:pPr>
              <w:pStyle w:val="Tabletext"/>
            </w:pPr>
            <w:r w:rsidRPr="002572D1">
              <w:t>Calculated (see rows above)</w:t>
            </w:r>
          </w:p>
        </w:tc>
      </w:tr>
      <w:tr w:rsidR="00D91C2B" w:rsidRPr="002572D1" w14:paraId="63AD40C9" w14:textId="77777777" w:rsidTr="00176943">
        <w:tc>
          <w:tcPr>
            <w:tcW w:w="2603" w:type="dxa"/>
            <w:shd w:val="clear" w:color="auto" w:fill="auto"/>
          </w:tcPr>
          <w:p w14:paraId="53A7417E" w14:textId="77777777" w:rsidR="00D91C2B" w:rsidRPr="002572D1" w:rsidRDefault="00D91C2B" w:rsidP="001A6A0F">
            <w:pPr>
              <w:pStyle w:val="Tabletext"/>
              <w:ind w:left="142"/>
            </w:pPr>
            <w:r>
              <w:t>Cost of CE</w:t>
            </w:r>
          </w:p>
        </w:tc>
        <w:tc>
          <w:tcPr>
            <w:tcW w:w="1406" w:type="dxa"/>
            <w:shd w:val="clear" w:color="auto" w:fill="auto"/>
          </w:tcPr>
          <w:p w14:paraId="52886F8A" w14:textId="77777777" w:rsidR="00D91C2B" w:rsidRPr="002572D1" w:rsidRDefault="00D91C2B" w:rsidP="00BF3E55">
            <w:pPr>
              <w:pStyle w:val="Tabletext"/>
            </w:pPr>
            <w:r w:rsidRPr="002572D1">
              <w:rPr>
                <w:szCs w:val="22"/>
              </w:rPr>
              <w:t>$18,197,535</w:t>
            </w:r>
          </w:p>
        </w:tc>
        <w:tc>
          <w:tcPr>
            <w:tcW w:w="1407" w:type="dxa"/>
            <w:shd w:val="clear" w:color="auto" w:fill="auto"/>
          </w:tcPr>
          <w:p w14:paraId="572BE922" w14:textId="77777777" w:rsidR="00D91C2B" w:rsidRPr="002572D1" w:rsidRDefault="00D91C2B" w:rsidP="00BF3E55">
            <w:pPr>
              <w:pStyle w:val="Tabletext"/>
            </w:pPr>
            <w:r w:rsidRPr="002572D1">
              <w:rPr>
                <w:szCs w:val="22"/>
              </w:rPr>
              <w:t>$18,381,349</w:t>
            </w:r>
          </w:p>
        </w:tc>
        <w:tc>
          <w:tcPr>
            <w:tcW w:w="1407" w:type="dxa"/>
          </w:tcPr>
          <w:p w14:paraId="4A9B9BB0" w14:textId="77777777" w:rsidR="00D91C2B" w:rsidRPr="002572D1" w:rsidRDefault="00D91C2B" w:rsidP="00BF3E55">
            <w:pPr>
              <w:pStyle w:val="Tabletext"/>
            </w:pPr>
            <w:r w:rsidRPr="002572D1">
              <w:rPr>
                <w:szCs w:val="22"/>
              </w:rPr>
              <w:t>$183,813</w:t>
            </w:r>
          </w:p>
        </w:tc>
        <w:tc>
          <w:tcPr>
            <w:tcW w:w="2348" w:type="dxa"/>
            <w:shd w:val="clear" w:color="auto" w:fill="auto"/>
          </w:tcPr>
          <w:p w14:paraId="4EB07CB6" w14:textId="77777777" w:rsidR="00D91C2B" w:rsidRPr="002572D1" w:rsidRDefault="00D91C2B" w:rsidP="00BF3E55">
            <w:pPr>
              <w:pStyle w:val="Tabletext"/>
            </w:pPr>
            <w:r w:rsidRPr="002572D1">
              <w:t>Calculated (see rows above)</w:t>
            </w:r>
          </w:p>
        </w:tc>
      </w:tr>
      <w:tr w:rsidR="00D91C2B" w:rsidRPr="002572D1" w14:paraId="56450E1C" w14:textId="77777777" w:rsidTr="00176943">
        <w:tc>
          <w:tcPr>
            <w:tcW w:w="2603" w:type="dxa"/>
            <w:shd w:val="clear" w:color="auto" w:fill="auto"/>
          </w:tcPr>
          <w:p w14:paraId="089B43BA" w14:textId="77777777" w:rsidR="00D91C2B" w:rsidRPr="002572D1" w:rsidRDefault="00D91C2B" w:rsidP="001A6A0F">
            <w:pPr>
              <w:pStyle w:val="Tabletext"/>
              <w:ind w:left="142"/>
            </w:pPr>
            <w:r w:rsidRPr="002572D1">
              <w:t>Total</w:t>
            </w:r>
          </w:p>
        </w:tc>
        <w:tc>
          <w:tcPr>
            <w:tcW w:w="1406" w:type="dxa"/>
            <w:shd w:val="clear" w:color="auto" w:fill="auto"/>
          </w:tcPr>
          <w:p w14:paraId="4781EED7" w14:textId="77777777" w:rsidR="00D91C2B" w:rsidRPr="002572D1" w:rsidRDefault="00D91C2B" w:rsidP="00BF3E55">
            <w:pPr>
              <w:pStyle w:val="Tabletext"/>
            </w:pPr>
            <w:r w:rsidRPr="002572D1">
              <w:rPr>
                <w:szCs w:val="22"/>
              </w:rPr>
              <w:t>$21,507,927</w:t>
            </w:r>
          </w:p>
        </w:tc>
        <w:tc>
          <w:tcPr>
            <w:tcW w:w="1407" w:type="dxa"/>
            <w:shd w:val="clear" w:color="auto" w:fill="auto"/>
          </w:tcPr>
          <w:p w14:paraId="5EB497C1" w14:textId="77777777" w:rsidR="00D91C2B" w:rsidRPr="002572D1" w:rsidRDefault="00D91C2B" w:rsidP="00BF3E55">
            <w:pPr>
              <w:pStyle w:val="Tabletext"/>
            </w:pPr>
            <w:r w:rsidRPr="002572D1">
              <w:rPr>
                <w:szCs w:val="22"/>
              </w:rPr>
              <w:t>$18,381,349</w:t>
            </w:r>
          </w:p>
        </w:tc>
        <w:tc>
          <w:tcPr>
            <w:tcW w:w="1407" w:type="dxa"/>
          </w:tcPr>
          <w:p w14:paraId="512EA54C" w14:textId="77777777" w:rsidR="00D91C2B" w:rsidRPr="002572D1" w:rsidRDefault="00D91C2B" w:rsidP="00BF3E55">
            <w:pPr>
              <w:pStyle w:val="Tabletext"/>
            </w:pPr>
            <w:r w:rsidRPr="002572D1">
              <w:rPr>
                <w:szCs w:val="22"/>
              </w:rPr>
              <w:t>-$3,126,578</w:t>
            </w:r>
          </w:p>
        </w:tc>
        <w:tc>
          <w:tcPr>
            <w:tcW w:w="2348" w:type="dxa"/>
            <w:shd w:val="clear" w:color="auto" w:fill="auto"/>
          </w:tcPr>
          <w:p w14:paraId="05883AD1" w14:textId="77777777" w:rsidR="00D91C2B" w:rsidRPr="002572D1" w:rsidRDefault="00D91C2B" w:rsidP="00BF3E55">
            <w:pPr>
              <w:pStyle w:val="Tabletext"/>
            </w:pPr>
            <w:r w:rsidRPr="002572D1">
              <w:t>Calculated</w:t>
            </w:r>
          </w:p>
        </w:tc>
      </w:tr>
      <w:tr w:rsidR="00D91C2B" w:rsidRPr="002572D1" w14:paraId="5A0BEE4D" w14:textId="77777777" w:rsidTr="00176943">
        <w:tc>
          <w:tcPr>
            <w:tcW w:w="2603" w:type="dxa"/>
            <w:shd w:val="clear" w:color="auto" w:fill="auto"/>
          </w:tcPr>
          <w:p w14:paraId="323B2C21" w14:textId="77777777" w:rsidR="00D91C2B" w:rsidRPr="002572D1" w:rsidRDefault="00D91C2B" w:rsidP="001A6A0F">
            <w:pPr>
              <w:pStyle w:val="Tabletext"/>
              <w:ind w:left="142"/>
            </w:pPr>
            <w:r w:rsidRPr="002572D1">
              <w:t xml:space="preserve">(per patient </w:t>
            </w:r>
            <w:r>
              <w:t>presenting for CE</w:t>
            </w:r>
            <w:r w:rsidRPr="002572D1">
              <w:t>)</w:t>
            </w:r>
          </w:p>
        </w:tc>
        <w:tc>
          <w:tcPr>
            <w:tcW w:w="1406" w:type="dxa"/>
            <w:shd w:val="clear" w:color="auto" w:fill="auto"/>
          </w:tcPr>
          <w:p w14:paraId="2318AD4E" w14:textId="77777777" w:rsidR="00D91C2B" w:rsidRPr="002572D1" w:rsidRDefault="00D91C2B" w:rsidP="00BF3E55">
            <w:pPr>
              <w:pStyle w:val="Tabletext"/>
            </w:pPr>
            <w:r w:rsidRPr="002572D1">
              <w:rPr>
                <w:szCs w:val="22"/>
              </w:rPr>
              <w:t>$2,386.06</w:t>
            </w:r>
          </w:p>
        </w:tc>
        <w:tc>
          <w:tcPr>
            <w:tcW w:w="1407" w:type="dxa"/>
            <w:shd w:val="clear" w:color="auto" w:fill="auto"/>
          </w:tcPr>
          <w:p w14:paraId="04BD4F79" w14:textId="77777777" w:rsidR="00D91C2B" w:rsidRPr="002572D1" w:rsidRDefault="00D91C2B" w:rsidP="00BF3E55">
            <w:pPr>
              <w:pStyle w:val="Tabletext"/>
            </w:pPr>
            <w:r w:rsidRPr="002572D1">
              <w:rPr>
                <w:szCs w:val="22"/>
              </w:rPr>
              <w:t>$2,039.20</w:t>
            </w:r>
          </w:p>
        </w:tc>
        <w:tc>
          <w:tcPr>
            <w:tcW w:w="1407" w:type="dxa"/>
          </w:tcPr>
          <w:p w14:paraId="6D9E8908" w14:textId="77777777" w:rsidR="00D91C2B" w:rsidRPr="002572D1" w:rsidRDefault="00D91C2B" w:rsidP="00BF3E55">
            <w:pPr>
              <w:pStyle w:val="Tabletext"/>
            </w:pPr>
            <w:r w:rsidRPr="002572D1">
              <w:rPr>
                <w:szCs w:val="22"/>
              </w:rPr>
              <w:t>-$347</w:t>
            </w:r>
          </w:p>
        </w:tc>
        <w:tc>
          <w:tcPr>
            <w:tcW w:w="2348" w:type="dxa"/>
            <w:shd w:val="clear" w:color="auto" w:fill="auto"/>
          </w:tcPr>
          <w:p w14:paraId="75FBDAF5" w14:textId="77777777" w:rsidR="00D91C2B" w:rsidRPr="002572D1" w:rsidRDefault="00D91C2B" w:rsidP="00BF3E55">
            <w:pPr>
              <w:pStyle w:val="Tabletext"/>
            </w:pPr>
            <w:r w:rsidRPr="002572D1">
              <w:rPr>
                <w:szCs w:val="22"/>
              </w:rPr>
              <w:t>Calculated (totals divided by the original 9014 cohort)</w:t>
            </w:r>
          </w:p>
        </w:tc>
      </w:tr>
    </w:tbl>
    <w:p w14:paraId="16C1DF36" w14:textId="77777777" w:rsidR="00D91C2B" w:rsidRPr="008362BE" w:rsidRDefault="00D91C2B" w:rsidP="00D91C2B">
      <w:pPr>
        <w:tabs>
          <w:tab w:val="left" w:pos="720"/>
        </w:tabs>
        <w:rPr>
          <w:rFonts w:ascii="Arial Narrow" w:hAnsi="Arial Narrow" w:cs="Arial"/>
          <w:b/>
          <w:bCs/>
          <w:iCs/>
          <w:sz w:val="20"/>
          <w:lang w:eastAsia="en-US"/>
        </w:rPr>
      </w:pPr>
      <w:r w:rsidRPr="008362BE">
        <w:rPr>
          <w:rFonts w:ascii="Arial Narrow" w:hAnsi="Arial Narrow" w:cs="Arial"/>
          <w:b/>
          <w:bCs/>
          <w:iCs/>
          <w:sz w:val="20"/>
          <w:lang w:eastAsia="en-US"/>
        </w:rPr>
        <w:t>So</w:t>
      </w:r>
      <w:r>
        <w:rPr>
          <w:rFonts w:ascii="Arial Narrow" w:hAnsi="Arial Narrow" w:cs="Arial"/>
          <w:b/>
          <w:bCs/>
          <w:iCs/>
          <w:sz w:val="20"/>
          <w:lang w:eastAsia="en-US"/>
        </w:rPr>
        <w:t>urce: Table 7 of the SBA, p. 31</w:t>
      </w:r>
    </w:p>
    <w:p w14:paraId="5369040A" w14:textId="77777777" w:rsidR="00524A83" w:rsidRDefault="00524A83" w:rsidP="00524A83">
      <w:pPr>
        <w:tabs>
          <w:tab w:val="left" w:pos="720"/>
          <w:tab w:val="left" w:pos="1140"/>
        </w:tabs>
        <w:rPr>
          <w:szCs w:val="24"/>
        </w:rPr>
      </w:pPr>
    </w:p>
    <w:p w14:paraId="269CC8ED" w14:textId="77777777" w:rsidR="00D91C2B" w:rsidRPr="00744C2E" w:rsidRDefault="00D91C2B" w:rsidP="00524A83">
      <w:pPr>
        <w:tabs>
          <w:tab w:val="left" w:pos="720"/>
          <w:tab w:val="left" w:pos="1140"/>
        </w:tabs>
        <w:rPr>
          <w:szCs w:val="24"/>
        </w:rPr>
      </w:pPr>
      <w:r w:rsidRPr="00744C2E">
        <w:rPr>
          <w:szCs w:val="24"/>
        </w:rPr>
        <w:t>MBS item 11820 currently requires that ‘</w:t>
      </w:r>
      <w:r w:rsidRPr="00744C2E">
        <w:rPr>
          <w:i/>
          <w:szCs w:val="24"/>
        </w:rPr>
        <w:t>the service has not been provided to the same patient</w:t>
      </w:r>
      <w:r w:rsidRPr="00744C2E">
        <w:t xml:space="preserve"> </w:t>
      </w:r>
      <w:r w:rsidRPr="00744C2E">
        <w:rPr>
          <w:i/>
          <w:szCs w:val="24"/>
        </w:rPr>
        <w:t>on more than 2 occasions in any 12 month period</w:t>
      </w:r>
      <w:r w:rsidRPr="00744C2E">
        <w:rPr>
          <w:szCs w:val="24"/>
        </w:rPr>
        <w:t>.’ As previously mentioned, the applicant indicates that the evidence supports the removal of any time restriction for the CE procedure.</w:t>
      </w:r>
    </w:p>
    <w:p w14:paraId="7ECCE585" w14:textId="77777777" w:rsidR="00524A83" w:rsidRDefault="00524A83" w:rsidP="00524A83">
      <w:pPr>
        <w:rPr>
          <w:szCs w:val="24"/>
        </w:rPr>
      </w:pPr>
    </w:p>
    <w:p w14:paraId="67D4E950" w14:textId="37A8FDFD" w:rsidR="00D91C2B" w:rsidRPr="00744C2E" w:rsidRDefault="00D91C2B" w:rsidP="00524A83">
      <w:pPr>
        <w:rPr>
          <w:szCs w:val="24"/>
        </w:rPr>
      </w:pPr>
      <w:r w:rsidRPr="00744C2E">
        <w:rPr>
          <w:szCs w:val="24"/>
        </w:rPr>
        <w:t xml:space="preserve">For both proposed amendments, the financial impact </w:t>
      </w:r>
      <w:r w:rsidR="00524A83">
        <w:rPr>
          <w:szCs w:val="24"/>
        </w:rPr>
        <w:t>was</w:t>
      </w:r>
      <w:r w:rsidRPr="00744C2E">
        <w:rPr>
          <w:szCs w:val="24"/>
        </w:rPr>
        <w:t xml:space="preserve"> based on the current Schedule fee of $2,039.20 and services for MBS item 11820.</w:t>
      </w:r>
    </w:p>
    <w:p w14:paraId="158E231E" w14:textId="77777777" w:rsidR="00524A83" w:rsidRDefault="00524A83" w:rsidP="00524A83">
      <w:pPr>
        <w:rPr>
          <w:szCs w:val="24"/>
        </w:rPr>
      </w:pPr>
    </w:p>
    <w:p w14:paraId="6E078B42" w14:textId="6924A7E0" w:rsidR="00D91C2B" w:rsidRPr="00744C2E" w:rsidRDefault="00D91C2B" w:rsidP="00524A83">
      <w:pPr>
        <w:rPr>
          <w:szCs w:val="24"/>
        </w:rPr>
      </w:pPr>
      <w:r w:rsidRPr="00744C2E">
        <w:rPr>
          <w:szCs w:val="24"/>
        </w:rPr>
        <w:t>The SBA report estimate</w:t>
      </w:r>
      <w:r w:rsidR="00524A83">
        <w:rPr>
          <w:szCs w:val="24"/>
        </w:rPr>
        <w:t>d</w:t>
      </w:r>
      <w:r w:rsidRPr="00744C2E">
        <w:rPr>
          <w:szCs w:val="24"/>
        </w:rPr>
        <w:t xml:space="preserve"> a total cost to the MBS for the 2 – 9 year old group of approximately $53,000 per year.</w:t>
      </w:r>
    </w:p>
    <w:p w14:paraId="66F9E071" w14:textId="77777777" w:rsidR="00524A83" w:rsidRDefault="00524A83" w:rsidP="00524A83">
      <w:pPr>
        <w:rPr>
          <w:szCs w:val="24"/>
        </w:rPr>
      </w:pPr>
    </w:p>
    <w:p w14:paraId="32766414" w14:textId="3E493BD4" w:rsidR="00D91C2B" w:rsidRPr="00744C2E" w:rsidRDefault="00D91C2B" w:rsidP="00524A83">
      <w:pPr>
        <w:rPr>
          <w:szCs w:val="24"/>
        </w:rPr>
      </w:pPr>
      <w:r w:rsidRPr="00744C2E">
        <w:rPr>
          <w:szCs w:val="24"/>
        </w:rPr>
        <w:t>The SBA report estimate</w:t>
      </w:r>
      <w:r w:rsidR="00524A83">
        <w:rPr>
          <w:szCs w:val="24"/>
        </w:rPr>
        <w:t>d</w:t>
      </w:r>
      <w:r w:rsidRPr="00744C2E">
        <w:rPr>
          <w:szCs w:val="24"/>
        </w:rPr>
        <w:t xml:space="preserve"> the financial impact for the removal of the ‘six month’ rule, by calculating:</w:t>
      </w:r>
    </w:p>
    <w:p w14:paraId="02EA2BE9" w14:textId="77777777" w:rsidR="00D91C2B" w:rsidRPr="00744C2E" w:rsidRDefault="00D91C2B" w:rsidP="00524A83">
      <w:pPr>
        <w:numPr>
          <w:ilvl w:val="0"/>
          <w:numId w:val="15"/>
        </w:numPr>
        <w:ind w:left="714" w:hanging="357"/>
        <w:rPr>
          <w:szCs w:val="24"/>
        </w:rPr>
      </w:pPr>
      <w:r w:rsidRPr="00744C2E">
        <w:rPr>
          <w:szCs w:val="24"/>
        </w:rPr>
        <w:t>the fee for MBS item 11820 ($2,039.20); and</w:t>
      </w:r>
    </w:p>
    <w:p w14:paraId="6CA3388C" w14:textId="77777777" w:rsidR="00D91C2B" w:rsidRPr="00744C2E" w:rsidRDefault="00D91C2B" w:rsidP="00524A83">
      <w:pPr>
        <w:numPr>
          <w:ilvl w:val="0"/>
          <w:numId w:val="15"/>
        </w:numPr>
        <w:ind w:left="714" w:hanging="357"/>
        <w:rPr>
          <w:szCs w:val="24"/>
        </w:rPr>
      </w:pPr>
      <w:proofErr w:type="gramStart"/>
      <w:r w:rsidRPr="00744C2E">
        <w:rPr>
          <w:szCs w:val="24"/>
        </w:rPr>
        <w:t>the</w:t>
      </w:r>
      <w:proofErr w:type="gramEnd"/>
      <w:r w:rsidRPr="00744C2E">
        <w:rPr>
          <w:szCs w:val="24"/>
        </w:rPr>
        <w:t xml:space="preserve"> costs of colonoscopy from the public hospital cost weights round 14 ($1,469).</w:t>
      </w:r>
    </w:p>
    <w:p w14:paraId="3AF19A08" w14:textId="77777777" w:rsidR="00524A83" w:rsidRDefault="00524A83" w:rsidP="00524A83">
      <w:pPr>
        <w:rPr>
          <w:szCs w:val="24"/>
        </w:rPr>
      </w:pPr>
    </w:p>
    <w:p w14:paraId="4CBD47D3" w14:textId="1A890CBC" w:rsidR="00D91C2B" w:rsidRPr="00744C2E" w:rsidRDefault="00D91C2B" w:rsidP="00524A83">
      <w:pPr>
        <w:rPr>
          <w:szCs w:val="24"/>
        </w:rPr>
      </w:pPr>
      <w:r w:rsidRPr="00744C2E">
        <w:rPr>
          <w:szCs w:val="24"/>
        </w:rPr>
        <w:t>The total cost to the MBS ha</w:t>
      </w:r>
      <w:r w:rsidR="00524A83">
        <w:rPr>
          <w:szCs w:val="24"/>
        </w:rPr>
        <w:t>d</w:t>
      </w:r>
      <w:r w:rsidRPr="00744C2E">
        <w:rPr>
          <w:szCs w:val="24"/>
        </w:rPr>
        <w:t xml:space="preserve"> not been identified for Amendment 2 i.e. the benefit payable for MBS item 11820 and the relevant MBS items for colonoscopy and endoscopy.</w:t>
      </w:r>
    </w:p>
    <w:p w14:paraId="124D0D1B" w14:textId="77777777" w:rsidR="00524A83" w:rsidRDefault="00524A83" w:rsidP="00524A83">
      <w:pPr>
        <w:tabs>
          <w:tab w:val="left" w:pos="720"/>
        </w:tabs>
        <w:rPr>
          <w:szCs w:val="24"/>
        </w:rPr>
      </w:pPr>
    </w:p>
    <w:p w14:paraId="147948E4" w14:textId="01EFE878" w:rsidR="00D91C2B" w:rsidRDefault="00D91C2B" w:rsidP="00524A83">
      <w:pPr>
        <w:tabs>
          <w:tab w:val="left" w:pos="720"/>
        </w:tabs>
        <w:rPr>
          <w:szCs w:val="24"/>
        </w:rPr>
      </w:pPr>
      <w:r w:rsidRPr="00744C2E">
        <w:rPr>
          <w:szCs w:val="24"/>
        </w:rPr>
        <w:t>The SBA report use</w:t>
      </w:r>
      <w:r w:rsidR="00524A83">
        <w:rPr>
          <w:szCs w:val="24"/>
        </w:rPr>
        <w:t>d</w:t>
      </w:r>
      <w:r w:rsidRPr="00744C2E">
        <w:rPr>
          <w:szCs w:val="24"/>
        </w:rPr>
        <w:t xml:space="preserve"> data from Gilbert et al to estimate 2,254 patients (25% of 9,014 patients) receiving CE who would have undergone repeat colonoscopy or endoscopy due to the ‘six month’ rule. The patient numbers </w:t>
      </w:r>
      <w:r w:rsidR="00524A83">
        <w:rPr>
          <w:szCs w:val="24"/>
        </w:rPr>
        <w:t>we</w:t>
      </w:r>
      <w:r w:rsidRPr="00744C2E">
        <w:rPr>
          <w:szCs w:val="24"/>
        </w:rPr>
        <w:t>re applied to the public hospital cost weight for colonoscopy ($1,469) to calculate a total annual cost of $3.3 million for repeat colonoscopy or endoscopy procedures due to the ‘six month’ rule.</w:t>
      </w:r>
    </w:p>
    <w:p w14:paraId="3B062FA0" w14:textId="77777777" w:rsidR="00524A83" w:rsidRPr="00744C2E" w:rsidRDefault="00524A83" w:rsidP="00524A83">
      <w:pPr>
        <w:tabs>
          <w:tab w:val="left" w:pos="720"/>
        </w:tabs>
        <w:rPr>
          <w:szCs w:val="24"/>
        </w:rPr>
      </w:pPr>
    </w:p>
    <w:p w14:paraId="0BEE0123" w14:textId="2276A8BE" w:rsidR="00D91C2B" w:rsidRDefault="00D91C2B" w:rsidP="00524A83">
      <w:pPr>
        <w:tabs>
          <w:tab w:val="left" w:pos="720"/>
        </w:tabs>
        <w:rPr>
          <w:szCs w:val="24"/>
        </w:rPr>
      </w:pPr>
      <w:r w:rsidRPr="00744C2E">
        <w:rPr>
          <w:szCs w:val="24"/>
        </w:rPr>
        <w:t>The SBA report use</w:t>
      </w:r>
      <w:r w:rsidR="00524A83">
        <w:rPr>
          <w:szCs w:val="24"/>
        </w:rPr>
        <w:t>d</w:t>
      </w:r>
      <w:r w:rsidRPr="00744C2E">
        <w:rPr>
          <w:szCs w:val="24"/>
        </w:rPr>
        <w:t xml:space="preserve"> the diagnostic yield of 4% </w:t>
      </w:r>
      <w:r w:rsidR="00633A62">
        <w:rPr>
          <w:szCs w:val="24"/>
        </w:rPr>
        <w:t>for</w:t>
      </w:r>
      <w:r w:rsidRPr="00744C2E">
        <w:rPr>
          <w:szCs w:val="24"/>
        </w:rPr>
        <w:t xml:space="preserve"> repeat procedures from Gilbert et al (2008) to estimate</w:t>
      </w:r>
      <w:r w:rsidR="00633A62">
        <w:rPr>
          <w:szCs w:val="24"/>
        </w:rPr>
        <w:t xml:space="preserve"> that</w:t>
      </w:r>
      <w:r w:rsidRPr="00744C2E">
        <w:rPr>
          <w:szCs w:val="24"/>
        </w:rPr>
        <w:t xml:space="preserve"> 90 patients </w:t>
      </w:r>
      <w:r w:rsidR="00633A62">
        <w:rPr>
          <w:szCs w:val="24"/>
        </w:rPr>
        <w:t xml:space="preserve">will be </w:t>
      </w:r>
      <w:r w:rsidRPr="00744C2E">
        <w:rPr>
          <w:szCs w:val="24"/>
        </w:rPr>
        <w:t>diagnosed after repeat colonoscopy/endoscopy</w:t>
      </w:r>
      <w:r w:rsidR="00633A62">
        <w:rPr>
          <w:szCs w:val="24"/>
        </w:rPr>
        <w:t xml:space="preserve">. These 90 patients will not require CE, so the total cost for CE is reduced </w:t>
      </w:r>
      <w:r w:rsidR="0000181A">
        <w:rPr>
          <w:szCs w:val="24"/>
        </w:rPr>
        <w:t xml:space="preserve">by </w:t>
      </w:r>
      <w:r w:rsidRPr="00744C2E">
        <w:rPr>
          <w:szCs w:val="24"/>
        </w:rPr>
        <w:t>$183,813</w:t>
      </w:r>
      <w:r w:rsidR="0000181A">
        <w:rPr>
          <w:szCs w:val="24"/>
        </w:rPr>
        <w:t xml:space="preserve"> with </w:t>
      </w:r>
      <w:r w:rsidR="0000181A">
        <w:rPr>
          <w:szCs w:val="24"/>
        </w:rPr>
        <w:lastRenderedPageBreak/>
        <w:t>the 6-month rule in place. However, the 6-month rule incurs an additional cost of $3,310,392 for repeat upper GI endoscopy/ colonoscopy procedures</w:t>
      </w:r>
      <w:r w:rsidRPr="00744C2E">
        <w:rPr>
          <w:szCs w:val="24"/>
        </w:rPr>
        <w:t>.</w:t>
      </w:r>
    </w:p>
    <w:p w14:paraId="4F9A2BA3" w14:textId="77777777" w:rsidR="00524A83" w:rsidRPr="00744C2E" w:rsidRDefault="00524A83" w:rsidP="00524A83">
      <w:pPr>
        <w:tabs>
          <w:tab w:val="left" w:pos="720"/>
        </w:tabs>
        <w:rPr>
          <w:szCs w:val="24"/>
        </w:rPr>
      </w:pPr>
    </w:p>
    <w:p w14:paraId="44AE58EE" w14:textId="1BD6AA3D" w:rsidR="00D91C2B" w:rsidRPr="00744C2E" w:rsidRDefault="00D91C2B" w:rsidP="00524A83">
      <w:pPr>
        <w:tabs>
          <w:tab w:val="left" w:pos="720"/>
        </w:tabs>
        <w:rPr>
          <w:szCs w:val="24"/>
        </w:rPr>
      </w:pPr>
      <w:r w:rsidRPr="00744C2E">
        <w:rPr>
          <w:szCs w:val="24"/>
        </w:rPr>
        <w:t>Based on th</w:t>
      </w:r>
      <w:r w:rsidR="0000181A">
        <w:rPr>
          <w:szCs w:val="24"/>
        </w:rPr>
        <w:t>ese</w:t>
      </w:r>
      <w:r w:rsidRPr="00744C2E">
        <w:rPr>
          <w:szCs w:val="24"/>
        </w:rPr>
        <w:t xml:space="preserve"> data, the SBA report estimate</w:t>
      </w:r>
      <w:r w:rsidR="00524A83">
        <w:rPr>
          <w:szCs w:val="24"/>
        </w:rPr>
        <w:t>d</w:t>
      </w:r>
      <w:r w:rsidRPr="00744C2E">
        <w:rPr>
          <w:szCs w:val="24"/>
        </w:rPr>
        <w:t xml:space="preserve"> that the removal of the ‘six month’ rule would result in annual savings of approximately $3.1 million, a figure based on the Schedule fee for 11820, the public hospital cost weight for colonoscopy and without safety net impacts.</w:t>
      </w:r>
    </w:p>
    <w:p w14:paraId="56262924" w14:textId="77777777" w:rsidR="00524A83" w:rsidRDefault="00524A83" w:rsidP="00524A83">
      <w:pPr>
        <w:jc w:val="both"/>
        <w:rPr>
          <w:szCs w:val="24"/>
        </w:rPr>
      </w:pPr>
    </w:p>
    <w:p w14:paraId="6F968BA8" w14:textId="5C429CF0" w:rsidR="00D91C2B" w:rsidRPr="00744C2E" w:rsidRDefault="00D91C2B" w:rsidP="00524A83">
      <w:pPr>
        <w:rPr>
          <w:szCs w:val="24"/>
        </w:rPr>
      </w:pPr>
      <w:r w:rsidRPr="00744C2E">
        <w:rPr>
          <w:szCs w:val="24"/>
        </w:rPr>
        <w:t xml:space="preserve">Additionally, the critique identified that the SBA report </w:t>
      </w:r>
      <w:r w:rsidR="00524A83">
        <w:rPr>
          <w:szCs w:val="24"/>
        </w:rPr>
        <w:t>did</w:t>
      </w:r>
      <w:r w:rsidRPr="00744C2E">
        <w:rPr>
          <w:szCs w:val="24"/>
        </w:rPr>
        <w:t xml:space="preserve"> not include the costs associated with complications of the CE, endoscopy and colonoscopy procedures. In response to the critique, the applicant argue</w:t>
      </w:r>
      <w:r w:rsidR="00524A83">
        <w:rPr>
          <w:szCs w:val="24"/>
        </w:rPr>
        <w:t>d</w:t>
      </w:r>
      <w:r w:rsidRPr="00744C2E">
        <w:rPr>
          <w:szCs w:val="24"/>
        </w:rPr>
        <w:t xml:space="preserve"> that the clinical benefits of avoiding repeat colonoscopies should outweigh any potential safety concern associated with CE.</w:t>
      </w:r>
    </w:p>
    <w:p w14:paraId="0E22D5D4" w14:textId="77777777" w:rsidR="00524A83" w:rsidRDefault="00524A83" w:rsidP="00524A83">
      <w:pPr>
        <w:tabs>
          <w:tab w:val="left" w:pos="720"/>
        </w:tabs>
        <w:rPr>
          <w:szCs w:val="24"/>
        </w:rPr>
      </w:pPr>
    </w:p>
    <w:p w14:paraId="7D78AD21" w14:textId="77777777" w:rsidR="00D91C2B" w:rsidRPr="00BF3E55" w:rsidRDefault="00D91C2B" w:rsidP="00524A83">
      <w:pPr>
        <w:tabs>
          <w:tab w:val="left" w:pos="720"/>
        </w:tabs>
        <w:rPr>
          <w:szCs w:val="24"/>
        </w:rPr>
      </w:pPr>
      <w:r w:rsidRPr="00744C2E">
        <w:rPr>
          <w:szCs w:val="24"/>
        </w:rPr>
        <w:t>The health care resources associated with the provision of CE have not been identified in the SBA report.</w:t>
      </w:r>
    </w:p>
    <w:p w14:paraId="6971ECBF" w14:textId="77777777" w:rsidR="00524A83" w:rsidRDefault="00524A83" w:rsidP="00524A83">
      <w:pPr>
        <w:tabs>
          <w:tab w:val="left" w:pos="720"/>
        </w:tabs>
        <w:rPr>
          <w:szCs w:val="24"/>
        </w:rPr>
      </w:pPr>
    </w:p>
    <w:p w14:paraId="1996C9FF" w14:textId="028B9083" w:rsidR="00D91C2B" w:rsidRPr="00744C2E" w:rsidRDefault="00D91C2B" w:rsidP="00524A83">
      <w:pPr>
        <w:tabs>
          <w:tab w:val="left" w:pos="720"/>
        </w:tabs>
        <w:rPr>
          <w:szCs w:val="24"/>
        </w:rPr>
      </w:pPr>
      <w:r w:rsidRPr="00744C2E">
        <w:rPr>
          <w:szCs w:val="24"/>
        </w:rPr>
        <w:t>The total cost to the MBS, calculated by using the benefit payable for the services, ha</w:t>
      </w:r>
      <w:r w:rsidR="00524A83">
        <w:rPr>
          <w:szCs w:val="24"/>
        </w:rPr>
        <w:t>d</w:t>
      </w:r>
      <w:r w:rsidRPr="00744C2E">
        <w:rPr>
          <w:szCs w:val="24"/>
        </w:rPr>
        <w:t xml:space="preserve"> not been identified for the proposed amendments. Therefore, the net financial cost/year to the MBS is yet to be determined.</w:t>
      </w:r>
    </w:p>
    <w:p w14:paraId="48CFEA9E" w14:textId="77777777" w:rsidR="00AF0F0E" w:rsidRPr="00744C2E" w:rsidRDefault="00AF0F0E" w:rsidP="00524A83">
      <w:pPr>
        <w:tabs>
          <w:tab w:val="left" w:pos="720"/>
        </w:tabs>
        <w:rPr>
          <w:szCs w:val="24"/>
        </w:rPr>
      </w:pPr>
    </w:p>
    <w:p w14:paraId="6B6884F7" w14:textId="77777777" w:rsidR="006A19C5" w:rsidRDefault="002B4CE2" w:rsidP="00524A83">
      <w:pPr>
        <w:tabs>
          <w:tab w:val="left" w:pos="720"/>
          <w:tab w:val="left" w:pos="1140"/>
        </w:tabs>
        <w:rPr>
          <w:rStyle w:val="Heading1Char"/>
        </w:rPr>
      </w:pPr>
      <w:r>
        <w:rPr>
          <w:rStyle w:val="Heading1Char"/>
        </w:rPr>
        <w:t>13.</w:t>
      </w:r>
      <w:r>
        <w:rPr>
          <w:rStyle w:val="Heading1Char"/>
        </w:rPr>
        <w:tab/>
        <w:t xml:space="preserve">Key issues for </w:t>
      </w:r>
      <w:r w:rsidR="00E67C5A" w:rsidRPr="002B4CE2">
        <w:rPr>
          <w:rStyle w:val="Heading1Char"/>
        </w:rPr>
        <w:t xml:space="preserve">MSAC </w:t>
      </w:r>
      <w:r>
        <w:rPr>
          <w:rStyle w:val="Heading1Char"/>
        </w:rPr>
        <w:t>from ESC</w:t>
      </w:r>
    </w:p>
    <w:p w14:paraId="23C1E235" w14:textId="3F33A597" w:rsidR="00D91C2B" w:rsidRPr="00744C2E" w:rsidRDefault="00D91C2B" w:rsidP="00524A83">
      <w:pPr>
        <w:numPr>
          <w:ilvl w:val="0"/>
          <w:numId w:val="1"/>
        </w:numPr>
        <w:tabs>
          <w:tab w:val="left" w:pos="720"/>
          <w:tab w:val="left" w:pos="1140"/>
        </w:tabs>
        <w:rPr>
          <w:szCs w:val="24"/>
          <w:u w:val="single"/>
        </w:rPr>
      </w:pPr>
      <w:r w:rsidRPr="00744C2E">
        <w:rPr>
          <w:szCs w:val="24"/>
          <w:u w:val="single"/>
        </w:rPr>
        <w:t>Main issues around the proposed eligible population for public funding and/or the proposed main comparator</w:t>
      </w:r>
    </w:p>
    <w:p w14:paraId="600FC313" w14:textId="77777777" w:rsidR="00D91C2B" w:rsidRPr="00313414" w:rsidRDefault="00D91C2B" w:rsidP="00524A83">
      <w:pPr>
        <w:rPr>
          <w:i/>
          <w:szCs w:val="24"/>
        </w:rPr>
      </w:pPr>
      <w:r w:rsidRPr="00313414">
        <w:rPr>
          <w:i/>
          <w:szCs w:val="24"/>
        </w:rPr>
        <w:t>Amendment 1</w:t>
      </w:r>
    </w:p>
    <w:p w14:paraId="57BB961A" w14:textId="77777777" w:rsidR="00D91C2B" w:rsidRPr="00744C2E" w:rsidRDefault="00D91C2B" w:rsidP="00D91C2B">
      <w:pPr>
        <w:spacing w:before="120"/>
        <w:rPr>
          <w:szCs w:val="24"/>
        </w:rPr>
      </w:pPr>
      <w:r w:rsidRPr="00744C2E">
        <w:rPr>
          <w:szCs w:val="24"/>
        </w:rPr>
        <w:t>The ESC did not have an issue with the population or comparator for amendment 1.</w:t>
      </w:r>
    </w:p>
    <w:p w14:paraId="416824C9" w14:textId="77777777" w:rsidR="00313414" w:rsidRDefault="00313414" w:rsidP="00D91C2B">
      <w:pPr>
        <w:spacing w:before="120"/>
        <w:rPr>
          <w:i/>
          <w:szCs w:val="24"/>
        </w:rPr>
      </w:pPr>
    </w:p>
    <w:p w14:paraId="527A5A5B" w14:textId="77777777" w:rsidR="00D91C2B" w:rsidRPr="00313414" w:rsidRDefault="00D91C2B" w:rsidP="00D91C2B">
      <w:pPr>
        <w:spacing w:before="120"/>
        <w:rPr>
          <w:i/>
          <w:szCs w:val="24"/>
        </w:rPr>
      </w:pPr>
      <w:r w:rsidRPr="00313414">
        <w:rPr>
          <w:i/>
          <w:szCs w:val="24"/>
        </w:rPr>
        <w:t>Amendment 2</w:t>
      </w:r>
    </w:p>
    <w:p w14:paraId="3AE93903" w14:textId="77777777" w:rsidR="00D91C2B" w:rsidRPr="00744C2E" w:rsidRDefault="00D91C2B" w:rsidP="00D91C2B">
      <w:pPr>
        <w:spacing w:before="120"/>
        <w:rPr>
          <w:szCs w:val="24"/>
        </w:rPr>
      </w:pPr>
      <w:r w:rsidRPr="00744C2E">
        <w:rPr>
          <w:szCs w:val="24"/>
        </w:rPr>
        <w:t>ESC considered if the removal of the ‘six month’ rule would lead to an expansion in the market for CE. However, ESC noted that alternatively the proposed amendment may decrease the number of procedures. ESC suggested that the treating medical specialist may be more inclined to watch and wait if the time pressure of the ‘six month’ rule for endoscopy and colonoscopy was removed.</w:t>
      </w:r>
    </w:p>
    <w:p w14:paraId="203D0DC5" w14:textId="77777777" w:rsidR="00D91C2B" w:rsidRPr="00744C2E" w:rsidRDefault="00D91C2B" w:rsidP="00D91C2B">
      <w:pPr>
        <w:spacing w:before="120"/>
        <w:rPr>
          <w:szCs w:val="24"/>
        </w:rPr>
      </w:pPr>
      <w:r w:rsidRPr="00744C2E">
        <w:rPr>
          <w:szCs w:val="24"/>
        </w:rPr>
        <w:t>ESC considered and accepted that double balloon enteroscopy (DBE) was not a comparator for CE due to the much higher technical difficulty and greater adverse events associated with DBE.</w:t>
      </w:r>
    </w:p>
    <w:p w14:paraId="614604B3" w14:textId="3B646DF2" w:rsidR="00D91C2B" w:rsidRPr="00744C2E" w:rsidRDefault="00D91C2B" w:rsidP="0070792A">
      <w:pPr>
        <w:numPr>
          <w:ilvl w:val="0"/>
          <w:numId w:val="1"/>
        </w:numPr>
        <w:tabs>
          <w:tab w:val="left" w:pos="720"/>
          <w:tab w:val="left" w:pos="1140"/>
        </w:tabs>
        <w:spacing w:before="120"/>
        <w:rPr>
          <w:szCs w:val="24"/>
          <w:u w:val="single"/>
        </w:rPr>
      </w:pPr>
      <w:r w:rsidRPr="00744C2E">
        <w:rPr>
          <w:szCs w:val="24"/>
          <w:u w:val="single"/>
        </w:rPr>
        <w:t>Main issues around the evidence and conclusions for safety</w:t>
      </w:r>
    </w:p>
    <w:p w14:paraId="562F2177" w14:textId="77777777" w:rsidR="00D91C2B" w:rsidRPr="00313414" w:rsidRDefault="00D91C2B" w:rsidP="00D91C2B">
      <w:pPr>
        <w:spacing w:before="120"/>
        <w:rPr>
          <w:i/>
          <w:szCs w:val="24"/>
        </w:rPr>
      </w:pPr>
      <w:r w:rsidRPr="00313414">
        <w:rPr>
          <w:i/>
          <w:szCs w:val="24"/>
        </w:rPr>
        <w:t>Amendment 1</w:t>
      </w:r>
    </w:p>
    <w:p w14:paraId="6923B549" w14:textId="77777777" w:rsidR="00D91C2B" w:rsidRPr="00744C2E" w:rsidRDefault="00D91C2B" w:rsidP="00D91C2B">
      <w:pPr>
        <w:spacing w:before="120"/>
        <w:rPr>
          <w:szCs w:val="24"/>
        </w:rPr>
      </w:pPr>
      <w:r w:rsidRPr="00744C2E">
        <w:rPr>
          <w:szCs w:val="24"/>
        </w:rPr>
        <w:t xml:space="preserve">ESC considered the impact on safety and costs associated with the increased proportion of patients in the 2 – 9 year age group who would require endoscopic placement of the capsule. The </w:t>
      </w:r>
      <w:proofErr w:type="spellStart"/>
      <w:r w:rsidRPr="00744C2E">
        <w:rPr>
          <w:szCs w:val="24"/>
        </w:rPr>
        <w:t>Fritscher</w:t>
      </w:r>
      <w:proofErr w:type="spellEnd"/>
      <w:r w:rsidRPr="00744C2E">
        <w:rPr>
          <w:szCs w:val="24"/>
        </w:rPr>
        <w:t>-Ravens article notes that 76% of patients in this age group require endoscopic placement. ESC accepted that patients in this age group are likely to be having capsule placement concurrently with other procedures. Additionally, the applicant estimates that there would only be a maximum of 26 CE procedures in this age group per annum.</w:t>
      </w:r>
    </w:p>
    <w:p w14:paraId="19EE904E" w14:textId="77777777" w:rsidR="00D91C2B" w:rsidRPr="00744C2E" w:rsidRDefault="00D91C2B" w:rsidP="00D91C2B">
      <w:pPr>
        <w:spacing w:before="120"/>
        <w:rPr>
          <w:szCs w:val="24"/>
        </w:rPr>
      </w:pPr>
      <w:r w:rsidRPr="00744C2E">
        <w:rPr>
          <w:szCs w:val="24"/>
        </w:rPr>
        <w:t>ESC accepted that there was sufficient evidence that it was safe to use in the proposed 2 - 9 year age group. However, ESC noted that it is not clear whether a systematic literature search was performed, and there were only seven peer reviewed studies among the evidence, with an additional study identified following the critique of the SBA report.</w:t>
      </w:r>
    </w:p>
    <w:p w14:paraId="7022D18E" w14:textId="77777777" w:rsidR="00D91C2B" w:rsidRPr="00313414" w:rsidRDefault="00D91C2B" w:rsidP="00D91C2B">
      <w:pPr>
        <w:spacing w:before="120"/>
        <w:rPr>
          <w:i/>
          <w:szCs w:val="24"/>
        </w:rPr>
      </w:pPr>
      <w:r w:rsidRPr="00313414">
        <w:rPr>
          <w:i/>
          <w:szCs w:val="24"/>
        </w:rPr>
        <w:t>Amendment 2</w:t>
      </w:r>
    </w:p>
    <w:p w14:paraId="02CE30E5" w14:textId="16DAB076" w:rsidR="00D91C2B" w:rsidRPr="00744C2E" w:rsidRDefault="00D91C2B" w:rsidP="00D91C2B">
      <w:pPr>
        <w:spacing w:before="120"/>
        <w:rPr>
          <w:szCs w:val="24"/>
        </w:rPr>
      </w:pPr>
      <w:r w:rsidRPr="00744C2E">
        <w:rPr>
          <w:szCs w:val="24"/>
        </w:rPr>
        <w:lastRenderedPageBreak/>
        <w:t>ESC discussed the clinical rationale for the ‘six month’ rule and concluded that CE is a safe practice. The treating medical specialist will make a judgement call as to whether the procedure is required. ESC noted that younger patients may not require repeat endoscopies or colonoscopies.</w:t>
      </w:r>
    </w:p>
    <w:p w14:paraId="3B3681DB" w14:textId="77777777" w:rsidR="00D91C2B" w:rsidRPr="00744C2E" w:rsidRDefault="00D91C2B" w:rsidP="00D91C2B">
      <w:pPr>
        <w:spacing w:before="120"/>
        <w:rPr>
          <w:szCs w:val="24"/>
        </w:rPr>
      </w:pPr>
      <w:r w:rsidRPr="00744C2E">
        <w:rPr>
          <w:szCs w:val="24"/>
        </w:rPr>
        <w:t>ESC also noted that the use of MBS item 11820 has been substantially greater than predicted in 2003 and that this may be associated with an increased rate of complications with repeat colonoscopy and endoscopy, for example GI perforation, GI haemorrhage or death.</w:t>
      </w:r>
    </w:p>
    <w:p w14:paraId="35207F09" w14:textId="5EB066A6" w:rsidR="00D91C2B" w:rsidRPr="00744C2E" w:rsidRDefault="00D91C2B" w:rsidP="0070792A">
      <w:pPr>
        <w:numPr>
          <w:ilvl w:val="0"/>
          <w:numId w:val="1"/>
        </w:numPr>
        <w:tabs>
          <w:tab w:val="left" w:pos="720"/>
          <w:tab w:val="left" w:pos="1140"/>
        </w:tabs>
        <w:spacing w:before="120"/>
        <w:rPr>
          <w:szCs w:val="24"/>
          <w:u w:val="single"/>
        </w:rPr>
      </w:pPr>
      <w:r w:rsidRPr="00744C2E">
        <w:rPr>
          <w:szCs w:val="24"/>
          <w:u w:val="single"/>
        </w:rPr>
        <w:t>Main issues around the evidence and conclusions for clinical effectiveness</w:t>
      </w:r>
    </w:p>
    <w:p w14:paraId="3AB649E5" w14:textId="77777777" w:rsidR="00D91C2B" w:rsidRPr="00744C2E" w:rsidRDefault="00D91C2B" w:rsidP="00D91C2B">
      <w:pPr>
        <w:spacing w:before="120"/>
        <w:rPr>
          <w:szCs w:val="24"/>
        </w:rPr>
      </w:pPr>
      <w:r w:rsidRPr="00744C2E">
        <w:rPr>
          <w:szCs w:val="24"/>
        </w:rPr>
        <w:t xml:space="preserve">For both of the proposed amendments, </w:t>
      </w:r>
      <w:r w:rsidRPr="00744C2E">
        <w:t>ESC noted that as only diagnostic yield is reported, the diagnostic accuracy of CE is unknown i.e. a finding may be a false negative or false positive. ESC also noted the reliance on diagnostic yield as the main outcome of CE in the MBS listing of CE in 2003.</w:t>
      </w:r>
    </w:p>
    <w:p w14:paraId="7E3DB6EC" w14:textId="77777777" w:rsidR="00D91C2B" w:rsidRPr="00744C2E" w:rsidRDefault="00D91C2B" w:rsidP="00D91C2B">
      <w:pPr>
        <w:spacing w:before="120"/>
      </w:pPr>
      <w:r w:rsidRPr="00744C2E">
        <w:rPr>
          <w:szCs w:val="24"/>
        </w:rPr>
        <w:t xml:space="preserve">For Amendment 1, </w:t>
      </w:r>
      <w:r w:rsidRPr="00744C2E">
        <w:t xml:space="preserve">ESC accepted that the evidence indicated that CE has a superior diagnostic yield to SBS for the 2 – 9 year age group. </w:t>
      </w:r>
    </w:p>
    <w:p w14:paraId="209F68AF" w14:textId="305EC898" w:rsidR="00D91C2B" w:rsidRPr="00744C2E" w:rsidRDefault="00D91C2B" w:rsidP="0070792A">
      <w:pPr>
        <w:numPr>
          <w:ilvl w:val="0"/>
          <w:numId w:val="1"/>
        </w:numPr>
        <w:tabs>
          <w:tab w:val="left" w:pos="720"/>
          <w:tab w:val="left" w:pos="1140"/>
        </w:tabs>
        <w:spacing w:before="120"/>
        <w:rPr>
          <w:u w:val="single"/>
        </w:rPr>
      </w:pPr>
      <w:r w:rsidRPr="00744C2E">
        <w:rPr>
          <w:u w:val="single"/>
        </w:rPr>
        <w:t>Other important clinical issues and areas of clinical uncertainty</w:t>
      </w:r>
    </w:p>
    <w:p w14:paraId="1E7FB940" w14:textId="77777777" w:rsidR="00D91C2B" w:rsidRPr="00744C2E" w:rsidRDefault="00D91C2B" w:rsidP="00D91C2B">
      <w:pPr>
        <w:tabs>
          <w:tab w:val="left" w:pos="720"/>
        </w:tabs>
        <w:spacing w:before="120"/>
        <w:rPr>
          <w:szCs w:val="24"/>
        </w:rPr>
      </w:pPr>
      <w:r w:rsidRPr="00744C2E">
        <w:rPr>
          <w:szCs w:val="24"/>
        </w:rPr>
        <w:t>ESC requested that the clinical rationale for the ‘six month’ rule be revisited and the reasoning as to why the ‘six month’ rule was originally included in the MBS item descriptor be presented to MSAC. ESC also requested that the GESA colonoscopy guidelines be provided to MSAC.</w:t>
      </w:r>
    </w:p>
    <w:p w14:paraId="24F27E27" w14:textId="3F424456" w:rsidR="00D91C2B" w:rsidRPr="00744C2E" w:rsidRDefault="00D91C2B" w:rsidP="0070792A">
      <w:pPr>
        <w:numPr>
          <w:ilvl w:val="0"/>
          <w:numId w:val="1"/>
        </w:numPr>
        <w:tabs>
          <w:tab w:val="left" w:pos="720"/>
        </w:tabs>
        <w:spacing w:before="120"/>
        <w:rPr>
          <w:szCs w:val="24"/>
          <w:u w:val="single"/>
        </w:rPr>
      </w:pPr>
      <w:r w:rsidRPr="00744C2E">
        <w:rPr>
          <w:szCs w:val="24"/>
          <w:u w:val="single"/>
        </w:rPr>
        <w:t>Main economic issues and areas of uncertainty</w:t>
      </w:r>
    </w:p>
    <w:p w14:paraId="05DE76F6" w14:textId="5568D39B" w:rsidR="00D91C2B" w:rsidRPr="00744C2E" w:rsidRDefault="00D91C2B" w:rsidP="00D91C2B">
      <w:pPr>
        <w:spacing w:before="120"/>
        <w:rPr>
          <w:szCs w:val="24"/>
        </w:rPr>
      </w:pPr>
      <w:r w:rsidRPr="00744C2E">
        <w:rPr>
          <w:szCs w:val="24"/>
        </w:rPr>
        <w:t>ESC noted that the estimated costs and financial impact of the proposed amendments have been calculated based on the full Schedule fee for MBS item 11820.  While Medicare safety net impacts have not been analysed, ESC noted that over 70% of services provided under this item are bulk-billed and the average out-</w:t>
      </w:r>
      <w:r w:rsidR="00083754">
        <w:rPr>
          <w:szCs w:val="24"/>
        </w:rPr>
        <w:t>of-</w:t>
      </w:r>
      <w:r w:rsidRPr="00744C2E">
        <w:rPr>
          <w:szCs w:val="24"/>
        </w:rPr>
        <w:t>pocket expense per service is $141.26 This suggests that Medicare safety net impacts are unlikely to be large.</w:t>
      </w:r>
    </w:p>
    <w:p w14:paraId="42867836" w14:textId="77777777" w:rsidR="00D91C2B" w:rsidRPr="00744C2E" w:rsidRDefault="00D91C2B" w:rsidP="00D91C2B">
      <w:pPr>
        <w:spacing w:before="120"/>
        <w:rPr>
          <w:szCs w:val="24"/>
        </w:rPr>
      </w:pPr>
      <w:r w:rsidRPr="00744C2E">
        <w:rPr>
          <w:szCs w:val="24"/>
        </w:rPr>
        <w:t>The following tables provide an estimate of the MBS cost associated with the proposed amendments.</w:t>
      </w:r>
    </w:p>
    <w:p w14:paraId="3BBE75FA" w14:textId="77777777" w:rsidR="00D91C2B" w:rsidRPr="00313414" w:rsidRDefault="00D91C2B" w:rsidP="00D91C2B">
      <w:pPr>
        <w:spacing w:before="120"/>
        <w:rPr>
          <w:i/>
          <w:szCs w:val="24"/>
        </w:rPr>
      </w:pPr>
      <w:r w:rsidRPr="00313414">
        <w:rPr>
          <w:i/>
          <w:szCs w:val="24"/>
        </w:rPr>
        <w:t>Amendment 1</w:t>
      </w:r>
    </w:p>
    <w:p w14:paraId="14C0C0CE" w14:textId="318AC617" w:rsidR="00D91C2B" w:rsidRPr="00744C2E" w:rsidRDefault="00D91C2B" w:rsidP="00D91C2B">
      <w:pPr>
        <w:tabs>
          <w:tab w:val="left" w:pos="720"/>
        </w:tabs>
        <w:spacing w:before="120"/>
        <w:rPr>
          <w:szCs w:val="24"/>
        </w:rPr>
      </w:pPr>
      <w:r w:rsidRPr="00744C2E">
        <w:rPr>
          <w:szCs w:val="24"/>
        </w:rPr>
        <w:t xml:space="preserve">ESC noted that the cost of anaesthesia in the 2-9 </w:t>
      </w:r>
      <w:r w:rsidR="00083754">
        <w:rPr>
          <w:szCs w:val="24"/>
        </w:rPr>
        <w:t xml:space="preserve">year </w:t>
      </w:r>
      <w:r w:rsidRPr="00744C2E">
        <w:rPr>
          <w:szCs w:val="24"/>
        </w:rPr>
        <w:t>population had not been included in the estimated costs and financial impact. According to the applicant, the extension of CE for OGIB in this population will result in an additional 26 services per year. It is estimated that 76% (20 patients) will require endoscopic placement.</w:t>
      </w:r>
    </w:p>
    <w:p w14:paraId="41B14F2A" w14:textId="77777777" w:rsidR="00D91C2B" w:rsidRPr="00744C2E" w:rsidRDefault="00D91C2B" w:rsidP="00D91C2B">
      <w:pPr>
        <w:rPr>
          <w:color w:val="000000"/>
          <w:sz w:val="22"/>
          <w:szCs w:val="22"/>
        </w:rPr>
      </w:pPr>
    </w:p>
    <w:p w14:paraId="4A36DE2A" w14:textId="77777777" w:rsidR="00D91C2B" w:rsidRDefault="00D91C2B" w:rsidP="00E70677">
      <w:pPr>
        <w:pStyle w:val="Heading2"/>
      </w:pPr>
      <w:proofErr w:type="gramStart"/>
      <w:r>
        <w:t>Table 8.</w:t>
      </w:r>
      <w:proofErr w:type="gramEnd"/>
      <w:r>
        <w:t xml:space="preserve"> CE</w:t>
      </w:r>
      <w:r w:rsidRPr="00F84837">
        <w:t xml:space="preserve"> - Total Expenditure </w:t>
      </w:r>
      <w:r>
        <w:t>–</w:t>
      </w:r>
      <w:r w:rsidRPr="00F84837">
        <w:t xml:space="preserve"> </w:t>
      </w:r>
      <w:r>
        <w:t xml:space="preserve">2012/2013 - </w:t>
      </w:r>
      <w:r w:rsidRPr="00F84837">
        <w:t>Amendment 1</w:t>
      </w:r>
    </w:p>
    <w:p w14:paraId="5A701F16" w14:textId="77777777" w:rsidR="00E70A5E" w:rsidRDefault="00E70A5E" w:rsidP="00D91C2B">
      <w:pPr>
        <w:rPr>
          <w:rFonts w:ascii="Calibri" w:hAnsi="Calibri" w:cs="Calibri"/>
          <w:color w:val="000000"/>
          <w:sz w:val="22"/>
          <w:szCs w:val="22"/>
        </w:rPr>
      </w:pPr>
    </w:p>
    <w:p w14:paraId="1A657439" w14:textId="6BE54C64" w:rsidR="00E70A5E" w:rsidRPr="007F0A24" w:rsidRDefault="00E70A5E" w:rsidP="00D91C2B">
      <w:pPr>
        <w:rPr>
          <w:rFonts w:ascii="Calibri" w:hAnsi="Calibri" w:cs="Calibri"/>
          <w:color w:val="000000"/>
          <w:sz w:val="22"/>
          <w:szCs w:val="22"/>
        </w:rPr>
      </w:pPr>
      <w:r>
        <w:rPr>
          <w:rFonts w:ascii="Calibri" w:hAnsi="Calibri" w:cs="Calibri"/>
          <w:b/>
          <w:bCs/>
          <w:color w:val="000000"/>
          <w:sz w:val="22"/>
          <w:szCs w:val="22"/>
        </w:rPr>
        <w:t>CE</w:t>
      </w:r>
      <w:r w:rsidRPr="00BD6400">
        <w:rPr>
          <w:rFonts w:ascii="Calibri" w:hAnsi="Calibri" w:cs="Calibri"/>
          <w:b/>
          <w:bCs/>
          <w:color w:val="000000"/>
          <w:sz w:val="22"/>
          <w:szCs w:val="22"/>
        </w:rPr>
        <w:t xml:space="preserve"> with Endoscopic Placement</w:t>
      </w:r>
      <w:r>
        <w:rPr>
          <w:rFonts w:ascii="Calibri" w:hAnsi="Calibri" w:cs="Calibri"/>
          <w:b/>
          <w:bCs/>
          <w:color w:val="000000"/>
          <w:sz w:val="22"/>
          <w:szCs w:val="22"/>
        </w:rPr>
        <w:t xml:space="preserve"> </w:t>
      </w:r>
      <w:r w:rsidRPr="00BD3848">
        <w:rPr>
          <w:rFonts w:ascii="Calibri" w:hAnsi="Calibri" w:cs="Calibri"/>
          <w:b/>
          <w:bCs/>
          <w:color w:val="000000"/>
          <w:sz w:val="22"/>
          <w:szCs w:val="22"/>
        </w:rPr>
        <w:t>($’000)</w:t>
      </w:r>
    </w:p>
    <w:tbl>
      <w:tblPr>
        <w:tblW w:w="5685" w:type="dxa"/>
        <w:tblInd w:w="93" w:type="dxa"/>
        <w:tblLook w:val="04A0" w:firstRow="1" w:lastRow="0" w:firstColumn="1" w:lastColumn="0" w:noHBand="0" w:noVBand="1"/>
      </w:tblPr>
      <w:tblGrid>
        <w:gridCol w:w="2289"/>
        <w:gridCol w:w="3396"/>
      </w:tblGrid>
      <w:tr w:rsidR="00D91C2B" w:rsidRPr="00BD6400" w14:paraId="4890EEFF" w14:textId="77777777" w:rsidTr="00E70A5E">
        <w:trPr>
          <w:trHeight w:val="300"/>
        </w:trPr>
        <w:tc>
          <w:tcPr>
            <w:tcW w:w="5685" w:type="dxa"/>
            <w:gridSpan w:val="2"/>
            <w:tcBorders>
              <w:top w:val="single" w:sz="4" w:space="0" w:color="auto"/>
              <w:left w:val="single" w:sz="4" w:space="0" w:color="auto"/>
              <w:bottom w:val="single" w:sz="4" w:space="0" w:color="000000"/>
              <w:right w:val="single" w:sz="4" w:space="0" w:color="000000"/>
            </w:tcBorders>
            <w:vAlign w:val="center"/>
            <w:hideMark/>
          </w:tcPr>
          <w:p w14:paraId="75D35C82" w14:textId="77777777" w:rsidR="00D91C2B" w:rsidRPr="00BD6400" w:rsidRDefault="00D91C2B" w:rsidP="00BF3E55">
            <w:pPr>
              <w:rPr>
                <w:rFonts w:ascii="Calibri" w:hAnsi="Calibri" w:cs="Calibri"/>
                <w:b/>
                <w:bCs/>
                <w:color w:val="000000"/>
                <w:sz w:val="22"/>
                <w:szCs w:val="22"/>
              </w:rPr>
            </w:pPr>
          </w:p>
        </w:tc>
      </w:tr>
      <w:tr w:rsidR="00D91C2B" w:rsidRPr="00BD6400" w14:paraId="2A955561" w14:textId="77777777" w:rsidTr="00E70A5E">
        <w:trPr>
          <w:trHeight w:val="300"/>
        </w:trPr>
        <w:tc>
          <w:tcPr>
            <w:tcW w:w="2289" w:type="dxa"/>
            <w:tcBorders>
              <w:top w:val="nil"/>
              <w:left w:val="single" w:sz="4" w:space="0" w:color="auto"/>
              <w:bottom w:val="single" w:sz="4" w:space="0" w:color="auto"/>
              <w:right w:val="single" w:sz="4" w:space="0" w:color="auto"/>
            </w:tcBorders>
            <w:shd w:val="clear" w:color="000000" w:fill="DCE6F1"/>
            <w:noWrap/>
            <w:vAlign w:val="bottom"/>
            <w:hideMark/>
          </w:tcPr>
          <w:p w14:paraId="7B2D8B91" w14:textId="77777777" w:rsidR="00D91C2B" w:rsidRPr="00BD6400" w:rsidRDefault="00D91C2B" w:rsidP="00BF3E55">
            <w:pPr>
              <w:rPr>
                <w:rFonts w:ascii="Calibri" w:hAnsi="Calibri" w:cs="Calibri"/>
                <w:color w:val="000000"/>
                <w:sz w:val="22"/>
                <w:szCs w:val="22"/>
              </w:rPr>
            </w:pPr>
            <w:r w:rsidRPr="00BD6400">
              <w:rPr>
                <w:rFonts w:ascii="Calibri" w:hAnsi="Calibri" w:cs="Calibri"/>
                <w:color w:val="000000"/>
                <w:sz w:val="22"/>
                <w:szCs w:val="22"/>
              </w:rPr>
              <w:t>Cost</w:t>
            </w:r>
          </w:p>
        </w:tc>
        <w:tc>
          <w:tcPr>
            <w:tcW w:w="3396" w:type="dxa"/>
            <w:tcBorders>
              <w:top w:val="nil"/>
              <w:left w:val="nil"/>
              <w:bottom w:val="single" w:sz="4" w:space="0" w:color="auto"/>
              <w:right w:val="single" w:sz="4" w:space="0" w:color="auto"/>
            </w:tcBorders>
            <w:shd w:val="clear" w:color="auto" w:fill="auto"/>
            <w:noWrap/>
            <w:vAlign w:val="bottom"/>
            <w:hideMark/>
          </w:tcPr>
          <w:p w14:paraId="1D503F33" w14:textId="77777777" w:rsidR="00D91C2B" w:rsidRPr="00BD6400" w:rsidRDefault="00D91C2B" w:rsidP="00BF3E55">
            <w:pPr>
              <w:rPr>
                <w:rFonts w:ascii="Calibri" w:hAnsi="Calibri" w:cs="Calibri"/>
                <w:color w:val="000000"/>
                <w:sz w:val="22"/>
                <w:szCs w:val="22"/>
              </w:rPr>
            </w:pPr>
            <w:r>
              <w:rPr>
                <w:rFonts w:ascii="Calibri" w:hAnsi="Calibri" w:cs="Calibri"/>
                <w:color w:val="000000"/>
                <w:sz w:val="22"/>
                <w:szCs w:val="22"/>
              </w:rPr>
              <w:t xml:space="preserve">   44</w:t>
            </w:r>
            <w:r w:rsidRPr="00BD6400">
              <w:rPr>
                <w:rFonts w:ascii="Calibri" w:hAnsi="Calibri" w:cs="Calibri"/>
                <w:color w:val="000000"/>
                <w:sz w:val="22"/>
                <w:szCs w:val="22"/>
              </w:rPr>
              <w:t>.</w:t>
            </w:r>
            <w:r>
              <w:rPr>
                <w:rFonts w:ascii="Calibri" w:hAnsi="Calibri" w:cs="Calibri"/>
                <w:color w:val="000000"/>
                <w:sz w:val="22"/>
                <w:szCs w:val="22"/>
              </w:rPr>
              <w:t>3</w:t>
            </w:r>
            <w:r w:rsidRPr="00BD6400">
              <w:rPr>
                <w:rFonts w:ascii="Calibri" w:hAnsi="Calibri" w:cs="Calibri"/>
                <w:color w:val="000000"/>
                <w:sz w:val="22"/>
                <w:szCs w:val="22"/>
              </w:rPr>
              <w:t xml:space="preserve"> </w:t>
            </w:r>
          </w:p>
        </w:tc>
      </w:tr>
      <w:tr w:rsidR="00D91C2B" w:rsidRPr="00BD6400" w14:paraId="1D20372D" w14:textId="77777777" w:rsidTr="00E70A5E">
        <w:trPr>
          <w:trHeight w:val="300"/>
        </w:trPr>
        <w:tc>
          <w:tcPr>
            <w:tcW w:w="5685" w:type="dxa"/>
            <w:gridSpan w:val="2"/>
            <w:vMerge w:val="restart"/>
            <w:tcBorders>
              <w:top w:val="single" w:sz="4" w:space="0" w:color="auto"/>
              <w:left w:val="single" w:sz="4" w:space="0" w:color="auto"/>
              <w:bottom w:val="single" w:sz="4" w:space="0" w:color="000000"/>
              <w:right w:val="single" w:sz="4" w:space="0" w:color="000000"/>
            </w:tcBorders>
            <w:shd w:val="clear" w:color="000000" w:fill="DCE6F1"/>
            <w:vAlign w:val="bottom"/>
            <w:hideMark/>
          </w:tcPr>
          <w:p w14:paraId="3DF93983" w14:textId="77777777" w:rsidR="00D91C2B" w:rsidRPr="00BD6400" w:rsidRDefault="00D91C2B" w:rsidP="00BF3E55">
            <w:pPr>
              <w:jc w:val="center"/>
              <w:rPr>
                <w:rFonts w:ascii="Calibri" w:hAnsi="Calibri" w:cs="Calibri"/>
                <w:b/>
                <w:bCs/>
                <w:color w:val="000000"/>
                <w:sz w:val="22"/>
                <w:szCs w:val="22"/>
              </w:rPr>
            </w:pPr>
            <w:r>
              <w:rPr>
                <w:rFonts w:ascii="Calibri" w:hAnsi="Calibri" w:cs="Calibri"/>
                <w:b/>
                <w:bCs/>
                <w:color w:val="000000"/>
                <w:sz w:val="22"/>
                <w:szCs w:val="22"/>
              </w:rPr>
              <w:t>CE</w:t>
            </w:r>
            <w:r w:rsidRPr="00BD6400">
              <w:rPr>
                <w:rFonts w:ascii="Calibri" w:hAnsi="Calibri" w:cs="Calibri"/>
                <w:b/>
                <w:bCs/>
                <w:color w:val="000000"/>
                <w:sz w:val="22"/>
                <w:szCs w:val="22"/>
              </w:rPr>
              <w:t xml:space="preserve"> without Endoscopic Placement</w:t>
            </w:r>
            <w:r>
              <w:rPr>
                <w:rFonts w:ascii="Calibri" w:hAnsi="Calibri" w:cs="Calibri"/>
                <w:b/>
                <w:bCs/>
                <w:color w:val="000000"/>
                <w:sz w:val="22"/>
                <w:szCs w:val="22"/>
              </w:rPr>
              <w:t xml:space="preserve"> </w:t>
            </w:r>
            <w:r w:rsidRPr="00BD3848">
              <w:rPr>
                <w:rFonts w:ascii="Calibri" w:hAnsi="Calibri" w:cs="Calibri"/>
                <w:b/>
                <w:bCs/>
                <w:color w:val="000000"/>
                <w:sz w:val="22"/>
                <w:szCs w:val="22"/>
              </w:rPr>
              <w:t>($’000)</w:t>
            </w:r>
          </w:p>
        </w:tc>
      </w:tr>
      <w:tr w:rsidR="00D91C2B" w:rsidRPr="00BD6400" w14:paraId="04AF0368" w14:textId="77777777" w:rsidTr="00E70A5E">
        <w:trPr>
          <w:trHeight w:val="300"/>
        </w:trPr>
        <w:tc>
          <w:tcPr>
            <w:tcW w:w="5685" w:type="dxa"/>
            <w:gridSpan w:val="2"/>
            <w:vMerge/>
            <w:tcBorders>
              <w:top w:val="single" w:sz="4" w:space="0" w:color="auto"/>
              <w:left w:val="single" w:sz="4" w:space="0" w:color="auto"/>
              <w:bottom w:val="single" w:sz="4" w:space="0" w:color="000000"/>
              <w:right w:val="single" w:sz="4" w:space="0" w:color="000000"/>
            </w:tcBorders>
            <w:vAlign w:val="center"/>
            <w:hideMark/>
          </w:tcPr>
          <w:p w14:paraId="77F171FE" w14:textId="77777777" w:rsidR="00D91C2B" w:rsidRPr="00BD6400" w:rsidRDefault="00D91C2B" w:rsidP="00BF3E55">
            <w:pPr>
              <w:rPr>
                <w:rFonts w:ascii="Calibri" w:hAnsi="Calibri" w:cs="Calibri"/>
                <w:b/>
                <w:bCs/>
                <w:color w:val="000000"/>
                <w:sz w:val="22"/>
                <w:szCs w:val="22"/>
              </w:rPr>
            </w:pPr>
          </w:p>
        </w:tc>
      </w:tr>
      <w:tr w:rsidR="00D91C2B" w:rsidRPr="00BD6400" w14:paraId="32B78250" w14:textId="77777777" w:rsidTr="00E70A5E">
        <w:trPr>
          <w:trHeight w:val="300"/>
        </w:trPr>
        <w:tc>
          <w:tcPr>
            <w:tcW w:w="2289" w:type="dxa"/>
            <w:tcBorders>
              <w:top w:val="nil"/>
              <w:left w:val="single" w:sz="4" w:space="0" w:color="auto"/>
              <w:bottom w:val="single" w:sz="4" w:space="0" w:color="auto"/>
              <w:right w:val="single" w:sz="4" w:space="0" w:color="auto"/>
            </w:tcBorders>
            <w:shd w:val="clear" w:color="000000" w:fill="DCE6F1"/>
            <w:noWrap/>
            <w:vAlign w:val="bottom"/>
            <w:hideMark/>
          </w:tcPr>
          <w:p w14:paraId="49225012" w14:textId="77777777" w:rsidR="00D91C2B" w:rsidRPr="00BD6400" w:rsidRDefault="00D91C2B" w:rsidP="00BF3E55">
            <w:pPr>
              <w:rPr>
                <w:rFonts w:ascii="Calibri" w:hAnsi="Calibri" w:cs="Calibri"/>
                <w:color w:val="000000"/>
                <w:sz w:val="22"/>
                <w:szCs w:val="22"/>
              </w:rPr>
            </w:pPr>
            <w:r>
              <w:rPr>
                <w:rFonts w:ascii="Calibri" w:hAnsi="Calibri" w:cs="Calibri"/>
                <w:color w:val="000000"/>
                <w:sz w:val="22"/>
                <w:szCs w:val="22"/>
              </w:rPr>
              <w:t>CE</w:t>
            </w:r>
          </w:p>
        </w:tc>
        <w:tc>
          <w:tcPr>
            <w:tcW w:w="3396" w:type="dxa"/>
            <w:tcBorders>
              <w:top w:val="nil"/>
              <w:left w:val="nil"/>
              <w:bottom w:val="single" w:sz="4" w:space="0" w:color="auto"/>
              <w:right w:val="single" w:sz="4" w:space="0" w:color="auto"/>
            </w:tcBorders>
            <w:shd w:val="clear" w:color="auto" w:fill="auto"/>
            <w:noWrap/>
            <w:vAlign w:val="bottom"/>
            <w:hideMark/>
          </w:tcPr>
          <w:p w14:paraId="4466B195" w14:textId="77777777" w:rsidR="00D91C2B" w:rsidRPr="00BD6400" w:rsidRDefault="00D91C2B" w:rsidP="00BF3E55">
            <w:pPr>
              <w:rPr>
                <w:rFonts w:ascii="Calibri" w:hAnsi="Calibri" w:cs="Calibri"/>
                <w:color w:val="000000"/>
                <w:sz w:val="22"/>
                <w:szCs w:val="22"/>
              </w:rPr>
            </w:pPr>
            <w:r>
              <w:rPr>
                <w:rFonts w:ascii="Calibri" w:hAnsi="Calibri" w:cs="Calibri"/>
                <w:color w:val="000000"/>
                <w:sz w:val="22"/>
                <w:szCs w:val="22"/>
              </w:rPr>
              <w:t xml:space="preserve">   11</w:t>
            </w:r>
            <w:r w:rsidRPr="00BD6400">
              <w:rPr>
                <w:rFonts w:ascii="Calibri" w:hAnsi="Calibri" w:cs="Calibri"/>
                <w:color w:val="000000"/>
                <w:sz w:val="22"/>
                <w:szCs w:val="22"/>
              </w:rPr>
              <w:t>.</w:t>
            </w:r>
            <w:r>
              <w:rPr>
                <w:rFonts w:ascii="Calibri" w:hAnsi="Calibri" w:cs="Calibri"/>
                <w:color w:val="000000"/>
                <w:sz w:val="22"/>
                <w:szCs w:val="22"/>
              </w:rPr>
              <w:t>8</w:t>
            </w:r>
            <w:r w:rsidRPr="00BD6400">
              <w:rPr>
                <w:rFonts w:ascii="Calibri" w:hAnsi="Calibri" w:cs="Calibri"/>
                <w:color w:val="000000"/>
                <w:sz w:val="22"/>
                <w:szCs w:val="22"/>
              </w:rPr>
              <w:t xml:space="preserve"> </w:t>
            </w:r>
          </w:p>
        </w:tc>
      </w:tr>
      <w:tr w:rsidR="00D91C2B" w:rsidRPr="00BD6400" w14:paraId="6BA9BAE0" w14:textId="77777777" w:rsidTr="00E70A5E">
        <w:trPr>
          <w:trHeight w:val="300"/>
        </w:trPr>
        <w:tc>
          <w:tcPr>
            <w:tcW w:w="5685" w:type="dxa"/>
            <w:gridSpan w:val="2"/>
            <w:tcBorders>
              <w:top w:val="single" w:sz="4" w:space="0" w:color="auto"/>
              <w:left w:val="single" w:sz="4" w:space="0" w:color="auto"/>
              <w:bottom w:val="nil"/>
              <w:right w:val="single" w:sz="4" w:space="0" w:color="000000"/>
            </w:tcBorders>
            <w:shd w:val="clear" w:color="000000" w:fill="DCE6F1"/>
            <w:vAlign w:val="bottom"/>
            <w:hideMark/>
          </w:tcPr>
          <w:p w14:paraId="450F0117" w14:textId="77777777" w:rsidR="00D91C2B" w:rsidRPr="00BD6400" w:rsidRDefault="00D91C2B" w:rsidP="00BF3E55">
            <w:pPr>
              <w:jc w:val="center"/>
              <w:rPr>
                <w:rFonts w:ascii="Calibri" w:hAnsi="Calibri" w:cs="Calibri"/>
                <w:b/>
                <w:bCs/>
                <w:color w:val="000000"/>
                <w:sz w:val="22"/>
                <w:szCs w:val="22"/>
              </w:rPr>
            </w:pPr>
            <w:r w:rsidRPr="00BD6400">
              <w:rPr>
                <w:rFonts w:ascii="Calibri" w:hAnsi="Calibri" w:cs="Calibri"/>
                <w:b/>
                <w:bCs/>
                <w:color w:val="000000"/>
                <w:sz w:val="22"/>
                <w:szCs w:val="22"/>
              </w:rPr>
              <w:t>Total MBS Cost of Amendment 1</w:t>
            </w:r>
            <w:r>
              <w:rPr>
                <w:rFonts w:ascii="Calibri" w:hAnsi="Calibri" w:cs="Calibri"/>
                <w:b/>
                <w:bCs/>
                <w:color w:val="000000"/>
                <w:sz w:val="22"/>
                <w:szCs w:val="22"/>
              </w:rPr>
              <w:t xml:space="preserve"> </w:t>
            </w:r>
            <w:r w:rsidRPr="00BD3848">
              <w:rPr>
                <w:rFonts w:ascii="Calibri" w:hAnsi="Calibri" w:cs="Calibri"/>
                <w:b/>
                <w:bCs/>
                <w:color w:val="000000"/>
                <w:sz w:val="22"/>
                <w:szCs w:val="22"/>
              </w:rPr>
              <w:t>($’000)</w:t>
            </w:r>
          </w:p>
        </w:tc>
      </w:tr>
      <w:tr w:rsidR="00D91C2B" w:rsidRPr="00BD6400" w14:paraId="5342492C" w14:textId="77777777" w:rsidTr="00E70A5E">
        <w:trPr>
          <w:trHeight w:val="300"/>
        </w:trPr>
        <w:tc>
          <w:tcPr>
            <w:tcW w:w="228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9731650" w14:textId="77777777" w:rsidR="00D91C2B" w:rsidRPr="00BD6400" w:rsidRDefault="00D91C2B" w:rsidP="00BF3E55">
            <w:pPr>
              <w:rPr>
                <w:rFonts w:ascii="Calibri" w:hAnsi="Calibri" w:cs="Calibri"/>
                <w:color w:val="000000"/>
                <w:sz w:val="22"/>
                <w:szCs w:val="22"/>
              </w:rPr>
            </w:pPr>
            <w:r w:rsidRPr="00BD6400">
              <w:rPr>
                <w:rFonts w:ascii="Calibri" w:hAnsi="Calibri" w:cs="Calibri"/>
                <w:color w:val="000000"/>
                <w:sz w:val="22"/>
                <w:szCs w:val="22"/>
              </w:rPr>
              <w:t>Total</w:t>
            </w:r>
          </w:p>
        </w:tc>
        <w:tc>
          <w:tcPr>
            <w:tcW w:w="3396" w:type="dxa"/>
            <w:tcBorders>
              <w:top w:val="single" w:sz="4" w:space="0" w:color="auto"/>
              <w:left w:val="nil"/>
              <w:bottom w:val="single" w:sz="4" w:space="0" w:color="auto"/>
              <w:right w:val="single" w:sz="4" w:space="0" w:color="auto"/>
            </w:tcBorders>
            <w:shd w:val="clear" w:color="auto" w:fill="auto"/>
            <w:noWrap/>
            <w:vAlign w:val="bottom"/>
            <w:hideMark/>
          </w:tcPr>
          <w:p w14:paraId="7F2BED79" w14:textId="77777777" w:rsidR="00D91C2B" w:rsidRPr="00BD6400" w:rsidRDefault="00D91C2B" w:rsidP="00BF3E55">
            <w:pPr>
              <w:rPr>
                <w:rFonts w:ascii="Calibri" w:hAnsi="Calibri" w:cs="Calibri"/>
                <w:color w:val="000000"/>
                <w:sz w:val="22"/>
                <w:szCs w:val="22"/>
              </w:rPr>
            </w:pPr>
            <w:r>
              <w:rPr>
                <w:rFonts w:ascii="Calibri" w:hAnsi="Calibri" w:cs="Calibri"/>
                <w:color w:val="000000"/>
                <w:sz w:val="22"/>
                <w:szCs w:val="22"/>
              </w:rPr>
              <w:t xml:space="preserve">   56</w:t>
            </w:r>
            <w:r w:rsidRPr="00BD6400">
              <w:rPr>
                <w:rFonts w:ascii="Calibri" w:hAnsi="Calibri" w:cs="Calibri"/>
                <w:color w:val="000000"/>
                <w:sz w:val="22"/>
                <w:szCs w:val="22"/>
              </w:rPr>
              <w:t>.</w:t>
            </w:r>
            <w:r>
              <w:rPr>
                <w:rFonts w:ascii="Calibri" w:hAnsi="Calibri" w:cs="Calibri"/>
                <w:color w:val="000000"/>
                <w:sz w:val="22"/>
                <w:szCs w:val="22"/>
              </w:rPr>
              <w:t>1</w:t>
            </w:r>
            <w:r w:rsidRPr="00BD6400">
              <w:rPr>
                <w:rFonts w:ascii="Calibri" w:hAnsi="Calibri" w:cs="Calibri"/>
                <w:color w:val="000000"/>
                <w:sz w:val="22"/>
                <w:szCs w:val="22"/>
              </w:rPr>
              <w:t xml:space="preserve"> </w:t>
            </w:r>
          </w:p>
        </w:tc>
      </w:tr>
    </w:tbl>
    <w:p w14:paraId="30FDED89" w14:textId="77777777" w:rsidR="00D91C2B" w:rsidRPr="007F0A24" w:rsidRDefault="00D91C2B" w:rsidP="00D91C2B">
      <w:pPr>
        <w:rPr>
          <w:rFonts w:ascii="Calibri" w:hAnsi="Calibri" w:cs="Calibri"/>
          <w:color w:val="000000"/>
          <w:sz w:val="22"/>
          <w:szCs w:val="22"/>
        </w:rPr>
      </w:pPr>
    </w:p>
    <w:p w14:paraId="188E5E5D" w14:textId="77777777" w:rsidR="00D91C2B" w:rsidRPr="00313414" w:rsidRDefault="00D91C2B" w:rsidP="00D91C2B">
      <w:pPr>
        <w:spacing w:before="120"/>
        <w:jc w:val="both"/>
        <w:rPr>
          <w:i/>
          <w:szCs w:val="24"/>
        </w:rPr>
      </w:pPr>
      <w:r w:rsidRPr="00313414">
        <w:rPr>
          <w:i/>
          <w:szCs w:val="24"/>
        </w:rPr>
        <w:t>Amendment 2</w:t>
      </w:r>
    </w:p>
    <w:p w14:paraId="28C6D51A" w14:textId="6C447E44" w:rsidR="00D91C2B" w:rsidRPr="00744C2E" w:rsidRDefault="00D91C2B" w:rsidP="00D91C2B">
      <w:pPr>
        <w:tabs>
          <w:tab w:val="left" w:pos="720"/>
        </w:tabs>
        <w:spacing w:before="120"/>
        <w:rPr>
          <w:szCs w:val="24"/>
        </w:rPr>
      </w:pPr>
      <w:r w:rsidRPr="00744C2E">
        <w:rPr>
          <w:szCs w:val="24"/>
        </w:rPr>
        <w:lastRenderedPageBreak/>
        <w:t>The number of patients presenting for CE is assumed to be 9,014, of which 25% receive repeat colonoscopy/endoscopy. ESC discussed whether the 25% rate for repeat colonoscopy/endoscopy due to the ‘six month’ rule has been overestimated by the applicant taking into account the timing of the evidence in relation to the original listing of MBS item 11820 (in the Gilbert study).</w:t>
      </w:r>
    </w:p>
    <w:p w14:paraId="0EC05F93" w14:textId="77777777" w:rsidR="00FE09A0" w:rsidRDefault="00FE09A0" w:rsidP="00D91C2B">
      <w:pPr>
        <w:rPr>
          <w:rFonts w:ascii="Calibri" w:hAnsi="Calibri" w:cs="Calibri"/>
          <w:b/>
          <w:color w:val="000000"/>
          <w:sz w:val="22"/>
          <w:szCs w:val="22"/>
        </w:rPr>
      </w:pPr>
    </w:p>
    <w:p w14:paraId="051F314B" w14:textId="77777777" w:rsidR="00D91C2B" w:rsidRPr="00E331AE" w:rsidRDefault="00D91C2B" w:rsidP="00E70677">
      <w:pPr>
        <w:pStyle w:val="Heading2"/>
      </w:pPr>
      <w:proofErr w:type="gramStart"/>
      <w:r>
        <w:t>Table 9.</w:t>
      </w:r>
      <w:proofErr w:type="gramEnd"/>
      <w:r>
        <w:t xml:space="preserve"> </w:t>
      </w:r>
      <w:r w:rsidRPr="00E331AE">
        <w:t>With</w:t>
      </w:r>
      <w:r>
        <w:t>out</w:t>
      </w:r>
      <w:r w:rsidRPr="00E331AE">
        <w:t xml:space="preserve"> ‘6 month’ Rule</w:t>
      </w:r>
    </w:p>
    <w:tbl>
      <w:tblPr>
        <w:tblW w:w="5118" w:type="dxa"/>
        <w:tblInd w:w="93" w:type="dxa"/>
        <w:tblLook w:val="04A0" w:firstRow="1" w:lastRow="0" w:firstColumn="1" w:lastColumn="0" w:noHBand="0" w:noVBand="1"/>
      </w:tblPr>
      <w:tblGrid>
        <w:gridCol w:w="3276"/>
        <w:gridCol w:w="1842"/>
      </w:tblGrid>
      <w:tr w:rsidR="00D91C2B" w:rsidRPr="00BD6400" w14:paraId="1DB4C1E8" w14:textId="77777777" w:rsidTr="00BF3E55">
        <w:trPr>
          <w:trHeight w:val="300"/>
        </w:trPr>
        <w:tc>
          <w:tcPr>
            <w:tcW w:w="5118"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8B2C824" w14:textId="77777777" w:rsidR="00D91C2B" w:rsidRPr="00BD6400" w:rsidRDefault="00D91C2B" w:rsidP="00BF3E55">
            <w:pPr>
              <w:jc w:val="center"/>
              <w:rPr>
                <w:rFonts w:ascii="Calibri" w:hAnsi="Calibri" w:cs="Calibri"/>
                <w:b/>
                <w:bCs/>
                <w:color w:val="000000"/>
                <w:sz w:val="22"/>
                <w:szCs w:val="22"/>
              </w:rPr>
            </w:pPr>
            <w:r w:rsidRPr="00BD6400">
              <w:rPr>
                <w:rFonts w:ascii="Calibri" w:hAnsi="Calibri" w:cs="Calibri"/>
                <w:b/>
                <w:bCs/>
                <w:color w:val="000000"/>
                <w:sz w:val="22"/>
                <w:szCs w:val="22"/>
              </w:rPr>
              <w:t xml:space="preserve">Total CE MBS Expenditure </w:t>
            </w:r>
            <w:r>
              <w:rPr>
                <w:rFonts w:ascii="Calibri" w:hAnsi="Calibri" w:cs="Calibri"/>
                <w:b/>
                <w:bCs/>
                <w:color w:val="000000"/>
                <w:sz w:val="22"/>
                <w:szCs w:val="22"/>
              </w:rPr>
              <w:t xml:space="preserve">($’000) </w:t>
            </w:r>
          </w:p>
        </w:tc>
      </w:tr>
      <w:tr w:rsidR="00D91C2B" w:rsidRPr="00BD6400" w14:paraId="398B9206" w14:textId="77777777" w:rsidTr="00BF3E55">
        <w:trPr>
          <w:trHeight w:val="300"/>
        </w:trPr>
        <w:tc>
          <w:tcPr>
            <w:tcW w:w="3276" w:type="dxa"/>
            <w:tcBorders>
              <w:top w:val="nil"/>
              <w:left w:val="single" w:sz="4" w:space="0" w:color="auto"/>
              <w:bottom w:val="single" w:sz="4" w:space="0" w:color="auto"/>
              <w:right w:val="single" w:sz="4" w:space="0" w:color="auto"/>
            </w:tcBorders>
            <w:shd w:val="clear" w:color="000000" w:fill="DCE6F1"/>
            <w:noWrap/>
            <w:vAlign w:val="bottom"/>
            <w:hideMark/>
          </w:tcPr>
          <w:p w14:paraId="3A7F96EE" w14:textId="77777777" w:rsidR="00D91C2B" w:rsidRPr="00BD6400" w:rsidRDefault="00D91C2B" w:rsidP="00BF3E55">
            <w:pPr>
              <w:rPr>
                <w:rFonts w:ascii="Calibri" w:hAnsi="Calibri" w:cs="Calibri"/>
                <w:color w:val="000000"/>
                <w:sz w:val="22"/>
                <w:szCs w:val="22"/>
              </w:rPr>
            </w:pPr>
            <w:r w:rsidRPr="00BD6400">
              <w:rPr>
                <w:rFonts w:ascii="Calibri" w:hAnsi="Calibri" w:cs="Calibri"/>
                <w:color w:val="000000"/>
                <w:sz w:val="22"/>
                <w:szCs w:val="22"/>
              </w:rPr>
              <w:t xml:space="preserve">Total </w:t>
            </w:r>
            <w:r>
              <w:rPr>
                <w:rFonts w:ascii="Calibri" w:hAnsi="Calibri" w:cs="Calibri"/>
                <w:color w:val="000000"/>
                <w:sz w:val="22"/>
                <w:szCs w:val="22"/>
              </w:rPr>
              <w:t>CE MBS Expenditure</w:t>
            </w:r>
          </w:p>
        </w:tc>
        <w:tc>
          <w:tcPr>
            <w:tcW w:w="1842" w:type="dxa"/>
            <w:tcBorders>
              <w:top w:val="nil"/>
              <w:left w:val="nil"/>
              <w:bottom w:val="single" w:sz="4" w:space="0" w:color="auto"/>
              <w:right w:val="single" w:sz="4" w:space="0" w:color="auto"/>
            </w:tcBorders>
            <w:shd w:val="clear" w:color="auto" w:fill="auto"/>
            <w:noWrap/>
            <w:vAlign w:val="bottom"/>
            <w:hideMark/>
          </w:tcPr>
          <w:p w14:paraId="4BCE0466" w14:textId="31C6425A" w:rsidR="00D91C2B" w:rsidRPr="00BD6400" w:rsidRDefault="00D91C2B" w:rsidP="00BF3E55">
            <w:pPr>
              <w:jc w:val="right"/>
              <w:rPr>
                <w:rFonts w:ascii="Calibri" w:hAnsi="Calibri" w:cs="Calibri"/>
                <w:color w:val="000000"/>
                <w:sz w:val="22"/>
                <w:szCs w:val="22"/>
              </w:rPr>
            </w:pPr>
            <w:r>
              <w:rPr>
                <w:rFonts w:ascii="Calibri" w:hAnsi="Calibri" w:cs="Calibri"/>
                <w:color w:val="000000"/>
                <w:sz w:val="22"/>
                <w:szCs w:val="22"/>
              </w:rPr>
              <w:t>17,709.8</w:t>
            </w:r>
            <w:r w:rsidRPr="00BD6400">
              <w:rPr>
                <w:rFonts w:ascii="Calibri" w:hAnsi="Calibri" w:cs="Calibri"/>
                <w:color w:val="000000"/>
                <w:sz w:val="22"/>
                <w:szCs w:val="22"/>
              </w:rPr>
              <w:t xml:space="preserve"> </w:t>
            </w:r>
          </w:p>
        </w:tc>
      </w:tr>
    </w:tbl>
    <w:p w14:paraId="3A6DC945" w14:textId="77777777" w:rsidR="00D91C2B" w:rsidRDefault="00D91C2B" w:rsidP="00D91C2B">
      <w:pPr>
        <w:rPr>
          <w:rFonts w:ascii="Calibri" w:hAnsi="Calibri" w:cs="Calibri"/>
          <w:color w:val="000000"/>
          <w:sz w:val="22"/>
          <w:szCs w:val="22"/>
        </w:rPr>
      </w:pPr>
    </w:p>
    <w:p w14:paraId="20CF34C9" w14:textId="77777777" w:rsidR="00D91C2B" w:rsidRPr="00E331AE" w:rsidRDefault="00D91C2B" w:rsidP="00E70677">
      <w:pPr>
        <w:pStyle w:val="Heading2"/>
      </w:pPr>
      <w:proofErr w:type="gramStart"/>
      <w:r>
        <w:t>Table 10.</w:t>
      </w:r>
      <w:proofErr w:type="gramEnd"/>
      <w:r>
        <w:t xml:space="preserve"> </w:t>
      </w:r>
      <w:r w:rsidRPr="00E331AE">
        <w:t>With ‘6 month’ Rule</w:t>
      </w:r>
    </w:p>
    <w:tbl>
      <w:tblPr>
        <w:tblW w:w="5118" w:type="dxa"/>
        <w:tblInd w:w="93" w:type="dxa"/>
        <w:tblLook w:val="04A0" w:firstRow="1" w:lastRow="0" w:firstColumn="1" w:lastColumn="0" w:noHBand="0" w:noVBand="1"/>
      </w:tblPr>
      <w:tblGrid>
        <w:gridCol w:w="3276"/>
        <w:gridCol w:w="1842"/>
      </w:tblGrid>
      <w:tr w:rsidR="00D91C2B" w:rsidRPr="00DD4599" w14:paraId="5D49F3AB" w14:textId="77777777" w:rsidTr="00BF3E55">
        <w:trPr>
          <w:trHeight w:val="300"/>
        </w:trPr>
        <w:tc>
          <w:tcPr>
            <w:tcW w:w="5118"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14:paraId="4828B8E5" w14:textId="77777777" w:rsidR="00D91C2B" w:rsidRPr="00DD4599" w:rsidRDefault="00D91C2B" w:rsidP="00BF3E55">
            <w:pPr>
              <w:jc w:val="center"/>
              <w:rPr>
                <w:rFonts w:ascii="Calibri" w:hAnsi="Calibri" w:cs="Calibri"/>
                <w:b/>
                <w:bCs/>
                <w:color w:val="000000"/>
                <w:sz w:val="22"/>
                <w:szCs w:val="22"/>
              </w:rPr>
            </w:pPr>
            <w:r>
              <w:rPr>
                <w:rFonts w:ascii="Calibri" w:hAnsi="Calibri" w:cs="Calibri"/>
                <w:b/>
                <w:bCs/>
                <w:color w:val="000000"/>
                <w:sz w:val="22"/>
                <w:szCs w:val="22"/>
              </w:rPr>
              <w:t>Repeat Procedure</w:t>
            </w:r>
            <w:r w:rsidRPr="00DD4599">
              <w:rPr>
                <w:rFonts w:ascii="Calibri" w:hAnsi="Calibri" w:cs="Calibri"/>
                <w:b/>
                <w:bCs/>
                <w:color w:val="000000"/>
                <w:sz w:val="22"/>
                <w:szCs w:val="22"/>
              </w:rPr>
              <w:t xml:space="preserve"> MBS Expenditure </w:t>
            </w:r>
            <w:r>
              <w:rPr>
                <w:rFonts w:ascii="Calibri" w:hAnsi="Calibri" w:cs="Calibri"/>
                <w:b/>
                <w:bCs/>
                <w:color w:val="000000"/>
                <w:sz w:val="22"/>
                <w:szCs w:val="22"/>
              </w:rPr>
              <w:t xml:space="preserve">($’000) </w:t>
            </w:r>
          </w:p>
        </w:tc>
      </w:tr>
      <w:tr w:rsidR="00D91C2B" w:rsidRPr="00DD4599" w14:paraId="36795131" w14:textId="77777777" w:rsidTr="00BF3E55">
        <w:trPr>
          <w:trHeight w:val="300"/>
        </w:trPr>
        <w:tc>
          <w:tcPr>
            <w:tcW w:w="3276" w:type="dxa"/>
            <w:tcBorders>
              <w:top w:val="nil"/>
              <w:left w:val="single" w:sz="4" w:space="0" w:color="auto"/>
              <w:bottom w:val="single" w:sz="4" w:space="0" w:color="auto"/>
              <w:right w:val="single" w:sz="4" w:space="0" w:color="auto"/>
            </w:tcBorders>
            <w:shd w:val="clear" w:color="000000" w:fill="DCE6F1"/>
            <w:noWrap/>
            <w:vAlign w:val="bottom"/>
            <w:hideMark/>
          </w:tcPr>
          <w:p w14:paraId="7915D616" w14:textId="77777777" w:rsidR="00D91C2B" w:rsidRPr="00DD4599" w:rsidRDefault="00D91C2B" w:rsidP="00BF3E55">
            <w:pPr>
              <w:rPr>
                <w:rFonts w:ascii="Calibri" w:hAnsi="Calibri" w:cs="Calibri"/>
                <w:color w:val="000000"/>
                <w:sz w:val="22"/>
                <w:szCs w:val="22"/>
              </w:rPr>
            </w:pPr>
            <w:r w:rsidRPr="00DD4599">
              <w:rPr>
                <w:rFonts w:ascii="Calibri" w:hAnsi="Calibri" w:cs="Calibri"/>
                <w:color w:val="000000"/>
                <w:sz w:val="22"/>
                <w:szCs w:val="22"/>
              </w:rPr>
              <w:t>Colonoscopy</w:t>
            </w:r>
          </w:p>
        </w:tc>
        <w:tc>
          <w:tcPr>
            <w:tcW w:w="1842" w:type="dxa"/>
            <w:tcBorders>
              <w:top w:val="nil"/>
              <w:left w:val="nil"/>
              <w:bottom w:val="single" w:sz="4" w:space="0" w:color="auto"/>
              <w:right w:val="single" w:sz="4" w:space="0" w:color="auto"/>
            </w:tcBorders>
            <w:shd w:val="clear" w:color="auto" w:fill="auto"/>
            <w:noWrap/>
            <w:vAlign w:val="center"/>
            <w:hideMark/>
          </w:tcPr>
          <w:p w14:paraId="55C30A91" w14:textId="77777777" w:rsidR="00D91C2B" w:rsidRDefault="00D91C2B" w:rsidP="00BF3E55">
            <w:pPr>
              <w:jc w:val="right"/>
              <w:rPr>
                <w:rFonts w:ascii="Calibri" w:hAnsi="Calibri" w:cs="Calibri"/>
                <w:color w:val="000000"/>
                <w:sz w:val="22"/>
                <w:szCs w:val="22"/>
              </w:rPr>
            </w:pPr>
            <w:r>
              <w:rPr>
                <w:rFonts w:ascii="Calibri" w:hAnsi="Calibri" w:cs="Calibri"/>
                <w:color w:val="000000"/>
                <w:sz w:val="22"/>
                <w:szCs w:val="22"/>
              </w:rPr>
              <w:t>868.4</w:t>
            </w:r>
          </w:p>
        </w:tc>
      </w:tr>
      <w:tr w:rsidR="00D91C2B" w:rsidRPr="00DD4599" w14:paraId="4E0DF45D" w14:textId="77777777" w:rsidTr="00BF3E55">
        <w:trPr>
          <w:trHeight w:val="300"/>
        </w:trPr>
        <w:tc>
          <w:tcPr>
            <w:tcW w:w="3276" w:type="dxa"/>
            <w:tcBorders>
              <w:top w:val="nil"/>
              <w:left w:val="single" w:sz="4" w:space="0" w:color="auto"/>
              <w:bottom w:val="single" w:sz="4" w:space="0" w:color="auto"/>
              <w:right w:val="single" w:sz="4" w:space="0" w:color="auto"/>
            </w:tcBorders>
            <w:shd w:val="clear" w:color="000000" w:fill="DCE6F1"/>
            <w:noWrap/>
            <w:vAlign w:val="bottom"/>
            <w:hideMark/>
          </w:tcPr>
          <w:p w14:paraId="672C8995" w14:textId="77777777" w:rsidR="00D91C2B" w:rsidRPr="00DD4599" w:rsidRDefault="00D91C2B" w:rsidP="00BF3E55">
            <w:pPr>
              <w:rPr>
                <w:rFonts w:ascii="Calibri" w:hAnsi="Calibri" w:cs="Calibri"/>
                <w:color w:val="000000"/>
                <w:sz w:val="22"/>
                <w:szCs w:val="22"/>
              </w:rPr>
            </w:pPr>
            <w:r w:rsidRPr="00DD4599">
              <w:rPr>
                <w:rFonts w:ascii="Calibri" w:hAnsi="Calibri" w:cs="Calibri"/>
                <w:color w:val="000000"/>
                <w:sz w:val="22"/>
                <w:szCs w:val="22"/>
              </w:rPr>
              <w:t>Endoscopy</w:t>
            </w:r>
          </w:p>
        </w:tc>
        <w:tc>
          <w:tcPr>
            <w:tcW w:w="1842" w:type="dxa"/>
            <w:tcBorders>
              <w:top w:val="nil"/>
              <w:left w:val="nil"/>
              <w:bottom w:val="single" w:sz="4" w:space="0" w:color="auto"/>
              <w:right w:val="single" w:sz="4" w:space="0" w:color="auto"/>
            </w:tcBorders>
            <w:shd w:val="clear" w:color="auto" w:fill="auto"/>
            <w:noWrap/>
            <w:vAlign w:val="center"/>
            <w:hideMark/>
          </w:tcPr>
          <w:p w14:paraId="32A70F97" w14:textId="77777777" w:rsidR="00D91C2B" w:rsidRDefault="00D91C2B" w:rsidP="00BF3E55">
            <w:pPr>
              <w:jc w:val="right"/>
              <w:rPr>
                <w:rFonts w:ascii="Calibri" w:hAnsi="Calibri" w:cs="Calibri"/>
                <w:color w:val="000000"/>
                <w:sz w:val="22"/>
                <w:szCs w:val="22"/>
              </w:rPr>
            </w:pPr>
            <w:r>
              <w:rPr>
                <w:rFonts w:ascii="Calibri" w:hAnsi="Calibri" w:cs="Calibri"/>
                <w:color w:val="000000"/>
                <w:sz w:val="22"/>
                <w:szCs w:val="22"/>
              </w:rPr>
              <w:t>642.8</w:t>
            </w:r>
          </w:p>
        </w:tc>
      </w:tr>
      <w:tr w:rsidR="00D91C2B" w:rsidRPr="00DD4599" w14:paraId="2563D220" w14:textId="77777777" w:rsidTr="00BF3E55">
        <w:trPr>
          <w:trHeight w:val="300"/>
        </w:trPr>
        <w:tc>
          <w:tcPr>
            <w:tcW w:w="3276" w:type="dxa"/>
            <w:tcBorders>
              <w:top w:val="nil"/>
              <w:left w:val="single" w:sz="4" w:space="0" w:color="auto"/>
              <w:bottom w:val="single" w:sz="4" w:space="0" w:color="auto"/>
              <w:right w:val="single" w:sz="4" w:space="0" w:color="auto"/>
            </w:tcBorders>
            <w:shd w:val="clear" w:color="000000" w:fill="DCE6F1"/>
            <w:noWrap/>
            <w:vAlign w:val="bottom"/>
            <w:hideMark/>
          </w:tcPr>
          <w:p w14:paraId="08646BD4" w14:textId="77777777" w:rsidR="00D91C2B" w:rsidRPr="00DD4599" w:rsidRDefault="00D91C2B" w:rsidP="00BF3E55">
            <w:pPr>
              <w:rPr>
                <w:rFonts w:ascii="Calibri" w:hAnsi="Calibri" w:cs="Calibri"/>
                <w:b/>
                <w:bCs/>
                <w:color w:val="000000"/>
                <w:sz w:val="22"/>
                <w:szCs w:val="22"/>
              </w:rPr>
            </w:pPr>
            <w:r w:rsidRPr="00DD4599">
              <w:rPr>
                <w:rFonts w:ascii="Calibri" w:hAnsi="Calibri" w:cs="Calibri"/>
                <w:b/>
                <w:bCs/>
                <w:color w:val="000000"/>
                <w:sz w:val="22"/>
                <w:szCs w:val="22"/>
              </w:rPr>
              <w:t>Colonoscopy and Endoscopy Total</w:t>
            </w:r>
          </w:p>
        </w:tc>
        <w:tc>
          <w:tcPr>
            <w:tcW w:w="1842" w:type="dxa"/>
            <w:tcBorders>
              <w:top w:val="nil"/>
              <w:left w:val="nil"/>
              <w:bottom w:val="single" w:sz="4" w:space="0" w:color="auto"/>
              <w:right w:val="single" w:sz="4" w:space="0" w:color="auto"/>
            </w:tcBorders>
            <w:shd w:val="clear" w:color="auto" w:fill="auto"/>
            <w:noWrap/>
            <w:vAlign w:val="center"/>
            <w:hideMark/>
          </w:tcPr>
          <w:p w14:paraId="0F8967E7" w14:textId="77777777" w:rsidR="00D91C2B" w:rsidRDefault="00D91C2B" w:rsidP="00BF3E55">
            <w:pPr>
              <w:jc w:val="right"/>
              <w:rPr>
                <w:rFonts w:ascii="Calibri" w:hAnsi="Calibri" w:cs="Calibri"/>
                <w:color w:val="000000"/>
                <w:sz w:val="22"/>
                <w:szCs w:val="22"/>
              </w:rPr>
            </w:pPr>
            <w:r>
              <w:rPr>
                <w:rFonts w:ascii="Calibri" w:hAnsi="Calibri" w:cs="Calibri"/>
                <w:color w:val="000000"/>
                <w:sz w:val="22"/>
                <w:szCs w:val="22"/>
              </w:rPr>
              <w:t>1,511.2</w:t>
            </w:r>
          </w:p>
        </w:tc>
      </w:tr>
    </w:tbl>
    <w:p w14:paraId="0180DADD" w14:textId="1AACED8B" w:rsidR="00D91C2B" w:rsidRDefault="00D91C2B" w:rsidP="00D91C2B">
      <w:pPr>
        <w:tabs>
          <w:tab w:val="left" w:pos="720"/>
        </w:tabs>
        <w:spacing w:before="120"/>
        <w:rPr>
          <w:szCs w:val="24"/>
        </w:rPr>
      </w:pPr>
      <w:r w:rsidRPr="00744C2E">
        <w:rPr>
          <w:szCs w:val="24"/>
        </w:rPr>
        <w:t>ESC noted that the SBA report use</w:t>
      </w:r>
      <w:r w:rsidR="00524A83">
        <w:rPr>
          <w:szCs w:val="24"/>
        </w:rPr>
        <w:t>d</w:t>
      </w:r>
      <w:r w:rsidRPr="00744C2E">
        <w:rPr>
          <w:szCs w:val="24"/>
        </w:rPr>
        <w:t xml:space="preserve"> the diagnostic yield of 4% of repeat endoscopy/colonoscopy procedures. This yields a total of 90 patients who are diagnosed following the repeat endoscopy/colonoscopy who do not have to undergo a second CE.</w:t>
      </w:r>
    </w:p>
    <w:p w14:paraId="54A72F08" w14:textId="77777777" w:rsidR="00524A83" w:rsidRPr="00744C2E" w:rsidRDefault="00524A83" w:rsidP="00D91C2B">
      <w:pPr>
        <w:tabs>
          <w:tab w:val="left" w:pos="720"/>
        </w:tabs>
        <w:spacing w:before="120"/>
        <w:rPr>
          <w:szCs w:val="24"/>
        </w:rPr>
      </w:pPr>
    </w:p>
    <w:p w14:paraId="4758FD78" w14:textId="77777777" w:rsidR="00D91C2B" w:rsidRPr="00AF0D5A" w:rsidRDefault="00D91C2B" w:rsidP="00E70677">
      <w:pPr>
        <w:pStyle w:val="Heading2"/>
      </w:pPr>
      <w:proofErr w:type="gramStart"/>
      <w:r w:rsidRPr="00AF0D5A">
        <w:t>Table 11</w:t>
      </w:r>
      <w:r>
        <w:t>.</w:t>
      </w:r>
      <w:proofErr w:type="gramEnd"/>
      <w:r>
        <w:t xml:space="preserve"> </w:t>
      </w:r>
      <w:r w:rsidRPr="00AF0D5A">
        <w:t xml:space="preserve"> MBS savings due to CE avoided </w:t>
      </w:r>
    </w:p>
    <w:tbl>
      <w:tblPr>
        <w:tblW w:w="6111" w:type="dxa"/>
        <w:tblInd w:w="93" w:type="dxa"/>
        <w:tblLook w:val="04A0" w:firstRow="1" w:lastRow="0" w:firstColumn="1" w:lastColumn="0" w:noHBand="0" w:noVBand="1"/>
      </w:tblPr>
      <w:tblGrid>
        <w:gridCol w:w="4410"/>
        <w:gridCol w:w="1701"/>
      </w:tblGrid>
      <w:tr w:rsidR="00D91C2B" w:rsidRPr="001109ED" w14:paraId="00E1C4A2" w14:textId="77777777" w:rsidTr="00BF3E55">
        <w:trPr>
          <w:trHeight w:val="300"/>
        </w:trPr>
        <w:tc>
          <w:tcPr>
            <w:tcW w:w="6111" w:type="dxa"/>
            <w:gridSpan w:val="2"/>
            <w:tcBorders>
              <w:top w:val="single" w:sz="4" w:space="0" w:color="auto"/>
              <w:left w:val="single" w:sz="4" w:space="0" w:color="auto"/>
              <w:bottom w:val="single" w:sz="4" w:space="0" w:color="auto"/>
              <w:right w:val="single" w:sz="4" w:space="0" w:color="000000"/>
            </w:tcBorders>
            <w:shd w:val="clear" w:color="000000" w:fill="DCE6F1"/>
            <w:vAlign w:val="bottom"/>
            <w:hideMark/>
          </w:tcPr>
          <w:p w14:paraId="3C00AC60" w14:textId="77777777" w:rsidR="00D91C2B" w:rsidRPr="001109ED" w:rsidRDefault="00D91C2B" w:rsidP="00BF3E55">
            <w:pPr>
              <w:jc w:val="center"/>
              <w:rPr>
                <w:rFonts w:ascii="Calibri" w:hAnsi="Calibri" w:cs="Calibri"/>
                <w:b/>
                <w:bCs/>
                <w:color w:val="000000"/>
                <w:sz w:val="22"/>
                <w:szCs w:val="22"/>
              </w:rPr>
            </w:pPr>
            <w:r w:rsidRPr="00E92D27">
              <w:rPr>
                <w:rFonts w:ascii="Calibri" w:hAnsi="Calibri" w:cs="Calibri"/>
                <w:b/>
                <w:bCs/>
                <w:color w:val="000000"/>
                <w:sz w:val="22"/>
                <w:szCs w:val="22"/>
              </w:rPr>
              <w:t>MBS savings due to CE avoided</w:t>
            </w:r>
            <w:r w:rsidRPr="001109ED">
              <w:rPr>
                <w:rFonts w:ascii="Calibri" w:hAnsi="Calibri" w:cs="Calibri"/>
                <w:b/>
                <w:bCs/>
                <w:color w:val="000000"/>
                <w:sz w:val="22"/>
                <w:szCs w:val="22"/>
              </w:rPr>
              <w:t xml:space="preserve"> ($’000)</w:t>
            </w:r>
          </w:p>
        </w:tc>
      </w:tr>
      <w:tr w:rsidR="00D91C2B" w:rsidRPr="001109ED" w14:paraId="121FAAF5" w14:textId="77777777" w:rsidTr="00BF3E55">
        <w:trPr>
          <w:trHeight w:val="300"/>
        </w:trPr>
        <w:tc>
          <w:tcPr>
            <w:tcW w:w="4410" w:type="dxa"/>
            <w:tcBorders>
              <w:top w:val="nil"/>
              <w:left w:val="single" w:sz="4" w:space="0" w:color="auto"/>
              <w:bottom w:val="single" w:sz="4" w:space="0" w:color="auto"/>
              <w:right w:val="single" w:sz="4" w:space="0" w:color="auto"/>
            </w:tcBorders>
            <w:shd w:val="clear" w:color="000000" w:fill="DCE6F1"/>
            <w:noWrap/>
            <w:vAlign w:val="bottom"/>
            <w:hideMark/>
          </w:tcPr>
          <w:p w14:paraId="70412196" w14:textId="77777777" w:rsidR="00D91C2B" w:rsidRPr="001109ED" w:rsidRDefault="00D91C2B" w:rsidP="00BF3E55">
            <w:pPr>
              <w:rPr>
                <w:rFonts w:ascii="Calibri" w:hAnsi="Calibri" w:cs="Calibri"/>
                <w:bCs/>
                <w:color w:val="000000"/>
                <w:sz w:val="22"/>
                <w:szCs w:val="22"/>
              </w:rPr>
            </w:pPr>
            <w:r w:rsidRPr="001109ED">
              <w:rPr>
                <w:rFonts w:ascii="Calibri" w:hAnsi="Calibri" w:cs="Calibri"/>
                <w:bCs/>
                <w:color w:val="000000"/>
                <w:sz w:val="22"/>
                <w:szCs w:val="22"/>
              </w:rPr>
              <w:t>MBS savings due to CE avoided</w:t>
            </w:r>
          </w:p>
        </w:tc>
        <w:tc>
          <w:tcPr>
            <w:tcW w:w="1701" w:type="dxa"/>
            <w:tcBorders>
              <w:top w:val="nil"/>
              <w:left w:val="nil"/>
              <w:bottom w:val="single" w:sz="4" w:space="0" w:color="auto"/>
              <w:right w:val="single" w:sz="4" w:space="0" w:color="auto"/>
            </w:tcBorders>
            <w:shd w:val="clear" w:color="auto" w:fill="auto"/>
            <w:noWrap/>
            <w:vAlign w:val="bottom"/>
            <w:hideMark/>
          </w:tcPr>
          <w:p w14:paraId="0DB2742D" w14:textId="1DEC51E3" w:rsidR="00D91C2B" w:rsidRPr="001109ED" w:rsidRDefault="00D91C2B" w:rsidP="00BF3E55">
            <w:pPr>
              <w:jc w:val="right"/>
              <w:rPr>
                <w:rFonts w:ascii="Calibri" w:hAnsi="Calibri" w:cs="Calibri"/>
                <w:color w:val="000000"/>
                <w:sz w:val="22"/>
                <w:szCs w:val="22"/>
              </w:rPr>
            </w:pPr>
            <w:r w:rsidRPr="005C16A6">
              <w:rPr>
                <w:rFonts w:ascii="Calibri" w:hAnsi="Calibri" w:cs="Calibri"/>
                <w:color w:val="000000"/>
                <w:sz w:val="22"/>
                <w:szCs w:val="22"/>
              </w:rPr>
              <w:t xml:space="preserve">176.8 </w:t>
            </w:r>
          </w:p>
        </w:tc>
      </w:tr>
      <w:tr w:rsidR="00D91C2B" w:rsidRPr="001D538E" w14:paraId="60D159E6" w14:textId="77777777" w:rsidTr="00BF3E55">
        <w:trPr>
          <w:trHeight w:val="300"/>
        </w:trPr>
        <w:tc>
          <w:tcPr>
            <w:tcW w:w="4410" w:type="dxa"/>
            <w:tcBorders>
              <w:top w:val="nil"/>
              <w:left w:val="single" w:sz="4" w:space="0" w:color="auto"/>
              <w:bottom w:val="single" w:sz="4" w:space="0" w:color="auto"/>
              <w:right w:val="single" w:sz="4" w:space="0" w:color="auto"/>
            </w:tcBorders>
            <w:shd w:val="clear" w:color="000000" w:fill="DCE6F1"/>
            <w:noWrap/>
            <w:vAlign w:val="bottom"/>
            <w:hideMark/>
          </w:tcPr>
          <w:p w14:paraId="63EE2CDA" w14:textId="77777777" w:rsidR="00D91C2B" w:rsidRPr="001D538E" w:rsidRDefault="00D91C2B" w:rsidP="00BF3E55">
            <w:pPr>
              <w:rPr>
                <w:rFonts w:ascii="Calibri" w:hAnsi="Calibri" w:cs="Calibri"/>
                <w:b/>
                <w:bCs/>
                <w:color w:val="000000"/>
                <w:sz w:val="22"/>
                <w:szCs w:val="22"/>
              </w:rPr>
            </w:pPr>
            <w:r w:rsidRPr="00AB57C8">
              <w:rPr>
                <w:rFonts w:ascii="Calibri" w:hAnsi="Calibri" w:cs="Calibri"/>
                <w:b/>
                <w:bCs/>
                <w:color w:val="000000"/>
                <w:sz w:val="22"/>
                <w:szCs w:val="22"/>
              </w:rPr>
              <w:t xml:space="preserve">CE </w:t>
            </w:r>
            <w:r w:rsidRPr="001D538E">
              <w:rPr>
                <w:rFonts w:ascii="Calibri" w:hAnsi="Calibri" w:cs="Calibri"/>
                <w:b/>
                <w:bCs/>
                <w:color w:val="000000"/>
                <w:sz w:val="22"/>
                <w:szCs w:val="22"/>
              </w:rPr>
              <w:t xml:space="preserve">MBS Expenditure </w:t>
            </w:r>
            <w:r w:rsidRPr="00AB57C8">
              <w:rPr>
                <w:rFonts w:ascii="Calibri" w:hAnsi="Calibri" w:cs="Calibri"/>
                <w:b/>
                <w:bCs/>
                <w:color w:val="000000"/>
                <w:sz w:val="22"/>
                <w:szCs w:val="22"/>
              </w:rPr>
              <w:t>following savings from repeat endoscopy/colonoscopy procedures</w:t>
            </w:r>
          </w:p>
        </w:tc>
        <w:tc>
          <w:tcPr>
            <w:tcW w:w="1701" w:type="dxa"/>
            <w:tcBorders>
              <w:top w:val="nil"/>
              <w:left w:val="nil"/>
              <w:bottom w:val="single" w:sz="4" w:space="0" w:color="auto"/>
              <w:right w:val="single" w:sz="4" w:space="0" w:color="auto"/>
            </w:tcBorders>
            <w:shd w:val="clear" w:color="auto" w:fill="auto"/>
            <w:noWrap/>
            <w:vAlign w:val="bottom"/>
            <w:hideMark/>
          </w:tcPr>
          <w:p w14:paraId="433B9BB5" w14:textId="0E0E271E" w:rsidR="00D91C2B" w:rsidRPr="001D538E" w:rsidRDefault="00D91C2B" w:rsidP="00BF3E55">
            <w:pPr>
              <w:jc w:val="right"/>
              <w:rPr>
                <w:rFonts w:ascii="Calibri" w:hAnsi="Calibri" w:cs="Calibri"/>
                <w:color w:val="000000"/>
                <w:sz w:val="22"/>
                <w:szCs w:val="22"/>
              </w:rPr>
            </w:pPr>
            <w:r w:rsidRPr="001D538E">
              <w:rPr>
                <w:rFonts w:ascii="Calibri" w:hAnsi="Calibri" w:cs="Calibri"/>
                <w:color w:val="000000"/>
                <w:sz w:val="22"/>
                <w:szCs w:val="22"/>
              </w:rPr>
              <w:t xml:space="preserve">17,533.0 </w:t>
            </w:r>
          </w:p>
        </w:tc>
      </w:tr>
    </w:tbl>
    <w:p w14:paraId="5A72C304" w14:textId="77777777" w:rsidR="00D91C2B" w:rsidRDefault="00D91C2B" w:rsidP="00D91C2B">
      <w:pPr>
        <w:tabs>
          <w:tab w:val="left" w:pos="720"/>
        </w:tabs>
        <w:spacing w:before="120"/>
        <w:rPr>
          <w:rFonts w:ascii="Arial" w:hAnsi="Arial" w:cs="Arial"/>
          <w:szCs w:val="24"/>
        </w:rPr>
      </w:pPr>
    </w:p>
    <w:tbl>
      <w:tblPr>
        <w:tblW w:w="6111" w:type="dxa"/>
        <w:tblInd w:w="93" w:type="dxa"/>
        <w:tblLook w:val="04A0" w:firstRow="1" w:lastRow="0" w:firstColumn="1" w:lastColumn="0" w:noHBand="0" w:noVBand="1"/>
      </w:tblPr>
      <w:tblGrid>
        <w:gridCol w:w="4410"/>
        <w:gridCol w:w="1701"/>
      </w:tblGrid>
      <w:tr w:rsidR="00D91C2B" w:rsidRPr="00B53607" w14:paraId="2A1EC569" w14:textId="77777777" w:rsidTr="00BF3E55">
        <w:trPr>
          <w:trHeight w:val="300"/>
        </w:trPr>
        <w:tc>
          <w:tcPr>
            <w:tcW w:w="6111" w:type="dxa"/>
            <w:gridSpan w:val="2"/>
            <w:tcBorders>
              <w:top w:val="single" w:sz="4" w:space="0" w:color="auto"/>
              <w:left w:val="single" w:sz="4" w:space="0" w:color="auto"/>
              <w:bottom w:val="single" w:sz="4" w:space="0" w:color="auto"/>
              <w:right w:val="single" w:sz="4" w:space="0" w:color="000000"/>
            </w:tcBorders>
            <w:shd w:val="clear" w:color="000000" w:fill="DCE6F1"/>
            <w:vAlign w:val="bottom"/>
            <w:hideMark/>
          </w:tcPr>
          <w:p w14:paraId="7FB050F5" w14:textId="77777777" w:rsidR="00D91C2B" w:rsidRPr="00B53607" w:rsidRDefault="00D91C2B" w:rsidP="00BF3E55">
            <w:pPr>
              <w:jc w:val="center"/>
              <w:rPr>
                <w:rFonts w:ascii="Calibri" w:hAnsi="Calibri" w:cs="Calibri"/>
                <w:b/>
                <w:bCs/>
                <w:color w:val="000000"/>
                <w:sz w:val="22"/>
                <w:szCs w:val="22"/>
              </w:rPr>
            </w:pPr>
            <w:r w:rsidRPr="00B53607">
              <w:rPr>
                <w:rFonts w:ascii="Calibri" w:hAnsi="Calibri" w:cs="Calibri"/>
                <w:b/>
                <w:bCs/>
                <w:color w:val="000000"/>
                <w:sz w:val="22"/>
                <w:szCs w:val="22"/>
              </w:rPr>
              <w:t>Totals</w:t>
            </w:r>
            <w:r>
              <w:rPr>
                <w:rFonts w:ascii="Calibri" w:hAnsi="Calibri" w:cs="Calibri"/>
                <w:b/>
                <w:bCs/>
                <w:color w:val="000000"/>
                <w:sz w:val="22"/>
                <w:szCs w:val="22"/>
              </w:rPr>
              <w:t xml:space="preserve"> ($’000)</w:t>
            </w:r>
          </w:p>
        </w:tc>
      </w:tr>
      <w:tr w:rsidR="00D91C2B" w:rsidRPr="00B53607" w14:paraId="00366CD0" w14:textId="77777777" w:rsidTr="00BF3E55">
        <w:trPr>
          <w:trHeight w:val="600"/>
        </w:trPr>
        <w:tc>
          <w:tcPr>
            <w:tcW w:w="4410" w:type="dxa"/>
            <w:tcBorders>
              <w:top w:val="nil"/>
              <w:left w:val="single" w:sz="4" w:space="0" w:color="auto"/>
              <w:bottom w:val="single" w:sz="4" w:space="0" w:color="auto"/>
              <w:right w:val="single" w:sz="4" w:space="0" w:color="auto"/>
            </w:tcBorders>
            <w:shd w:val="clear" w:color="000000" w:fill="DCE6F1"/>
            <w:vAlign w:val="bottom"/>
            <w:hideMark/>
          </w:tcPr>
          <w:p w14:paraId="7988111A" w14:textId="77777777" w:rsidR="00D91C2B" w:rsidRPr="00B53607" w:rsidRDefault="00D91C2B" w:rsidP="00BF3E55">
            <w:pPr>
              <w:rPr>
                <w:rFonts w:ascii="Calibri" w:hAnsi="Calibri" w:cs="Calibri"/>
                <w:b/>
                <w:bCs/>
                <w:color w:val="000000"/>
                <w:sz w:val="22"/>
                <w:szCs w:val="22"/>
              </w:rPr>
            </w:pPr>
            <w:r w:rsidRPr="00B53607">
              <w:rPr>
                <w:rFonts w:ascii="Calibri" w:hAnsi="Calibri" w:cs="Calibri"/>
                <w:b/>
                <w:bCs/>
                <w:color w:val="000000"/>
                <w:sz w:val="22"/>
                <w:szCs w:val="22"/>
              </w:rPr>
              <w:t>Total MBS Expenditure: CE, Colonoscopy and Endoscopy</w:t>
            </w:r>
          </w:p>
        </w:tc>
        <w:tc>
          <w:tcPr>
            <w:tcW w:w="1701" w:type="dxa"/>
            <w:tcBorders>
              <w:top w:val="nil"/>
              <w:left w:val="nil"/>
              <w:bottom w:val="single" w:sz="4" w:space="0" w:color="auto"/>
              <w:right w:val="single" w:sz="4" w:space="0" w:color="auto"/>
            </w:tcBorders>
            <w:shd w:val="clear" w:color="auto" w:fill="auto"/>
            <w:noWrap/>
            <w:vAlign w:val="center"/>
            <w:hideMark/>
          </w:tcPr>
          <w:p w14:paraId="740508FB" w14:textId="77777777" w:rsidR="00D91C2B" w:rsidRDefault="00D91C2B" w:rsidP="00BF3E55">
            <w:pPr>
              <w:jc w:val="right"/>
              <w:rPr>
                <w:rFonts w:ascii="Calibri" w:hAnsi="Calibri" w:cs="Calibri"/>
                <w:color w:val="000000"/>
                <w:sz w:val="22"/>
                <w:szCs w:val="22"/>
              </w:rPr>
            </w:pPr>
            <w:r>
              <w:rPr>
                <w:rFonts w:ascii="Calibri" w:hAnsi="Calibri" w:cs="Calibri"/>
                <w:color w:val="000000"/>
                <w:sz w:val="22"/>
                <w:szCs w:val="22"/>
              </w:rPr>
              <w:t>19,044.2</w:t>
            </w:r>
          </w:p>
        </w:tc>
      </w:tr>
      <w:tr w:rsidR="00D91C2B" w:rsidRPr="00B53607" w14:paraId="388BE44E" w14:textId="77777777" w:rsidTr="00BF3E55">
        <w:trPr>
          <w:trHeight w:val="336"/>
        </w:trPr>
        <w:tc>
          <w:tcPr>
            <w:tcW w:w="4410" w:type="dxa"/>
            <w:tcBorders>
              <w:top w:val="nil"/>
              <w:left w:val="single" w:sz="4" w:space="0" w:color="auto"/>
              <w:bottom w:val="single" w:sz="4" w:space="0" w:color="auto"/>
              <w:right w:val="single" w:sz="4" w:space="0" w:color="auto"/>
            </w:tcBorders>
            <w:shd w:val="clear" w:color="000000" w:fill="DCE6F1"/>
            <w:vAlign w:val="bottom"/>
            <w:hideMark/>
          </w:tcPr>
          <w:p w14:paraId="42F92321" w14:textId="77777777" w:rsidR="00D91C2B" w:rsidRPr="00B53607" w:rsidRDefault="00D91C2B" w:rsidP="00BF3E55">
            <w:pPr>
              <w:rPr>
                <w:rFonts w:ascii="Calibri" w:hAnsi="Calibri" w:cs="Calibri"/>
                <w:b/>
                <w:bCs/>
                <w:color w:val="000000"/>
                <w:sz w:val="22"/>
                <w:szCs w:val="22"/>
              </w:rPr>
            </w:pPr>
            <w:r w:rsidRPr="00B53607">
              <w:rPr>
                <w:rFonts w:ascii="Calibri" w:hAnsi="Calibri" w:cs="Calibri"/>
                <w:b/>
                <w:bCs/>
                <w:color w:val="000000"/>
                <w:sz w:val="22"/>
                <w:szCs w:val="22"/>
              </w:rPr>
              <w:t>Total MBS Saving if '6 month' rule removed</w:t>
            </w:r>
          </w:p>
        </w:tc>
        <w:tc>
          <w:tcPr>
            <w:tcW w:w="1701" w:type="dxa"/>
            <w:tcBorders>
              <w:top w:val="nil"/>
              <w:left w:val="nil"/>
              <w:bottom w:val="single" w:sz="4" w:space="0" w:color="auto"/>
              <w:right w:val="single" w:sz="4" w:space="0" w:color="auto"/>
            </w:tcBorders>
            <w:shd w:val="clear" w:color="auto" w:fill="auto"/>
            <w:noWrap/>
            <w:vAlign w:val="center"/>
            <w:hideMark/>
          </w:tcPr>
          <w:p w14:paraId="6AC59256" w14:textId="77777777" w:rsidR="00D91C2B" w:rsidRDefault="00D91C2B" w:rsidP="00BF3E55">
            <w:pPr>
              <w:jc w:val="right"/>
              <w:rPr>
                <w:rFonts w:ascii="Calibri" w:hAnsi="Calibri" w:cs="Calibri"/>
                <w:color w:val="000000"/>
                <w:sz w:val="22"/>
                <w:szCs w:val="22"/>
              </w:rPr>
            </w:pPr>
            <w:r>
              <w:rPr>
                <w:rFonts w:ascii="Calibri" w:hAnsi="Calibri" w:cs="Calibri"/>
                <w:color w:val="000000"/>
                <w:sz w:val="22"/>
                <w:szCs w:val="22"/>
              </w:rPr>
              <w:t>1,334.4</w:t>
            </w:r>
          </w:p>
        </w:tc>
      </w:tr>
    </w:tbl>
    <w:p w14:paraId="69C24FF0" w14:textId="77777777" w:rsidR="00D91C2B" w:rsidRDefault="00D91C2B" w:rsidP="00D91C2B">
      <w:pPr>
        <w:rPr>
          <w:rFonts w:ascii="Calibri" w:hAnsi="Calibri" w:cs="Calibri"/>
          <w:b/>
          <w:color w:val="000000"/>
          <w:sz w:val="22"/>
          <w:szCs w:val="22"/>
        </w:rPr>
      </w:pPr>
    </w:p>
    <w:p w14:paraId="5E818E97" w14:textId="77777777" w:rsidR="00D91C2B" w:rsidRPr="00B53607" w:rsidRDefault="00D91C2B" w:rsidP="00E70677">
      <w:pPr>
        <w:pStyle w:val="Heading2"/>
      </w:pPr>
      <w:proofErr w:type="gramStart"/>
      <w:r>
        <w:t>Table 12.</w:t>
      </w:r>
      <w:proofErr w:type="gramEnd"/>
      <w:r>
        <w:t xml:space="preserve"> </w:t>
      </w:r>
      <w:r w:rsidRPr="00B53607">
        <w:t>Amendment 1 and 2: summary</w:t>
      </w:r>
    </w:p>
    <w:tbl>
      <w:tblPr>
        <w:tblW w:w="5685" w:type="dxa"/>
        <w:tblInd w:w="93" w:type="dxa"/>
        <w:tblLook w:val="04A0" w:firstRow="1" w:lastRow="0" w:firstColumn="1" w:lastColumn="0" w:noHBand="0" w:noVBand="1"/>
      </w:tblPr>
      <w:tblGrid>
        <w:gridCol w:w="3984"/>
        <w:gridCol w:w="1701"/>
      </w:tblGrid>
      <w:tr w:rsidR="00D91C2B" w:rsidRPr="00135A9A" w14:paraId="08FFB3F5" w14:textId="77777777" w:rsidTr="00BF3E55">
        <w:trPr>
          <w:trHeight w:val="300"/>
        </w:trPr>
        <w:tc>
          <w:tcPr>
            <w:tcW w:w="5685"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14:paraId="2B481FFB" w14:textId="77777777" w:rsidR="00D91C2B" w:rsidRPr="00135A9A" w:rsidRDefault="00D91C2B" w:rsidP="00BF3E55">
            <w:pPr>
              <w:jc w:val="center"/>
              <w:rPr>
                <w:rFonts w:ascii="Calibri" w:hAnsi="Calibri" w:cs="Calibri"/>
                <w:b/>
                <w:bCs/>
                <w:color w:val="000000"/>
                <w:sz w:val="22"/>
                <w:szCs w:val="22"/>
              </w:rPr>
            </w:pPr>
            <w:r w:rsidRPr="00135A9A">
              <w:rPr>
                <w:rFonts w:ascii="Calibri" w:hAnsi="Calibri" w:cs="Calibri"/>
                <w:b/>
                <w:bCs/>
                <w:color w:val="000000"/>
                <w:sz w:val="22"/>
                <w:szCs w:val="22"/>
              </w:rPr>
              <w:t>Summary</w:t>
            </w:r>
            <w:r>
              <w:rPr>
                <w:rFonts w:ascii="Calibri" w:hAnsi="Calibri" w:cs="Calibri"/>
                <w:b/>
                <w:bCs/>
                <w:color w:val="000000"/>
                <w:sz w:val="22"/>
                <w:szCs w:val="22"/>
              </w:rPr>
              <w:t xml:space="preserve"> ($’000)</w:t>
            </w:r>
          </w:p>
        </w:tc>
      </w:tr>
      <w:tr w:rsidR="00D91C2B" w:rsidRPr="00135A9A" w14:paraId="5C4D2D4B" w14:textId="77777777" w:rsidTr="00BF3E55">
        <w:trPr>
          <w:trHeight w:val="300"/>
        </w:trPr>
        <w:tc>
          <w:tcPr>
            <w:tcW w:w="3984" w:type="dxa"/>
            <w:tcBorders>
              <w:top w:val="nil"/>
              <w:left w:val="single" w:sz="4" w:space="0" w:color="auto"/>
              <w:bottom w:val="single" w:sz="4" w:space="0" w:color="auto"/>
              <w:right w:val="single" w:sz="4" w:space="0" w:color="auto"/>
            </w:tcBorders>
            <w:shd w:val="clear" w:color="000000" w:fill="DCE6F1"/>
            <w:vAlign w:val="bottom"/>
            <w:hideMark/>
          </w:tcPr>
          <w:p w14:paraId="54A77453" w14:textId="77777777" w:rsidR="00D91C2B" w:rsidRPr="00135A9A" w:rsidRDefault="00D91C2B" w:rsidP="00BF3E55">
            <w:pPr>
              <w:rPr>
                <w:rFonts w:ascii="Calibri" w:hAnsi="Calibri" w:cs="Calibri"/>
                <w:b/>
                <w:bCs/>
                <w:color w:val="000000"/>
                <w:sz w:val="22"/>
                <w:szCs w:val="22"/>
              </w:rPr>
            </w:pPr>
            <w:r w:rsidRPr="00135A9A">
              <w:rPr>
                <w:rFonts w:ascii="Calibri" w:hAnsi="Calibri" w:cs="Calibri"/>
                <w:b/>
                <w:bCs/>
                <w:color w:val="000000"/>
                <w:sz w:val="22"/>
                <w:szCs w:val="22"/>
              </w:rPr>
              <w:t>Impact on MBS: Amendment 1</w:t>
            </w:r>
          </w:p>
        </w:tc>
        <w:tc>
          <w:tcPr>
            <w:tcW w:w="1701" w:type="dxa"/>
            <w:tcBorders>
              <w:top w:val="nil"/>
              <w:left w:val="nil"/>
              <w:bottom w:val="single" w:sz="4" w:space="0" w:color="auto"/>
              <w:right w:val="single" w:sz="4" w:space="0" w:color="auto"/>
            </w:tcBorders>
            <w:shd w:val="clear" w:color="auto" w:fill="auto"/>
            <w:noWrap/>
            <w:vAlign w:val="bottom"/>
            <w:hideMark/>
          </w:tcPr>
          <w:p w14:paraId="37268871" w14:textId="4FFF5F79" w:rsidR="00D91C2B" w:rsidRPr="00135A9A" w:rsidRDefault="00D91C2B" w:rsidP="00231340">
            <w:pPr>
              <w:jc w:val="right"/>
              <w:rPr>
                <w:rFonts w:ascii="Calibri" w:hAnsi="Calibri" w:cs="Calibri"/>
                <w:color w:val="000000"/>
                <w:sz w:val="22"/>
                <w:szCs w:val="22"/>
              </w:rPr>
            </w:pPr>
            <w:r>
              <w:rPr>
                <w:rFonts w:ascii="Calibri" w:hAnsi="Calibri" w:cs="Calibri"/>
                <w:color w:val="000000"/>
                <w:sz w:val="22"/>
                <w:szCs w:val="22"/>
              </w:rPr>
              <w:t>-56</w:t>
            </w:r>
            <w:r w:rsidRPr="00135A9A">
              <w:rPr>
                <w:rFonts w:ascii="Calibri" w:hAnsi="Calibri" w:cs="Calibri"/>
                <w:color w:val="000000"/>
                <w:sz w:val="22"/>
                <w:szCs w:val="22"/>
              </w:rPr>
              <w:t>.</w:t>
            </w:r>
            <w:r>
              <w:rPr>
                <w:rFonts w:ascii="Calibri" w:hAnsi="Calibri" w:cs="Calibri"/>
                <w:color w:val="000000"/>
                <w:sz w:val="22"/>
                <w:szCs w:val="22"/>
              </w:rPr>
              <w:t>1</w:t>
            </w:r>
            <w:r w:rsidRPr="00135A9A">
              <w:rPr>
                <w:rFonts w:ascii="Calibri" w:hAnsi="Calibri" w:cs="Calibri"/>
                <w:color w:val="000000"/>
                <w:sz w:val="22"/>
                <w:szCs w:val="22"/>
              </w:rPr>
              <w:t xml:space="preserve"> </w:t>
            </w:r>
          </w:p>
        </w:tc>
      </w:tr>
      <w:tr w:rsidR="00D91C2B" w:rsidRPr="00135A9A" w14:paraId="4F7E4652" w14:textId="77777777" w:rsidTr="00BF3E55">
        <w:trPr>
          <w:trHeight w:val="300"/>
        </w:trPr>
        <w:tc>
          <w:tcPr>
            <w:tcW w:w="3984" w:type="dxa"/>
            <w:tcBorders>
              <w:top w:val="nil"/>
              <w:left w:val="single" w:sz="4" w:space="0" w:color="auto"/>
              <w:bottom w:val="single" w:sz="4" w:space="0" w:color="auto"/>
              <w:right w:val="single" w:sz="4" w:space="0" w:color="auto"/>
            </w:tcBorders>
            <w:shd w:val="clear" w:color="000000" w:fill="DCE6F1"/>
            <w:vAlign w:val="bottom"/>
            <w:hideMark/>
          </w:tcPr>
          <w:p w14:paraId="17CF72B6" w14:textId="77777777" w:rsidR="00D91C2B" w:rsidRPr="00135A9A" w:rsidRDefault="00D91C2B" w:rsidP="00BF3E55">
            <w:pPr>
              <w:rPr>
                <w:rFonts w:ascii="Calibri" w:hAnsi="Calibri" w:cs="Calibri"/>
                <w:b/>
                <w:bCs/>
                <w:color w:val="000000"/>
                <w:sz w:val="22"/>
                <w:szCs w:val="22"/>
              </w:rPr>
            </w:pPr>
            <w:r w:rsidRPr="00135A9A">
              <w:rPr>
                <w:rFonts w:ascii="Calibri" w:hAnsi="Calibri" w:cs="Calibri"/>
                <w:b/>
                <w:bCs/>
                <w:color w:val="000000"/>
                <w:sz w:val="22"/>
                <w:szCs w:val="22"/>
              </w:rPr>
              <w:t>Impact on MBS: Amendment 2</w:t>
            </w:r>
          </w:p>
        </w:tc>
        <w:tc>
          <w:tcPr>
            <w:tcW w:w="1701" w:type="dxa"/>
            <w:tcBorders>
              <w:top w:val="nil"/>
              <w:left w:val="nil"/>
              <w:bottom w:val="single" w:sz="4" w:space="0" w:color="auto"/>
              <w:right w:val="single" w:sz="4" w:space="0" w:color="auto"/>
            </w:tcBorders>
            <w:shd w:val="clear" w:color="auto" w:fill="auto"/>
            <w:noWrap/>
            <w:vAlign w:val="bottom"/>
            <w:hideMark/>
          </w:tcPr>
          <w:p w14:paraId="0C706924" w14:textId="12FE79EE" w:rsidR="00D91C2B" w:rsidRPr="00135A9A" w:rsidRDefault="00D91C2B" w:rsidP="00BF3E55">
            <w:pPr>
              <w:jc w:val="right"/>
              <w:rPr>
                <w:rFonts w:ascii="Calibri" w:hAnsi="Calibri" w:cs="Calibri"/>
                <w:color w:val="000000"/>
                <w:sz w:val="22"/>
                <w:szCs w:val="22"/>
              </w:rPr>
            </w:pPr>
            <w:r>
              <w:rPr>
                <w:rFonts w:ascii="Calibri" w:hAnsi="Calibri" w:cs="Calibri"/>
                <w:color w:val="000000"/>
                <w:sz w:val="22"/>
                <w:szCs w:val="22"/>
              </w:rPr>
              <w:t>1,334</w:t>
            </w:r>
            <w:r w:rsidRPr="00135A9A">
              <w:rPr>
                <w:rFonts w:ascii="Calibri" w:hAnsi="Calibri" w:cs="Calibri"/>
                <w:color w:val="000000"/>
                <w:sz w:val="22"/>
                <w:szCs w:val="22"/>
              </w:rPr>
              <w:t>.</w:t>
            </w:r>
            <w:r>
              <w:rPr>
                <w:rFonts w:ascii="Calibri" w:hAnsi="Calibri" w:cs="Calibri"/>
                <w:color w:val="000000"/>
                <w:sz w:val="22"/>
                <w:szCs w:val="22"/>
              </w:rPr>
              <w:t>4</w:t>
            </w:r>
            <w:r w:rsidRPr="00135A9A">
              <w:rPr>
                <w:rFonts w:ascii="Calibri" w:hAnsi="Calibri" w:cs="Calibri"/>
                <w:color w:val="000000"/>
                <w:sz w:val="22"/>
                <w:szCs w:val="22"/>
              </w:rPr>
              <w:t xml:space="preserve"> </w:t>
            </w:r>
          </w:p>
        </w:tc>
      </w:tr>
      <w:tr w:rsidR="00D91C2B" w:rsidRPr="00135A9A" w14:paraId="69A60718" w14:textId="77777777" w:rsidTr="00BF3E55">
        <w:trPr>
          <w:trHeight w:val="346"/>
        </w:trPr>
        <w:tc>
          <w:tcPr>
            <w:tcW w:w="3984" w:type="dxa"/>
            <w:tcBorders>
              <w:top w:val="nil"/>
              <w:left w:val="single" w:sz="4" w:space="0" w:color="auto"/>
              <w:bottom w:val="single" w:sz="4" w:space="0" w:color="auto"/>
              <w:right w:val="single" w:sz="4" w:space="0" w:color="auto"/>
            </w:tcBorders>
            <w:shd w:val="clear" w:color="000000" w:fill="DCE6F1"/>
            <w:vAlign w:val="bottom"/>
            <w:hideMark/>
          </w:tcPr>
          <w:p w14:paraId="3A5C9321" w14:textId="77777777" w:rsidR="00D91C2B" w:rsidRPr="00135A9A" w:rsidRDefault="00D91C2B" w:rsidP="00BF3E55">
            <w:pPr>
              <w:rPr>
                <w:rFonts w:ascii="Calibri" w:hAnsi="Calibri" w:cs="Calibri"/>
                <w:b/>
                <w:bCs/>
                <w:color w:val="000000"/>
                <w:sz w:val="22"/>
                <w:szCs w:val="22"/>
              </w:rPr>
            </w:pPr>
            <w:r w:rsidRPr="00135A9A">
              <w:rPr>
                <w:rFonts w:ascii="Calibri" w:hAnsi="Calibri" w:cs="Calibri"/>
                <w:b/>
                <w:bCs/>
                <w:color w:val="000000"/>
                <w:sz w:val="22"/>
                <w:szCs w:val="22"/>
              </w:rPr>
              <w:t>Total MBS Saving: Amendments 1 and 2</w:t>
            </w:r>
          </w:p>
        </w:tc>
        <w:tc>
          <w:tcPr>
            <w:tcW w:w="1701" w:type="dxa"/>
            <w:tcBorders>
              <w:top w:val="nil"/>
              <w:left w:val="nil"/>
              <w:bottom w:val="single" w:sz="4" w:space="0" w:color="auto"/>
              <w:right w:val="single" w:sz="4" w:space="0" w:color="auto"/>
            </w:tcBorders>
            <w:shd w:val="clear" w:color="auto" w:fill="auto"/>
            <w:noWrap/>
            <w:vAlign w:val="bottom"/>
            <w:hideMark/>
          </w:tcPr>
          <w:p w14:paraId="0C851C94" w14:textId="47985230" w:rsidR="00D91C2B" w:rsidRPr="00135A9A" w:rsidRDefault="00D91C2B" w:rsidP="00BF3E55">
            <w:pPr>
              <w:jc w:val="right"/>
              <w:rPr>
                <w:rFonts w:ascii="Calibri" w:hAnsi="Calibri" w:cs="Calibri"/>
                <w:color w:val="000000"/>
                <w:sz w:val="22"/>
                <w:szCs w:val="22"/>
              </w:rPr>
            </w:pPr>
            <w:r>
              <w:rPr>
                <w:rFonts w:ascii="Calibri" w:hAnsi="Calibri" w:cs="Calibri"/>
                <w:color w:val="000000"/>
                <w:sz w:val="22"/>
                <w:szCs w:val="22"/>
              </w:rPr>
              <w:t>1,278</w:t>
            </w:r>
            <w:r w:rsidRPr="00135A9A">
              <w:rPr>
                <w:rFonts w:ascii="Calibri" w:hAnsi="Calibri" w:cs="Calibri"/>
                <w:color w:val="000000"/>
                <w:sz w:val="22"/>
                <w:szCs w:val="22"/>
              </w:rPr>
              <w:t>.</w:t>
            </w:r>
            <w:r>
              <w:rPr>
                <w:rFonts w:ascii="Calibri" w:hAnsi="Calibri" w:cs="Calibri"/>
                <w:color w:val="000000"/>
                <w:sz w:val="22"/>
                <w:szCs w:val="22"/>
              </w:rPr>
              <w:t>3</w:t>
            </w:r>
            <w:r w:rsidRPr="00135A9A">
              <w:rPr>
                <w:rFonts w:ascii="Calibri" w:hAnsi="Calibri" w:cs="Calibri"/>
                <w:color w:val="000000"/>
                <w:sz w:val="22"/>
                <w:szCs w:val="22"/>
              </w:rPr>
              <w:t xml:space="preserve"> </w:t>
            </w:r>
          </w:p>
        </w:tc>
      </w:tr>
    </w:tbl>
    <w:p w14:paraId="216B1FCD" w14:textId="77777777" w:rsidR="00D91C2B" w:rsidRPr="00AF0D5A" w:rsidRDefault="00D91C2B" w:rsidP="00D91C2B">
      <w:pPr>
        <w:tabs>
          <w:tab w:val="left" w:pos="720"/>
        </w:tabs>
        <w:spacing w:before="120"/>
        <w:ind w:left="360"/>
        <w:rPr>
          <w:rFonts w:ascii="Arial" w:hAnsi="Arial" w:cs="Arial"/>
          <w:szCs w:val="24"/>
          <w:u w:val="single"/>
        </w:rPr>
      </w:pPr>
    </w:p>
    <w:p w14:paraId="25AFCD85" w14:textId="7721A41E" w:rsidR="00D91C2B" w:rsidRPr="00744C2E" w:rsidRDefault="00D91C2B" w:rsidP="0070792A">
      <w:pPr>
        <w:numPr>
          <w:ilvl w:val="0"/>
          <w:numId w:val="1"/>
        </w:numPr>
        <w:tabs>
          <w:tab w:val="left" w:pos="720"/>
        </w:tabs>
        <w:spacing w:before="120"/>
        <w:rPr>
          <w:szCs w:val="24"/>
          <w:u w:val="single"/>
        </w:rPr>
      </w:pPr>
      <w:r w:rsidRPr="00744C2E">
        <w:rPr>
          <w:szCs w:val="24"/>
          <w:u w:val="single"/>
        </w:rPr>
        <w:t>Any other important areas of uncertainty (e.g. budget impact, translation of clinical evidence into the economic evaluation, linkage between an investigative intervention and a subsequent therapeutic intervention and outcomes</w:t>
      </w:r>
    </w:p>
    <w:p w14:paraId="646C3D2F" w14:textId="77777777" w:rsidR="00D91C2B" w:rsidRPr="00744C2E" w:rsidRDefault="00D91C2B" w:rsidP="00D91C2B">
      <w:pPr>
        <w:tabs>
          <w:tab w:val="left" w:pos="720"/>
        </w:tabs>
        <w:spacing w:before="120"/>
        <w:rPr>
          <w:szCs w:val="24"/>
        </w:rPr>
      </w:pPr>
      <w:r w:rsidRPr="00744C2E">
        <w:rPr>
          <w:szCs w:val="24"/>
        </w:rPr>
        <w:t>Expected co-payments/out of pocket costs have not been addressed in the Submission. However, ESC noted that 73% of these services are bulk-billed and that the expected out of pocket cost is approximately $141.26 per procedure.</w:t>
      </w:r>
    </w:p>
    <w:p w14:paraId="2774140F" w14:textId="77777777" w:rsidR="00823261" w:rsidRDefault="00D91C2B" w:rsidP="00FE09A0">
      <w:pPr>
        <w:tabs>
          <w:tab w:val="left" w:pos="720"/>
        </w:tabs>
        <w:spacing w:before="120"/>
        <w:rPr>
          <w:szCs w:val="24"/>
        </w:rPr>
      </w:pPr>
      <w:r w:rsidRPr="00744C2E">
        <w:rPr>
          <w:szCs w:val="24"/>
        </w:rPr>
        <w:t>ESC noted that the fee for item 11820 covered the procedure in addition to the capsule involved. ESC requested that the current capsule device cost be provided to MSAC.</w:t>
      </w:r>
    </w:p>
    <w:p w14:paraId="729D847B" w14:textId="77777777" w:rsidR="00313414" w:rsidRPr="00BB418D" w:rsidRDefault="00313414" w:rsidP="00FE09A0">
      <w:pPr>
        <w:tabs>
          <w:tab w:val="left" w:pos="720"/>
        </w:tabs>
        <w:spacing w:before="120"/>
        <w:rPr>
          <w:szCs w:val="24"/>
        </w:rPr>
      </w:pPr>
    </w:p>
    <w:p w14:paraId="2B325114" w14:textId="77777777" w:rsidR="004C0DCE" w:rsidRPr="006A19C5" w:rsidRDefault="006A19C5" w:rsidP="00313414">
      <w:pPr>
        <w:pStyle w:val="Heading1"/>
        <w:spacing w:before="0"/>
      </w:pPr>
      <w:r>
        <w:t>14.</w:t>
      </w:r>
      <w:r>
        <w:tab/>
      </w:r>
      <w:r w:rsidR="004C0DCE" w:rsidRPr="006A19C5">
        <w:t>Other significant factors</w:t>
      </w:r>
    </w:p>
    <w:p w14:paraId="445D26A3" w14:textId="609C956E" w:rsidR="00D91C2B" w:rsidRDefault="00D91C2B" w:rsidP="00313414">
      <w:pPr>
        <w:tabs>
          <w:tab w:val="left" w:pos="720"/>
        </w:tabs>
        <w:rPr>
          <w:szCs w:val="24"/>
        </w:rPr>
      </w:pPr>
      <w:r w:rsidRPr="00744C2E">
        <w:rPr>
          <w:szCs w:val="24"/>
        </w:rPr>
        <w:t>The proposed amendments for MBS item 11820 may have flow on effects for the patient population and associated interventions. For example, the clinical need for endoscopic placement in patients who are unable to swallow the capsule may increase with the inclusion of children aged 2 and above. Therefore, it may be appropriate for the proposed item descriptor to include "any associated endoscopic procedure". The applicant acknowledged that a greater percentage of patients in this age group may experience difficulties swallowing the capsule and thus require endoscopic placement. The applicant also noted that the included studies nonetheless did not highlight any safety concern associated with the procedure if the procedure is adequately carried out</w:t>
      </w:r>
      <w:r w:rsidR="00313414">
        <w:rPr>
          <w:szCs w:val="24"/>
        </w:rPr>
        <w:t>.</w:t>
      </w:r>
    </w:p>
    <w:p w14:paraId="50477692" w14:textId="77777777" w:rsidR="00313414" w:rsidRPr="00744C2E" w:rsidRDefault="00313414" w:rsidP="00313414">
      <w:pPr>
        <w:tabs>
          <w:tab w:val="left" w:pos="720"/>
        </w:tabs>
        <w:rPr>
          <w:szCs w:val="24"/>
        </w:rPr>
      </w:pPr>
    </w:p>
    <w:p w14:paraId="44A001CC" w14:textId="77777777" w:rsidR="00D91C2B" w:rsidRPr="00744C2E" w:rsidRDefault="00D91C2B" w:rsidP="00313414">
      <w:pPr>
        <w:tabs>
          <w:tab w:val="left" w:pos="720"/>
        </w:tabs>
        <w:rPr>
          <w:szCs w:val="24"/>
        </w:rPr>
      </w:pPr>
      <w:r w:rsidRPr="00744C2E">
        <w:rPr>
          <w:szCs w:val="24"/>
        </w:rPr>
        <w:t>Item 11820 has the restriction "using a capsule endoscopy device approved by the Therapeutic Goods Administration". The applicant suggests additional wording (to the explanatory note) of “Capsule endoscopy in paediatric patients as young as two is only approved with certain devices. Benefits are not payable for procedures in paediatric patients undertaken with devices without evidence in paediatric patients, or not recommended by their manufacturers for use in those patients”. The proposed wording would present complex issues for implementation. ESC did not think that an explanatory note was necessary, as the TGA restriction would cover the age appropriateness for usage of the device.</w:t>
      </w:r>
    </w:p>
    <w:p w14:paraId="721D875B" w14:textId="77777777" w:rsidR="00313414" w:rsidRDefault="00313414" w:rsidP="00313414">
      <w:pPr>
        <w:tabs>
          <w:tab w:val="left" w:pos="720"/>
        </w:tabs>
        <w:rPr>
          <w:szCs w:val="24"/>
        </w:rPr>
      </w:pPr>
    </w:p>
    <w:p w14:paraId="4971CCFF" w14:textId="77777777" w:rsidR="00D91C2B" w:rsidRPr="00744C2E" w:rsidRDefault="00D91C2B" w:rsidP="00313414">
      <w:pPr>
        <w:tabs>
          <w:tab w:val="left" w:pos="720"/>
        </w:tabs>
        <w:rPr>
          <w:szCs w:val="24"/>
        </w:rPr>
      </w:pPr>
      <w:r w:rsidRPr="00744C2E">
        <w:rPr>
          <w:szCs w:val="24"/>
        </w:rPr>
        <w:t>Medicare benefits are payable for clinically relevant professional services that are listed in the MBS. A clinically relevant service is one that is generally accepted in the medical profession as being necessary for the appropriate treatment of the patient. However, the submission refers to "unnecessary procedures currently given due to the six month rule". These "unnecessary procedures" would be contrary to the Health Insurance Act 1973 if included in the charge for a Medicare item.</w:t>
      </w:r>
    </w:p>
    <w:p w14:paraId="2DD21CF8" w14:textId="77777777" w:rsidR="00937076" w:rsidRPr="006A19C5" w:rsidRDefault="006A19C5" w:rsidP="006A19C5">
      <w:pPr>
        <w:pStyle w:val="Heading1"/>
      </w:pPr>
      <w:r>
        <w:t>15.</w:t>
      </w:r>
      <w:r>
        <w:tab/>
      </w:r>
      <w:r w:rsidR="00937076" w:rsidRPr="006A19C5">
        <w:t>Summary of consideration and rationale for MSAC’s advice</w:t>
      </w:r>
      <w:r w:rsidR="0095175A" w:rsidRPr="006A19C5">
        <w:t xml:space="preserve"> </w:t>
      </w:r>
    </w:p>
    <w:p w14:paraId="70AE10C3" w14:textId="77777777" w:rsidR="00420211" w:rsidRPr="00420211" w:rsidRDefault="00420211" w:rsidP="00524A83">
      <w:pPr>
        <w:rPr>
          <w:rFonts w:eastAsia="Calibri"/>
        </w:rPr>
      </w:pPr>
      <w:r w:rsidRPr="00420211">
        <w:rPr>
          <w:rFonts w:eastAsia="Calibri"/>
        </w:rPr>
        <w:t xml:space="preserve">MSAC noted that the applicant proposed two amendments to the current descriptor for MBS item 11820 to extend the use of capsule endoscopy (CE):  </w:t>
      </w:r>
    </w:p>
    <w:p w14:paraId="60C5EB4B" w14:textId="77777777" w:rsidR="00420211" w:rsidRPr="00420211" w:rsidRDefault="00420211" w:rsidP="00524A83">
      <w:pPr>
        <w:numPr>
          <w:ilvl w:val="0"/>
          <w:numId w:val="16"/>
        </w:numPr>
        <w:spacing w:after="200"/>
        <w:contextualSpacing/>
        <w:rPr>
          <w:rFonts w:eastAsia="Calibri"/>
        </w:rPr>
      </w:pPr>
      <w:r w:rsidRPr="00420211">
        <w:rPr>
          <w:rFonts w:eastAsia="Calibri"/>
        </w:rPr>
        <w:t>Change the age restriction to also allow children aged between 2 and 9 years to receive the service (i.e. change “10 years and over” to “2 years and over”); and</w:t>
      </w:r>
    </w:p>
    <w:p w14:paraId="23E0902A" w14:textId="77777777" w:rsidR="00420211" w:rsidRPr="00420211" w:rsidRDefault="00420211" w:rsidP="00524A83">
      <w:pPr>
        <w:numPr>
          <w:ilvl w:val="0"/>
          <w:numId w:val="16"/>
        </w:numPr>
        <w:spacing w:after="200"/>
        <w:contextualSpacing/>
        <w:rPr>
          <w:rFonts w:eastAsia="Calibri"/>
        </w:rPr>
      </w:pPr>
      <w:r w:rsidRPr="00420211">
        <w:rPr>
          <w:rFonts w:eastAsia="Calibri"/>
        </w:rPr>
        <w:t>Removal of the time restriction for the service - that requires the CE procedure to be performed within six months of the upper gastrointestinal endoscopy and the colonoscopy which did not identify the cause of the gastrointestinal bleeding.</w:t>
      </w:r>
    </w:p>
    <w:p w14:paraId="79074EA8" w14:textId="77777777" w:rsidR="00420211" w:rsidRPr="00420211" w:rsidRDefault="00420211" w:rsidP="00420211">
      <w:pPr>
        <w:rPr>
          <w:rFonts w:eastAsia="Calibri"/>
          <w:b/>
        </w:rPr>
      </w:pPr>
    </w:p>
    <w:p w14:paraId="2861741A" w14:textId="77777777" w:rsidR="00420211" w:rsidRPr="00420211" w:rsidRDefault="00420211" w:rsidP="00420211">
      <w:pPr>
        <w:rPr>
          <w:rFonts w:eastAsia="Calibri"/>
          <w:i/>
        </w:rPr>
      </w:pPr>
      <w:r w:rsidRPr="00420211">
        <w:rPr>
          <w:rFonts w:eastAsia="Calibri"/>
          <w:i/>
        </w:rPr>
        <w:t>Amendment 1 – Change of age restriction</w:t>
      </w:r>
    </w:p>
    <w:p w14:paraId="3DAFC0AB" w14:textId="77777777" w:rsidR="00420211" w:rsidRPr="00420211" w:rsidRDefault="00420211" w:rsidP="00420211">
      <w:pPr>
        <w:spacing w:after="200"/>
        <w:rPr>
          <w:rFonts w:eastAsia="Calibri"/>
          <w:szCs w:val="22"/>
          <w:lang w:eastAsia="en-US"/>
        </w:rPr>
      </w:pPr>
      <w:r w:rsidRPr="00420211">
        <w:rPr>
          <w:rFonts w:eastAsia="Calibri"/>
          <w:szCs w:val="22"/>
          <w:lang w:eastAsia="en-US"/>
        </w:rPr>
        <w:t xml:space="preserve">MSAC noted that </w:t>
      </w:r>
      <w:proofErr w:type="spellStart"/>
      <w:r w:rsidRPr="00420211">
        <w:rPr>
          <w:rFonts w:eastAsia="Calibri"/>
          <w:szCs w:val="22"/>
          <w:lang w:eastAsia="en-US"/>
        </w:rPr>
        <w:t>Pillcam</w:t>
      </w:r>
      <w:proofErr w:type="spellEnd"/>
      <w:r w:rsidRPr="00420211">
        <w:rPr>
          <w:rFonts w:eastAsia="Calibri"/>
          <w:szCs w:val="22"/>
          <w:vertAlign w:val="superscript"/>
          <w:lang w:eastAsia="en-US"/>
        </w:rPr>
        <w:t>®</w:t>
      </w:r>
      <w:r w:rsidRPr="00420211">
        <w:rPr>
          <w:rFonts w:eastAsia="Calibri"/>
          <w:szCs w:val="22"/>
          <w:lang w:eastAsia="en-US"/>
        </w:rPr>
        <w:t>, which is manufactured by the applicant, is the only product currently available that has regulatory approval for use in the 2-9 year age group.</w:t>
      </w:r>
    </w:p>
    <w:p w14:paraId="1A7F34F1" w14:textId="77777777" w:rsidR="00420211" w:rsidRPr="00420211" w:rsidRDefault="00420211" w:rsidP="00420211">
      <w:pPr>
        <w:spacing w:after="200"/>
        <w:rPr>
          <w:rFonts w:eastAsia="Calibri"/>
          <w:szCs w:val="22"/>
          <w:lang w:eastAsia="en-US"/>
        </w:rPr>
      </w:pPr>
      <w:r w:rsidRPr="00420211">
        <w:rPr>
          <w:rFonts w:eastAsia="Calibri"/>
          <w:szCs w:val="22"/>
          <w:lang w:eastAsia="en-US"/>
        </w:rPr>
        <w:t xml:space="preserve">MSAC noted that, while the SBA report did not nominate a comparator for CE in patients aged 2-9 years, its 2003 assessment of CE for the evaluation of OGIB in adult patients had nominated small bowel series radiography (SBS) as the main comparator. </w:t>
      </w:r>
    </w:p>
    <w:p w14:paraId="1D1ECCB5" w14:textId="77777777" w:rsidR="00420211" w:rsidRPr="00420211" w:rsidRDefault="00420211" w:rsidP="00420211">
      <w:pPr>
        <w:autoSpaceDE w:val="0"/>
        <w:autoSpaceDN w:val="0"/>
        <w:adjustRightInd w:val="0"/>
        <w:rPr>
          <w:rFonts w:ascii="Arial" w:eastAsia="Calibri" w:hAnsi="Arial" w:cs="Arial"/>
          <w:szCs w:val="24"/>
          <w:lang w:eastAsia="en-US"/>
        </w:rPr>
      </w:pPr>
      <w:r w:rsidRPr="00420211">
        <w:rPr>
          <w:rFonts w:eastAsia="Calibri"/>
          <w:szCs w:val="22"/>
          <w:lang w:eastAsia="en-US"/>
        </w:rPr>
        <w:t xml:space="preserve">MSAC noted that, as with its previous assessment of CE, the main outcome to establish clinical effectiveness of CE was diagnostic yield in the absence of evidence to inform the diagnostic accuracy of CE in paediatric patients. The largest study involving paediatric OGIB patients, </w:t>
      </w:r>
      <w:proofErr w:type="spellStart"/>
      <w:r w:rsidRPr="00420211">
        <w:rPr>
          <w:rFonts w:eastAsia="Calibri"/>
          <w:szCs w:val="22"/>
          <w:lang w:eastAsia="en-US"/>
        </w:rPr>
        <w:t>Fritscher</w:t>
      </w:r>
      <w:proofErr w:type="spellEnd"/>
      <w:r w:rsidRPr="00420211">
        <w:rPr>
          <w:rFonts w:eastAsia="Calibri"/>
          <w:szCs w:val="22"/>
          <w:lang w:eastAsia="en-US"/>
        </w:rPr>
        <w:t xml:space="preserve">-Ravens et al (2009), reported a diagnostic yield of 53% (16/30) for children aged 1.5 to 7 years with OGIB. Other studies of CE assessing paediatric patients with OGIB (including two studies by </w:t>
      </w:r>
      <w:proofErr w:type="spellStart"/>
      <w:r w:rsidRPr="00420211">
        <w:rPr>
          <w:rFonts w:eastAsia="Calibri"/>
          <w:szCs w:val="22"/>
          <w:lang w:eastAsia="en-US"/>
        </w:rPr>
        <w:t>Antao</w:t>
      </w:r>
      <w:proofErr w:type="spellEnd"/>
      <w:r w:rsidRPr="00420211">
        <w:rPr>
          <w:rFonts w:eastAsia="Calibri"/>
          <w:szCs w:val="22"/>
          <w:lang w:eastAsia="en-US"/>
        </w:rPr>
        <w:t xml:space="preserve"> et al (2007) and by Thomson et al (2007) which compared CE with other diagnostic methods including SBS) returned a diagnostic yield rate </w:t>
      </w:r>
      <w:r w:rsidRPr="00420211">
        <w:rPr>
          <w:rFonts w:eastAsia="Calibri"/>
          <w:szCs w:val="22"/>
          <w:lang w:eastAsia="en-US"/>
        </w:rPr>
        <w:lastRenderedPageBreak/>
        <w:t xml:space="preserve">of greater than 50-60%. MSAC agreed that the diagnostic yield results for CE in paediatric patients, including </w:t>
      </w:r>
      <w:r w:rsidRPr="00420211">
        <w:rPr>
          <w:rFonts w:eastAsia="Calibri"/>
          <w:szCs w:val="24"/>
          <w:lang w:eastAsia="en-US"/>
        </w:rPr>
        <w:t>the 2-9 year age group,</w:t>
      </w:r>
      <w:r w:rsidRPr="00420211">
        <w:rPr>
          <w:rFonts w:eastAsia="Calibri"/>
          <w:szCs w:val="22"/>
          <w:lang w:eastAsia="en-US"/>
        </w:rPr>
        <w:t xml:space="preserve"> are </w:t>
      </w:r>
      <w:r w:rsidRPr="00420211">
        <w:rPr>
          <w:rFonts w:eastAsia="Calibri"/>
          <w:szCs w:val="24"/>
          <w:lang w:eastAsia="en-US"/>
        </w:rPr>
        <w:t xml:space="preserve">superior to other diagnostic methods, including SBS, and </w:t>
      </w:r>
      <w:r w:rsidRPr="00420211">
        <w:rPr>
          <w:rFonts w:eastAsia="Calibri"/>
          <w:szCs w:val="22"/>
          <w:lang w:eastAsia="en-US"/>
        </w:rPr>
        <w:t>similar to the adult population</w:t>
      </w:r>
      <w:r w:rsidRPr="00420211">
        <w:rPr>
          <w:rFonts w:ascii="Arial" w:eastAsia="Calibri" w:hAnsi="Arial" w:cs="Arial"/>
          <w:szCs w:val="24"/>
          <w:lang w:eastAsia="en-US"/>
        </w:rPr>
        <w:t>.</w:t>
      </w:r>
    </w:p>
    <w:p w14:paraId="419FF659" w14:textId="77777777" w:rsidR="00420211" w:rsidRPr="00420211" w:rsidRDefault="00420211" w:rsidP="00420211">
      <w:pPr>
        <w:autoSpaceDE w:val="0"/>
        <w:autoSpaceDN w:val="0"/>
        <w:adjustRightInd w:val="0"/>
        <w:rPr>
          <w:rFonts w:ascii="Arial" w:eastAsia="Calibri" w:hAnsi="Arial" w:cs="Arial"/>
          <w:szCs w:val="24"/>
          <w:lang w:eastAsia="en-US"/>
        </w:rPr>
      </w:pPr>
    </w:p>
    <w:p w14:paraId="30BA8FD2" w14:textId="77777777" w:rsidR="00420211" w:rsidRPr="00420211" w:rsidRDefault="00420211" w:rsidP="00420211">
      <w:pPr>
        <w:autoSpaceDE w:val="0"/>
        <w:autoSpaceDN w:val="0"/>
        <w:adjustRightInd w:val="0"/>
        <w:rPr>
          <w:rFonts w:eastAsia="Calibri"/>
          <w:szCs w:val="22"/>
          <w:lang w:eastAsia="en-US"/>
        </w:rPr>
      </w:pPr>
      <w:r w:rsidRPr="00420211">
        <w:rPr>
          <w:rFonts w:eastAsia="Calibri"/>
          <w:szCs w:val="22"/>
          <w:lang w:eastAsia="en-US"/>
        </w:rPr>
        <w:t xml:space="preserve">MSAC agreed that the safety data presented for CE in paediatric patients indicated similar rates of delayed passage and capsule retention results to adult patients. However, studies show that endoscopic placement for patients who cannot swallow the capsule is required in </w:t>
      </w:r>
    </w:p>
    <w:p w14:paraId="002C3CD1" w14:textId="77777777" w:rsidR="00420211" w:rsidRPr="00420211" w:rsidRDefault="00420211" w:rsidP="00420211">
      <w:pPr>
        <w:autoSpaceDE w:val="0"/>
        <w:autoSpaceDN w:val="0"/>
        <w:adjustRightInd w:val="0"/>
        <w:rPr>
          <w:rFonts w:eastAsia="Calibri"/>
          <w:szCs w:val="22"/>
          <w:lang w:eastAsia="en-US"/>
        </w:rPr>
      </w:pPr>
      <w:r w:rsidRPr="00420211">
        <w:rPr>
          <w:rFonts w:eastAsia="Calibri"/>
          <w:szCs w:val="22"/>
          <w:lang w:eastAsia="en-US"/>
        </w:rPr>
        <w:t>7-25% (</w:t>
      </w:r>
      <w:proofErr w:type="spellStart"/>
      <w:r w:rsidRPr="00420211">
        <w:rPr>
          <w:rFonts w:eastAsia="Calibri"/>
          <w:szCs w:val="22"/>
          <w:lang w:eastAsia="en-US"/>
        </w:rPr>
        <w:t>Fritscher</w:t>
      </w:r>
      <w:proofErr w:type="spellEnd"/>
      <w:r w:rsidRPr="00420211">
        <w:rPr>
          <w:rFonts w:eastAsia="Calibri"/>
          <w:szCs w:val="22"/>
          <w:lang w:eastAsia="en-US"/>
        </w:rPr>
        <w:t xml:space="preserve">-Ravens et al reported 76%) of paediatric cases which could require additional anaesthesia and endoscopy. MSAC accepted that, if required, endoscopic placement for paediatric patients is likely to occur concurrently with the diagnostic endoscopy procedure, therefore the impact of additional anaesthesia and endoscopy on the overall costs would be limited. </w:t>
      </w:r>
    </w:p>
    <w:p w14:paraId="3C25C304" w14:textId="77777777" w:rsidR="00420211" w:rsidRPr="00420211" w:rsidRDefault="00420211" w:rsidP="00420211">
      <w:pPr>
        <w:autoSpaceDE w:val="0"/>
        <w:autoSpaceDN w:val="0"/>
        <w:adjustRightInd w:val="0"/>
        <w:rPr>
          <w:rFonts w:eastAsia="Calibri"/>
          <w:szCs w:val="24"/>
          <w:lang w:eastAsia="en-US"/>
        </w:rPr>
      </w:pPr>
    </w:p>
    <w:p w14:paraId="0FB746ED" w14:textId="77777777" w:rsidR="00420211" w:rsidRPr="00420211" w:rsidRDefault="00420211" w:rsidP="00420211">
      <w:pPr>
        <w:spacing w:after="200"/>
        <w:rPr>
          <w:rFonts w:eastAsia="Calibri"/>
          <w:szCs w:val="22"/>
          <w:lang w:eastAsia="en-US"/>
        </w:rPr>
      </w:pPr>
      <w:r w:rsidRPr="00420211">
        <w:rPr>
          <w:rFonts w:eastAsia="Calibri"/>
          <w:szCs w:val="22"/>
          <w:lang w:eastAsia="en-US"/>
        </w:rPr>
        <w:t>MSAC noted that no formal economic evaluation was presented for this amendment. MBS data estimated the extent of CE use for OGIB in paediatric patients aged 2-9 years old would be 26 patients per year with an estimated total cost of $56,100. MSAC noted that this cost includes endoscopic placement costs for 20 patients (76%).</w:t>
      </w:r>
    </w:p>
    <w:p w14:paraId="0528A521" w14:textId="77777777" w:rsidR="00420211" w:rsidRPr="00420211" w:rsidRDefault="00420211" w:rsidP="00420211">
      <w:pPr>
        <w:spacing w:after="200"/>
        <w:rPr>
          <w:rFonts w:eastAsia="Calibri"/>
          <w:szCs w:val="22"/>
          <w:lang w:eastAsia="en-US"/>
        </w:rPr>
      </w:pPr>
      <w:r w:rsidRPr="00420211">
        <w:rPr>
          <w:rFonts w:eastAsia="Calibri"/>
          <w:szCs w:val="22"/>
          <w:lang w:eastAsia="en-US"/>
        </w:rPr>
        <w:t>MSAC concluded that inclusion of an age restriction in the descriptor was not relevant as clinicians could judge paediatric patients suitable for CE treatment based on the size of the patient, which is a more relevant clinical factor to consider rather than be limited by the patient’s age. MSAC also considered that removing any age restriction would cause negligible impact on the overall utilisation and costs of CE given the low volume of paediatric patients.</w:t>
      </w:r>
    </w:p>
    <w:p w14:paraId="03538ADB" w14:textId="77777777" w:rsidR="00420211" w:rsidRPr="00420211" w:rsidRDefault="00420211" w:rsidP="00420211">
      <w:pPr>
        <w:rPr>
          <w:rFonts w:eastAsia="Calibri"/>
          <w:i/>
        </w:rPr>
      </w:pPr>
      <w:r w:rsidRPr="00420211">
        <w:rPr>
          <w:rFonts w:eastAsia="Calibri"/>
          <w:i/>
        </w:rPr>
        <w:t>Amendment 2 – Removal of the time restriction for the service</w:t>
      </w:r>
    </w:p>
    <w:p w14:paraId="370298F3" w14:textId="77777777" w:rsidR="00420211" w:rsidRPr="00420211" w:rsidRDefault="00420211" w:rsidP="00420211">
      <w:pPr>
        <w:spacing w:after="200"/>
        <w:rPr>
          <w:rFonts w:eastAsia="Calibri"/>
          <w:szCs w:val="22"/>
          <w:lang w:eastAsia="en-US"/>
        </w:rPr>
      </w:pPr>
      <w:r w:rsidRPr="00420211">
        <w:rPr>
          <w:rFonts w:eastAsia="Calibri"/>
          <w:szCs w:val="22"/>
          <w:lang w:eastAsia="en-US"/>
        </w:rPr>
        <w:t xml:space="preserve">MSAC noted the application used the current MBS requirement that CE be performed within 6 months of the </w:t>
      </w:r>
      <w:proofErr w:type="spellStart"/>
      <w:r w:rsidRPr="00420211">
        <w:rPr>
          <w:rFonts w:eastAsia="Calibri"/>
          <w:szCs w:val="22"/>
          <w:lang w:eastAsia="en-US"/>
        </w:rPr>
        <w:t>non diagnostic</w:t>
      </w:r>
      <w:proofErr w:type="spellEnd"/>
      <w:r w:rsidRPr="00420211">
        <w:rPr>
          <w:rFonts w:eastAsia="Calibri"/>
          <w:szCs w:val="22"/>
          <w:lang w:eastAsia="en-US"/>
        </w:rPr>
        <w:t xml:space="preserve"> upper GI endoscopy and colonoscopy as the comparator for this amendment.</w:t>
      </w:r>
    </w:p>
    <w:p w14:paraId="79B26E41" w14:textId="77777777" w:rsidR="00420211" w:rsidRPr="00420211" w:rsidRDefault="00420211" w:rsidP="00420211">
      <w:pPr>
        <w:spacing w:after="200"/>
        <w:rPr>
          <w:rFonts w:eastAsia="Calibri"/>
          <w:szCs w:val="22"/>
          <w:lang w:eastAsia="en-US"/>
        </w:rPr>
      </w:pPr>
      <w:r w:rsidRPr="00420211">
        <w:rPr>
          <w:rFonts w:eastAsia="Calibri"/>
          <w:szCs w:val="22"/>
          <w:lang w:eastAsia="en-US"/>
        </w:rPr>
        <w:t>MSAC considered that CE is likely to be safer or of similar safety compared with repeat endoscopy and colonoscopy as complication rates associated with repeat CE procedures are low.</w:t>
      </w:r>
    </w:p>
    <w:p w14:paraId="4D3CAB80" w14:textId="77777777" w:rsidR="00420211" w:rsidRPr="00420211" w:rsidRDefault="00420211" w:rsidP="00420211">
      <w:pPr>
        <w:spacing w:after="200"/>
        <w:rPr>
          <w:rFonts w:eastAsia="Calibri"/>
          <w:szCs w:val="22"/>
          <w:lang w:eastAsia="en-US"/>
        </w:rPr>
      </w:pPr>
      <w:r w:rsidRPr="00420211">
        <w:rPr>
          <w:rFonts w:eastAsia="Calibri"/>
          <w:szCs w:val="22"/>
          <w:lang w:eastAsia="en-US"/>
        </w:rPr>
        <w:t xml:space="preserve">The application relied primarily on data from Gilbert et al (2008), which reported a very low diagnostic yield (4%) for repeat colonoscopy and endoscopy procedures performed to qualify for CE, and that 50/198 (25%) of patients referred for CE required repeat procedures because their prior colonoscopy or endoscopy procedures were performed more than 6 months before the referral. MSAC noted that, although this was useful data, the study only involved one Australian centre and its timing coincided with the MBS listing of CE which may have had some influence on the population studied. Therefore it was unclear whether these data are applicable to current clinical practice. </w:t>
      </w:r>
    </w:p>
    <w:p w14:paraId="2B8C18F4" w14:textId="0A391D42" w:rsidR="00420211" w:rsidRPr="00420211" w:rsidRDefault="00420211" w:rsidP="00420211">
      <w:pPr>
        <w:spacing w:after="200"/>
        <w:rPr>
          <w:rFonts w:eastAsia="Calibri"/>
          <w:szCs w:val="22"/>
          <w:lang w:eastAsia="en-US"/>
        </w:rPr>
      </w:pPr>
      <w:r w:rsidRPr="00420211">
        <w:rPr>
          <w:rFonts w:eastAsia="Calibri"/>
          <w:szCs w:val="22"/>
          <w:lang w:eastAsia="en-US"/>
        </w:rPr>
        <w:t>MSAC considered that the more relevant evidence came from MBS data on the number and timing of previous colonoscopies (MBS item numbers 32072-32095) prior to the CE performed on 717 patients in July 2012 and subsequently billed as MBS item 11820. This data indicated that 77% of patients (551/717) had a prior colonoscopy in the period back to 1 July 2010, which suggests that 23% may not have been billed to the MBS. Of the 551 patients, 94% (517/551) had the prior colonoscopy performed within the previous six months in accordance with the item descriptor for CE, and 6% (34/551) had the colonoscopy performed earlier than six months before the CE. Of the 517 patients who had a colonoscopy in accordance with the item descriptor for CE, 17% (90/517) also had another colonoscopy performed earlier than six months before the CE, and 5% (25/517) also had another colonoscopy performed within the six-month period.</w:t>
      </w:r>
      <w:r w:rsidRPr="00420211" w:rsidDel="0056229A">
        <w:rPr>
          <w:rFonts w:eastAsia="Calibri"/>
          <w:szCs w:val="22"/>
          <w:lang w:eastAsia="en-US"/>
        </w:rPr>
        <w:t xml:space="preserve"> </w:t>
      </w:r>
    </w:p>
    <w:p w14:paraId="38A61F1C" w14:textId="77777777" w:rsidR="00420211" w:rsidRPr="00420211" w:rsidRDefault="00420211" w:rsidP="00420211">
      <w:pPr>
        <w:spacing w:after="200"/>
        <w:rPr>
          <w:rFonts w:eastAsia="Calibri"/>
          <w:szCs w:val="22"/>
          <w:lang w:eastAsia="en-US"/>
        </w:rPr>
      </w:pPr>
      <w:r w:rsidRPr="00420211">
        <w:rPr>
          <w:rFonts w:eastAsia="Calibri"/>
          <w:szCs w:val="22"/>
          <w:lang w:eastAsia="en-US"/>
        </w:rPr>
        <w:lastRenderedPageBreak/>
        <w:t>Therefore, MSAC agreed that removing the 6-month rule could result in savings to the MBS. The application’s estimated cost savings of $3 million per year to society based on AR-DRG cost weights (25% repeat rate) were considered uncertain. MSAC noted that ESC’s estimated savings of slightly greater than $1 million per year to the MBS, based on MBS rebates, were more realistic. MSAC further advised that reducing these from a 25% rate of repeated colonoscopies and endoscopies to a maximum of 17% reflecting the MBS data analysis would further reduce the estimated savings to the MBS.</w:t>
      </w:r>
    </w:p>
    <w:p w14:paraId="361ED15E" w14:textId="4C24326F" w:rsidR="00AF0F0E" w:rsidRPr="00524A83" w:rsidRDefault="00420211" w:rsidP="00524A83">
      <w:pPr>
        <w:spacing w:after="200"/>
        <w:rPr>
          <w:rFonts w:eastAsia="Calibri"/>
          <w:szCs w:val="22"/>
          <w:lang w:eastAsia="en-US"/>
        </w:rPr>
      </w:pPr>
      <w:r w:rsidRPr="00420211">
        <w:rPr>
          <w:rFonts w:eastAsia="Calibri"/>
          <w:szCs w:val="22"/>
          <w:lang w:eastAsia="en-US"/>
        </w:rPr>
        <w:t>MSAC noted that since CE was first listed on the MBS, the unit cost of the capsules has dropped and therefore the price of the capsule which is included in the fee should be reviewed. This item should also be removed from standard indexation of MBS items.</w:t>
      </w:r>
    </w:p>
    <w:p w14:paraId="5752E6E0" w14:textId="77777777" w:rsidR="00937076" w:rsidRPr="006A19C5" w:rsidRDefault="006A19C5" w:rsidP="006A19C5">
      <w:pPr>
        <w:pStyle w:val="Heading1"/>
      </w:pPr>
      <w:r>
        <w:t>16.</w:t>
      </w:r>
      <w:r>
        <w:tab/>
      </w:r>
      <w:r w:rsidR="00937076" w:rsidRPr="006A19C5">
        <w:t>MSAC’s advice to the Minister</w:t>
      </w:r>
    </w:p>
    <w:p w14:paraId="22701683" w14:textId="77777777" w:rsidR="00420211" w:rsidRPr="00420211" w:rsidRDefault="00420211" w:rsidP="00420211">
      <w:pPr>
        <w:rPr>
          <w:rFonts w:eastAsia="Calibri"/>
          <w:szCs w:val="22"/>
          <w:lang w:eastAsia="en-US"/>
        </w:rPr>
      </w:pPr>
      <w:r w:rsidRPr="00420211">
        <w:rPr>
          <w:rFonts w:eastAsia="Calibri"/>
          <w:szCs w:val="24"/>
        </w:rPr>
        <w:t>After considering the strength of the available evidence in relation to the safety</w:t>
      </w:r>
      <w:r w:rsidRPr="00420211">
        <w:rPr>
          <w:rFonts w:eastAsia="Calibri"/>
          <w:szCs w:val="22"/>
          <w:lang w:eastAsia="en-US"/>
        </w:rPr>
        <w:t>, effectiveness and cost-effectiveness of capsule endoscopy, MSAC supports public funding to amend MBS item 11820 to remove any age restriction and remove the requirement that the qualifying endoscopy and colonoscopy be performed in the preceding 6 months.</w:t>
      </w:r>
    </w:p>
    <w:p w14:paraId="411C7216" w14:textId="77777777" w:rsidR="00420211" w:rsidRPr="00420211" w:rsidRDefault="00420211" w:rsidP="00420211">
      <w:pPr>
        <w:rPr>
          <w:rFonts w:eastAsia="Calibri"/>
          <w:szCs w:val="24"/>
          <w:lang w:eastAsia="en-US"/>
        </w:rPr>
      </w:pPr>
    </w:p>
    <w:p w14:paraId="7B518F4E" w14:textId="77777777" w:rsidR="00420211" w:rsidRPr="00420211" w:rsidRDefault="00420211" w:rsidP="00420211">
      <w:pPr>
        <w:rPr>
          <w:rFonts w:eastAsia="Calibri"/>
          <w:szCs w:val="24"/>
          <w:lang w:eastAsia="en-US"/>
        </w:rPr>
      </w:pPr>
      <w:r w:rsidRPr="00420211">
        <w:rPr>
          <w:rFonts w:eastAsia="Calibri"/>
          <w:szCs w:val="24"/>
          <w:lang w:eastAsia="en-US"/>
        </w:rPr>
        <w:t>MSAC suggested the following amended item descriptor:</w:t>
      </w:r>
    </w:p>
    <w:p w14:paraId="02F390F6" w14:textId="77777777" w:rsidR="00420211" w:rsidRPr="00420211" w:rsidRDefault="00420211" w:rsidP="00420211">
      <w:pPr>
        <w:autoSpaceDE w:val="0"/>
        <w:autoSpaceDN w:val="0"/>
        <w:adjustRightInd w:val="0"/>
        <w:rPr>
          <w:rFonts w:eastAsia="Calibri"/>
          <w:szCs w:val="24"/>
        </w:rPr>
      </w:pPr>
    </w:p>
    <w:p w14:paraId="550CD6F4" w14:textId="77777777" w:rsidR="00420211" w:rsidRPr="00420211" w:rsidRDefault="00420211" w:rsidP="00420211">
      <w:pPr>
        <w:autoSpaceDE w:val="0"/>
        <w:autoSpaceDN w:val="0"/>
        <w:adjustRightInd w:val="0"/>
        <w:rPr>
          <w:rFonts w:eastAsia="Calibri"/>
          <w:szCs w:val="24"/>
        </w:rPr>
      </w:pPr>
      <w:r w:rsidRPr="00420211">
        <w:rPr>
          <w:rFonts w:eastAsia="Calibri"/>
          <w:szCs w:val="24"/>
        </w:rPr>
        <w:t>11820 - Capsule endoscopy to investigate an episode of obscure gastrointestinal bleeding, using a capsule endoscopy device approved by the Therapeutic Goods Administration (including administration of the capsule, associated endoscopy procedure if required for placement, imaging, image reading and interpretation, and all attendances for providing the service on the day the capsule is administered) if:</w:t>
      </w:r>
    </w:p>
    <w:p w14:paraId="689F2136" w14:textId="77777777" w:rsidR="00420211" w:rsidRPr="00420211" w:rsidRDefault="00420211" w:rsidP="00420211">
      <w:pPr>
        <w:autoSpaceDE w:val="0"/>
        <w:autoSpaceDN w:val="0"/>
        <w:adjustRightInd w:val="0"/>
        <w:ind w:left="567" w:hanging="283"/>
        <w:rPr>
          <w:rFonts w:eastAsia="Calibri"/>
          <w:szCs w:val="24"/>
        </w:rPr>
      </w:pPr>
      <w:r w:rsidRPr="00420211">
        <w:rPr>
          <w:rFonts w:eastAsia="Calibri"/>
          <w:szCs w:val="24"/>
        </w:rPr>
        <w:t>(a) the service is performed by a specialist or consultant physician with endoscopic training that is recognised by The Conjoint Committee for the Recognition of Training in Gastrointestinal Endoscopy; and</w:t>
      </w:r>
    </w:p>
    <w:p w14:paraId="3BCA0BE7" w14:textId="77777777" w:rsidR="00420211" w:rsidRPr="00420211" w:rsidRDefault="00420211" w:rsidP="00420211">
      <w:pPr>
        <w:autoSpaceDE w:val="0"/>
        <w:autoSpaceDN w:val="0"/>
        <w:adjustRightInd w:val="0"/>
        <w:ind w:left="284"/>
        <w:rPr>
          <w:rFonts w:eastAsia="Calibri"/>
          <w:szCs w:val="24"/>
        </w:rPr>
      </w:pPr>
      <w:r w:rsidRPr="00420211">
        <w:rPr>
          <w:rFonts w:eastAsia="Calibri"/>
          <w:szCs w:val="24"/>
        </w:rPr>
        <w:t xml:space="preserve">(b) </w:t>
      </w:r>
      <w:proofErr w:type="gramStart"/>
      <w:r w:rsidRPr="00420211">
        <w:rPr>
          <w:rFonts w:eastAsia="Calibri"/>
          <w:szCs w:val="24"/>
        </w:rPr>
        <w:t>the</w:t>
      </w:r>
      <w:proofErr w:type="gramEnd"/>
      <w:r w:rsidRPr="00420211">
        <w:rPr>
          <w:rFonts w:eastAsia="Calibri"/>
          <w:szCs w:val="24"/>
        </w:rPr>
        <w:t xml:space="preserve"> patient to whom the service is provided:</w:t>
      </w:r>
    </w:p>
    <w:p w14:paraId="51377D5A" w14:textId="77777777" w:rsidR="00420211" w:rsidRPr="00420211" w:rsidRDefault="00420211" w:rsidP="00420211">
      <w:pPr>
        <w:autoSpaceDE w:val="0"/>
        <w:autoSpaceDN w:val="0"/>
        <w:adjustRightInd w:val="0"/>
        <w:ind w:left="993" w:hanging="425"/>
        <w:rPr>
          <w:rFonts w:eastAsia="Calibri"/>
          <w:szCs w:val="24"/>
        </w:rPr>
      </w:pPr>
      <w:r w:rsidRPr="00420211">
        <w:rPr>
          <w:rFonts w:eastAsia="Calibri"/>
          <w:szCs w:val="24"/>
        </w:rPr>
        <w:t>(</w:t>
      </w:r>
      <w:proofErr w:type="spellStart"/>
      <w:r w:rsidRPr="00420211">
        <w:rPr>
          <w:rFonts w:eastAsia="Calibri"/>
          <w:szCs w:val="24"/>
        </w:rPr>
        <w:t>i</w:t>
      </w:r>
      <w:proofErr w:type="spellEnd"/>
      <w:r w:rsidRPr="00420211">
        <w:rPr>
          <w:rFonts w:eastAsia="Calibri"/>
          <w:szCs w:val="24"/>
        </w:rPr>
        <w:t xml:space="preserve">) </w:t>
      </w:r>
      <w:proofErr w:type="gramStart"/>
      <w:r w:rsidRPr="00420211">
        <w:rPr>
          <w:rFonts w:eastAsia="Calibri"/>
          <w:szCs w:val="24"/>
        </w:rPr>
        <w:t>has</w:t>
      </w:r>
      <w:proofErr w:type="gramEnd"/>
      <w:r w:rsidRPr="00420211">
        <w:rPr>
          <w:rFonts w:eastAsia="Calibri"/>
          <w:szCs w:val="24"/>
        </w:rPr>
        <w:t xml:space="preserve"> recurrent or persistent bleeding; and</w:t>
      </w:r>
    </w:p>
    <w:p w14:paraId="58D0B6C4" w14:textId="77777777" w:rsidR="00420211" w:rsidRPr="00420211" w:rsidRDefault="00420211" w:rsidP="00420211">
      <w:pPr>
        <w:autoSpaceDE w:val="0"/>
        <w:autoSpaceDN w:val="0"/>
        <w:adjustRightInd w:val="0"/>
        <w:ind w:left="993" w:hanging="425"/>
        <w:rPr>
          <w:rFonts w:eastAsia="Calibri"/>
          <w:szCs w:val="24"/>
        </w:rPr>
      </w:pPr>
      <w:r w:rsidRPr="00420211">
        <w:rPr>
          <w:rFonts w:eastAsia="Calibri"/>
          <w:szCs w:val="24"/>
        </w:rPr>
        <w:t>(</w:t>
      </w:r>
      <w:proofErr w:type="gramStart"/>
      <w:r w:rsidRPr="00420211">
        <w:rPr>
          <w:rFonts w:eastAsia="Calibri"/>
          <w:szCs w:val="24"/>
        </w:rPr>
        <w:t>ii</w:t>
      </w:r>
      <w:proofErr w:type="gramEnd"/>
      <w:r w:rsidRPr="00420211">
        <w:rPr>
          <w:rFonts w:eastAsia="Calibri"/>
          <w:szCs w:val="24"/>
        </w:rPr>
        <w:t>) is anaemic or has active bleeding; and</w:t>
      </w:r>
    </w:p>
    <w:p w14:paraId="5A006B92" w14:textId="77777777" w:rsidR="00420211" w:rsidRPr="00420211" w:rsidRDefault="00420211" w:rsidP="00420211">
      <w:pPr>
        <w:autoSpaceDE w:val="0"/>
        <w:autoSpaceDN w:val="0"/>
        <w:adjustRightInd w:val="0"/>
        <w:ind w:left="567" w:hanging="282"/>
        <w:rPr>
          <w:rFonts w:eastAsia="Calibri"/>
          <w:szCs w:val="24"/>
        </w:rPr>
      </w:pPr>
      <w:r w:rsidRPr="00420211">
        <w:rPr>
          <w:rFonts w:eastAsia="Calibri"/>
          <w:szCs w:val="24"/>
        </w:rPr>
        <w:t xml:space="preserve">(c) </w:t>
      </w:r>
      <w:proofErr w:type="gramStart"/>
      <w:r w:rsidRPr="00420211">
        <w:rPr>
          <w:rFonts w:eastAsia="Calibri"/>
          <w:szCs w:val="24"/>
        </w:rPr>
        <w:t>an</w:t>
      </w:r>
      <w:proofErr w:type="gramEnd"/>
      <w:r w:rsidRPr="00420211">
        <w:rPr>
          <w:rFonts w:eastAsia="Calibri"/>
          <w:szCs w:val="24"/>
        </w:rPr>
        <w:t xml:space="preserve"> upper gastrointestinal endoscopy and a colonoscopy have been performed on the patient and have not identified the cause of the bleeding; and</w:t>
      </w:r>
    </w:p>
    <w:p w14:paraId="6FEE598D" w14:textId="23AFB4C7" w:rsidR="00AF0F0E" w:rsidRDefault="00420211" w:rsidP="00313414">
      <w:pPr>
        <w:ind w:left="567" w:hanging="282"/>
        <w:rPr>
          <w:rFonts w:eastAsia="Calibri"/>
          <w:szCs w:val="24"/>
        </w:rPr>
      </w:pPr>
      <w:r w:rsidRPr="00420211">
        <w:rPr>
          <w:rFonts w:eastAsia="Calibri"/>
          <w:szCs w:val="24"/>
        </w:rPr>
        <w:t xml:space="preserve">(d) </w:t>
      </w:r>
      <w:proofErr w:type="gramStart"/>
      <w:r w:rsidRPr="00420211">
        <w:rPr>
          <w:rFonts w:eastAsia="Calibri"/>
          <w:szCs w:val="24"/>
        </w:rPr>
        <w:t>the</w:t>
      </w:r>
      <w:proofErr w:type="gramEnd"/>
      <w:r w:rsidRPr="00420211">
        <w:rPr>
          <w:rFonts w:eastAsia="Calibri"/>
          <w:szCs w:val="24"/>
        </w:rPr>
        <w:t xml:space="preserve"> service has not been provided to the same patient on more than 2 occasions in any 12 month period.</w:t>
      </w:r>
    </w:p>
    <w:p w14:paraId="5CEE4A91" w14:textId="77777777" w:rsidR="00313414" w:rsidRPr="00524A83" w:rsidRDefault="00313414" w:rsidP="00313414">
      <w:pPr>
        <w:ind w:left="567" w:hanging="282"/>
        <w:rPr>
          <w:rFonts w:eastAsia="Calibri"/>
          <w:szCs w:val="24"/>
          <w:lang w:val="en-US" w:eastAsia="en-US"/>
        </w:rPr>
      </w:pPr>
    </w:p>
    <w:p w14:paraId="25EE5E60" w14:textId="77777777" w:rsidR="00BB418D" w:rsidRPr="006A19C5" w:rsidRDefault="006A19C5" w:rsidP="00313414">
      <w:pPr>
        <w:pStyle w:val="Heading1"/>
        <w:spacing w:before="0"/>
      </w:pPr>
      <w:r>
        <w:t>17.</w:t>
      </w:r>
      <w:r>
        <w:tab/>
      </w:r>
      <w:r w:rsidR="00BB418D" w:rsidRPr="006A19C5">
        <w:t>Applicant’s comments on MSAC’s Public Summary Document</w:t>
      </w:r>
    </w:p>
    <w:p w14:paraId="3CAF861A" w14:textId="230C6421" w:rsidR="00313414" w:rsidRPr="006A19C5" w:rsidRDefault="00BB6211" w:rsidP="000A3FC5">
      <w:pPr>
        <w:tabs>
          <w:tab w:val="left" w:pos="720"/>
        </w:tabs>
        <w:rPr>
          <w:rFonts w:ascii="Arial Narrow" w:hAnsi="Arial Narrow"/>
          <w:sz w:val="21"/>
          <w:szCs w:val="21"/>
          <w:highlight w:val="yellow"/>
        </w:rPr>
      </w:pPr>
      <w:r w:rsidRPr="00BB6211">
        <w:rPr>
          <w:iCs/>
          <w:color w:val="000000"/>
          <w:szCs w:val="24"/>
        </w:rPr>
        <w:t>Given Imaging are very pleased with MSAC's support for public funding to amend MBS item 11820 to remove any age restriction and remove the requirement that the qualifying endoscopy and colonoscopy be performed in the preceding 6 months.  We believe the removal of age restriction will now enable young children who represent a small volume but clinically</w:t>
      </w:r>
      <w:bookmarkStart w:id="1" w:name="_GoBack"/>
      <w:bookmarkEnd w:id="1"/>
      <w:r w:rsidRPr="00BB6211">
        <w:rPr>
          <w:iCs/>
          <w:color w:val="000000"/>
          <w:szCs w:val="24"/>
        </w:rPr>
        <w:t xml:space="preserve"> needy group of patients to benefit from capsule endoscopy.  We also believe the removal of the preceding 6 month endoscopy timeline prior to Capsule Endoscopy will avoid the need for patients to undergo repeat endoscopy because of a timeline requirement, whilst </w:t>
      </w:r>
      <w:r w:rsidR="005137FC" w:rsidRPr="00BB6211">
        <w:rPr>
          <w:iCs/>
          <w:color w:val="000000"/>
          <w:szCs w:val="24"/>
        </w:rPr>
        <w:t>simultaneously</w:t>
      </w:r>
      <w:r w:rsidR="005137FC">
        <w:rPr>
          <w:iCs/>
          <w:color w:val="000000"/>
          <w:szCs w:val="24"/>
        </w:rPr>
        <w:t xml:space="preserve"> saving health care costs. </w:t>
      </w:r>
      <w:r w:rsidRPr="00BB6211">
        <w:rPr>
          <w:iCs/>
          <w:color w:val="000000"/>
          <w:szCs w:val="24"/>
        </w:rPr>
        <w:t>For further information on capsule endoscopy, please visit www.givenimaging.com</w:t>
      </w:r>
      <w:r>
        <w:rPr>
          <w:iCs/>
          <w:color w:val="000000"/>
          <w:szCs w:val="24"/>
        </w:rPr>
        <w:t>.</w:t>
      </w:r>
    </w:p>
    <w:p w14:paraId="758A52CA" w14:textId="77777777" w:rsidR="004B12B2" w:rsidRDefault="004B12B2" w:rsidP="00313414">
      <w:pPr>
        <w:pStyle w:val="Heading1"/>
        <w:spacing w:before="0"/>
      </w:pPr>
    </w:p>
    <w:p w14:paraId="3E539586" w14:textId="77777777" w:rsidR="004B12B2" w:rsidRDefault="004B12B2">
      <w:pPr>
        <w:rPr>
          <w:rFonts w:ascii="Arial" w:eastAsiaTheme="majorEastAsia" w:hAnsi="Arial" w:cstheme="majorBidi"/>
          <w:b/>
          <w:bCs/>
          <w:szCs w:val="28"/>
        </w:rPr>
      </w:pPr>
      <w:r>
        <w:br w:type="page"/>
      </w:r>
    </w:p>
    <w:p w14:paraId="618BFA4B" w14:textId="1DBEDDE6" w:rsidR="004C0814" w:rsidRPr="006A19C5" w:rsidRDefault="006A19C5" w:rsidP="00313414">
      <w:pPr>
        <w:pStyle w:val="Heading1"/>
        <w:spacing w:before="0"/>
      </w:pPr>
      <w:r>
        <w:lastRenderedPageBreak/>
        <w:t>18.</w:t>
      </w:r>
      <w:r>
        <w:tab/>
      </w:r>
      <w:r w:rsidR="004C0814" w:rsidRPr="006A19C5">
        <w:t xml:space="preserve">Context for </w:t>
      </w:r>
      <w:r w:rsidR="00B40A4B" w:rsidRPr="006A19C5">
        <w:t>d</w:t>
      </w:r>
      <w:r w:rsidR="004C0814" w:rsidRPr="006A19C5">
        <w:t>ecision</w:t>
      </w:r>
      <w:r w:rsidR="0095175A" w:rsidRPr="006A19C5">
        <w:t xml:space="preserve"> </w:t>
      </w:r>
    </w:p>
    <w:p w14:paraId="520DF66C" w14:textId="77777777" w:rsidR="00FA3CC0" w:rsidRPr="00BB418D" w:rsidRDefault="00FA3CC0" w:rsidP="00313414">
      <w:pPr>
        <w:tabs>
          <w:tab w:val="left" w:pos="720"/>
        </w:tabs>
        <w:rPr>
          <w:szCs w:val="24"/>
        </w:rPr>
      </w:pPr>
      <w:r w:rsidRPr="00BB418D">
        <w:rPr>
          <w:szCs w:val="24"/>
        </w:rPr>
        <w:t>This advice was made under the MSAC Terms of Reference.</w:t>
      </w:r>
    </w:p>
    <w:p w14:paraId="34B85CBA" w14:textId="77777777" w:rsidR="00313414" w:rsidRDefault="00313414" w:rsidP="00313414">
      <w:pPr>
        <w:rPr>
          <w:szCs w:val="24"/>
          <w:lang w:val="en-US" w:eastAsia="en-US"/>
        </w:rPr>
      </w:pPr>
    </w:p>
    <w:p w14:paraId="7CB36BA4" w14:textId="77777777" w:rsidR="00FA3CC0" w:rsidRPr="00BB418D" w:rsidRDefault="00FA3CC0" w:rsidP="00313414">
      <w:pPr>
        <w:rPr>
          <w:szCs w:val="24"/>
          <w:lang w:val="en-US" w:eastAsia="en-US"/>
        </w:rPr>
      </w:pPr>
      <w:r w:rsidRPr="00BB418D">
        <w:rPr>
          <w:szCs w:val="24"/>
          <w:lang w:val="en-US" w:eastAsia="en-US"/>
        </w:rPr>
        <w:t xml:space="preserve">MSAC is to: </w:t>
      </w:r>
    </w:p>
    <w:p w14:paraId="1FCA17C6" w14:textId="77777777" w:rsidR="00313414" w:rsidRDefault="00313414" w:rsidP="00313414">
      <w:pPr>
        <w:rPr>
          <w:szCs w:val="24"/>
          <w:lang w:val="en-US" w:eastAsia="en-US"/>
        </w:rPr>
      </w:pPr>
    </w:p>
    <w:p w14:paraId="0A356DB0" w14:textId="77777777" w:rsidR="00FA3CC0" w:rsidRPr="00BB418D" w:rsidRDefault="00FA3CC0" w:rsidP="00313414">
      <w:pPr>
        <w:rPr>
          <w:szCs w:val="24"/>
          <w:lang w:val="en-US" w:eastAsia="en-US"/>
        </w:rPr>
      </w:pPr>
      <w:r w:rsidRPr="00BB418D">
        <w:rPr>
          <w:szCs w:val="24"/>
          <w:lang w:val="en-US" w:eastAsia="en-US"/>
        </w:rPr>
        <w:t>Advise the Minister for Health and Ageing on medical services that involve new or emerging technologies and procedures</w:t>
      </w:r>
      <w:r w:rsidR="00A10960" w:rsidRPr="00BB418D">
        <w:rPr>
          <w:szCs w:val="24"/>
        </w:rPr>
        <w:t xml:space="preserve"> and, where relevant, amendment to existing MBS items</w:t>
      </w:r>
      <w:r w:rsidRPr="00BB418D">
        <w:rPr>
          <w:szCs w:val="24"/>
          <w:lang w:val="en-US" w:eastAsia="en-US"/>
        </w:rPr>
        <w:t xml:space="preserve">, in relation to: </w:t>
      </w:r>
    </w:p>
    <w:p w14:paraId="3EBDBD33" w14:textId="77777777" w:rsidR="00FA3CC0" w:rsidRPr="00BB418D" w:rsidRDefault="00FA3CC0" w:rsidP="0070792A">
      <w:pPr>
        <w:numPr>
          <w:ilvl w:val="0"/>
          <w:numId w:val="4"/>
        </w:numPr>
        <w:tabs>
          <w:tab w:val="clear" w:pos="1080"/>
          <w:tab w:val="num" w:pos="360"/>
          <w:tab w:val="left" w:pos="810"/>
          <w:tab w:val="left" w:pos="1170"/>
        </w:tabs>
        <w:ind w:left="360"/>
        <w:rPr>
          <w:szCs w:val="24"/>
          <w:lang w:val="en-US" w:eastAsia="en-US"/>
        </w:rPr>
      </w:pPr>
      <w:r w:rsidRPr="00BB418D">
        <w:rPr>
          <w:szCs w:val="24"/>
          <w:lang w:val="en-US" w:eastAsia="en-US"/>
        </w:rPr>
        <w:t xml:space="preserve">the strength of evidence in relation to the comparative safety, effectiveness, cost-effectiveness and total cost of the medical service; </w:t>
      </w:r>
    </w:p>
    <w:p w14:paraId="10101337" w14:textId="77777777" w:rsidR="00FA3CC0" w:rsidRPr="00BB418D" w:rsidRDefault="00FA3CC0" w:rsidP="0070792A">
      <w:pPr>
        <w:numPr>
          <w:ilvl w:val="0"/>
          <w:numId w:val="4"/>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whether public funding should be supported for the medical service and, if so, the circumstances under which public funding should be supported; </w:t>
      </w:r>
    </w:p>
    <w:p w14:paraId="53BDD59C" w14:textId="77777777" w:rsidR="00FA3CC0" w:rsidRPr="00BB418D" w:rsidRDefault="00FA3CC0" w:rsidP="0070792A">
      <w:pPr>
        <w:numPr>
          <w:ilvl w:val="0"/>
          <w:numId w:val="4"/>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14:paraId="34B89717" w14:textId="77777777" w:rsidR="00FA3CC0" w:rsidRPr="00BB418D" w:rsidRDefault="00FA3CC0" w:rsidP="0070792A">
      <w:pPr>
        <w:numPr>
          <w:ilvl w:val="0"/>
          <w:numId w:val="4"/>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w:t>
      </w:r>
      <w:r w:rsidR="00B40A4B" w:rsidRPr="00BB418D">
        <w:rPr>
          <w:szCs w:val="24"/>
          <w:lang w:val="en-US" w:eastAsia="en-US"/>
        </w:rPr>
        <w:t>riod;</w:t>
      </w:r>
    </w:p>
    <w:p w14:paraId="288929E5" w14:textId="77777777" w:rsidR="00FA3CC0" w:rsidRPr="00BB418D" w:rsidRDefault="00FA3CC0" w:rsidP="0070792A">
      <w:pPr>
        <w:numPr>
          <w:ilvl w:val="0"/>
          <w:numId w:val="4"/>
        </w:numPr>
        <w:tabs>
          <w:tab w:val="clear" w:pos="1080"/>
          <w:tab w:val="num" w:pos="360"/>
          <w:tab w:val="left" w:pos="810"/>
          <w:tab w:val="left" w:pos="1170"/>
        </w:tabs>
        <w:spacing w:before="100" w:beforeAutospacing="1" w:after="100" w:afterAutospacing="1"/>
        <w:ind w:left="360"/>
        <w:rPr>
          <w:szCs w:val="24"/>
          <w:lang w:val="en-US" w:eastAsia="en-US"/>
        </w:rPr>
      </w:pPr>
      <w:proofErr w:type="gramStart"/>
      <w:r w:rsidRPr="00BB418D">
        <w:rPr>
          <w:szCs w:val="24"/>
          <w:lang w:val="en-US" w:eastAsia="en-US"/>
        </w:rPr>
        <w:t>other</w:t>
      </w:r>
      <w:proofErr w:type="gramEnd"/>
      <w:r w:rsidRPr="00BB418D">
        <w:rPr>
          <w:szCs w:val="24"/>
          <w:lang w:val="en-US" w:eastAsia="en-US"/>
        </w:rPr>
        <w:t xml:space="preserve"> matters related to the public funding of health services referred by the Minister.</w:t>
      </w:r>
    </w:p>
    <w:p w14:paraId="3118F62E" w14:textId="77777777" w:rsidR="00FA3CC0" w:rsidRPr="00BB418D" w:rsidRDefault="00FA3CC0" w:rsidP="00396FC8">
      <w:pPr>
        <w:rPr>
          <w:szCs w:val="24"/>
          <w:lang w:val="en-US" w:eastAsia="en-US"/>
        </w:rPr>
      </w:pPr>
      <w:proofErr w:type="gramStart"/>
      <w:r w:rsidRPr="00BB418D">
        <w:rPr>
          <w:szCs w:val="24"/>
          <w:lang w:val="en-US" w:eastAsia="en-US"/>
        </w:rPr>
        <w:t>Advise</w:t>
      </w:r>
      <w:proofErr w:type="gramEnd"/>
      <w:r w:rsidRPr="00BB418D">
        <w:rPr>
          <w:szCs w:val="24"/>
          <w:lang w:val="en-US" w:eastAsia="en-US"/>
        </w:rPr>
        <w:t xml:space="preserve"> the Australian He</w:t>
      </w:r>
      <w:r w:rsidR="005134DF" w:rsidRPr="00BB418D">
        <w:rPr>
          <w:szCs w:val="24"/>
          <w:lang w:val="en-US" w:eastAsia="en-US"/>
        </w:rPr>
        <w:t>alth Minister</w:t>
      </w:r>
      <w:r w:rsidRPr="00BB418D">
        <w:rPr>
          <w:szCs w:val="24"/>
          <w:lang w:val="en-US" w:eastAsia="en-US"/>
        </w:rPr>
        <w:t>s</w:t>
      </w:r>
      <w:r w:rsidR="005134DF" w:rsidRPr="00BB418D">
        <w:rPr>
          <w:szCs w:val="24"/>
          <w:lang w:val="en-US" w:eastAsia="en-US"/>
        </w:rPr>
        <w:t>’</w:t>
      </w:r>
      <w:r w:rsidRPr="00BB418D">
        <w:rPr>
          <w:szCs w:val="24"/>
          <w:lang w:val="en-US" w:eastAsia="en-US"/>
        </w:rPr>
        <w:t xml:space="preserve"> Advisory Council (AHMAC) on health technology assessments referred under AHMAC arrangements. </w:t>
      </w:r>
    </w:p>
    <w:p w14:paraId="25A92133" w14:textId="77777777" w:rsidR="00FA3CC0" w:rsidRPr="00BB418D" w:rsidRDefault="00FA3CC0" w:rsidP="00396FC8">
      <w:pPr>
        <w:spacing w:before="100" w:beforeAutospacing="1" w:after="100" w:afterAutospacing="1"/>
        <w:rPr>
          <w:szCs w:val="24"/>
          <w:lang w:val="en-US" w:eastAsia="en-US"/>
        </w:rPr>
      </w:pPr>
      <w:r w:rsidRPr="00BB418D">
        <w:rPr>
          <w:szCs w:val="24"/>
          <w:lang w:val="en-US" w:eastAsia="en-US"/>
        </w:rPr>
        <w:t xml:space="preserve">MSAC may also establish sub-committees to assist MSAC to effectively undertake its role. MSAC may delegate some of its functions to </w:t>
      </w:r>
      <w:r w:rsidR="003944CD" w:rsidRPr="00BB418D">
        <w:rPr>
          <w:szCs w:val="24"/>
          <w:lang w:val="en-US" w:eastAsia="en-US"/>
        </w:rPr>
        <w:t>its Executive</w:t>
      </w:r>
      <w:r w:rsidRPr="00BB418D">
        <w:rPr>
          <w:szCs w:val="24"/>
          <w:lang w:val="en-US" w:eastAsia="en-US"/>
        </w:rPr>
        <w:t xml:space="preserve"> sub-committee.</w:t>
      </w:r>
    </w:p>
    <w:p w14:paraId="646B56E0" w14:textId="77777777" w:rsidR="00AF0F0E" w:rsidRPr="006A19C5" w:rsidRDefault="006A19C5" w:rsidP="00524A83">
      <w:pPr>
        <w:pStyle w:val="Heading1"/>
        <w:spacing w:before="0"/>
      </w:pPr>
      <w:r>
        <w:t>19.</w:t>
      </w:r>
      <w:r>
        <w:tab/>
      </w:r>
      <w:r w:rsidR="004C0814" w:rsidRPr="006A19C5">
        <w:t xml:space="preserve">Linkages to </w:t>
      </w:r>
      <w:r w:rsidR="00B40A4B" w:rsidRPr="006A19C5">
        <w:t>o</w:t>
      </w:r>
      <w:r w:rsidR="004C0814" w:rsidRPr="006A19C5">
        <w:t xml:space="preserve">ther </w:t>
      </w:r>
      <w:r w:rsidR="00B40A4B" w:rsidRPr="006A19C5">
        <w:t>d</w:t>
      </w:r>
      <w:r w:rsidR="004C0814" w:rsidRPr="006A19C5">
        <w:t>ocuments</w:t>
      </w:r>
      <w:r w:rsidR="00B40A4B" w:rsidRPr="006A19C5">
        <w:t xml:space="preserve"> </w:t>
      </w:r>
    </w:p>
    <w:p w14:paraId="0A693861" w14:textId="77777777" w:rsidR="00B44CD0" w:rsidRDefault="00B44CD0" w:rsidP="00524A83">
      <w:pPr>
        <w:tabs>
          <w:tab w:val="left" w:pos="720"/>
        </w:tabs>
        <w:rPr>
          <w:szCs w:val="24"/>
        </w:rPr>
      </w:pPr>
    </w:p>
    <w:p w14:paraId="04F0B5CE" w14:textId="77777777" w:rsidR="006F0F76" w:rsidRPr="00BB418D" w:rsidRDefault="004C0814" w:rsidP="00524A83">
      <w:pPr>
        <w:tabs>
          <w:tab w:val="left" w:pos="720"/>
        </w:tabs>
        <w:rPr>
          <w:szCs w:val="24"/>
        </w:rPr>
      </w:pPr>
      <w:r w:rsidRPr="00BB418D">
        <w:rPr>
          <w:szCs w:val="24"/>
        </w:rPr>
        <w:t xml:space="preserve">MSAC’s processes are detailed on the MSAC Website at: </w:t>
      </w:r>
      <w:hyperlink r:id="rId10" w:tooltip="Medical services advisory committee website" w:history="1">
        <w:r w:rsidRPr="00BB418D">
          <w:rPr>
            <w:rStyle w:val="Hyperlink"/>
            <w:szCs w:val="24"/>
          </w:rPr>
          <w:t>www.msac.gov.au</w:t>
        </w:r>
      </w:hyperlink>
      <w:r w:rsidRPr="00BB418D">
        <w:rPr>
          <w:szCs w:val="24"/>
        </w:rPr>
        <w:t xml:space="preserve">.  </w:t>
      </w:r>
    </w:p>
    <w:sectPr w:rsidR="006F0F76" w:rsidRPr="00BB418D" w:rsidSect="00A20A17">
      <w:footerReference w:type="even" r:id="rId11"/>
      <w:footerReference w:type="default" r:id="rId12"/>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062DA" w14:textId="77777777" w:rsidR="002508F5" w:rsidRDefault="002508F5">
      <w:r>
        <w:separator/>
      </w:r>
    </w:p>
  </w:endnote>
  <w:endnote w:type="continuationSeparator" w:id="0">
    <w:p w14:paraId="46B688D7" w14:textId="77777777" w:rsidR="002508F5" w:rsidRDefault="0025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C0791" w14:textId="77777777" w:rsidR="00176943" w:rsidRDefault="00176943"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5B16E7" w14:textId="77777777" w:rsidR="00176943" w:rsidRDefault="00176943"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F2E17" w14:textId="77777777" w:rsidR="00176943" w:rsidRPr="00712AB3" w:rsidRDefault="00176943"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0A3FC5">
      <w:rPr>
        <w:rFonts w:ascii="Arial Narrow" w:hAnsi="Arial Narrow"/>
        <w:noProof/>
      </w:rPr>
      <w:t>17</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0A3FC5">
      <w:rPr>
        <w:rFonts w:ascii="Arial Narrow" w:hAnsi="Arial Narrow"/>
        <w:noProof/>
      </w:rPr>
      <w:t>18</w:t>
    </w:r>
    <w:r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98C51" w14:textId="77777777" w:rsidR="002508F5" w:rsidRDefault="002508F5">
      <w:r>
        <w:separator/>
      </w:r>
    </w:p>
  </w:footnote>
  <w:footnote w:type="continuationSeparator" w:id="0">
    <w:p w14:paraId="35D251B0" w14:textId="77777777" w:rsidR="002508F5" w:rsidRDefault="00250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120"/>
    <w:multiLevelType w:val="hybridMultilevel"/>
    <w:tmpl w:val="3156F64E"/>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
    <w:nsid w:val="0259458A"/>
    <w:multiLevelType w:val="hybridMultilevel"/>
    <w:tmpl w:val="9CDC4F64"/>
    <w:lvl w:ilvl="0" w:tplc="3A30CD8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7624FF7"/>
    <w:multiLevelType w:val="hybridMultilevel"/>
    <w:tmpl w:val="03AE9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3377AA"/>
    <w:multiLevelType w:val="hybridMultilevel"/>
    <w:tmpl w:val="D376D26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2FE23FBC"/>
    <w:multiLevelType w:val="hybridMultilevel"/>
    <w:tmpl w:val="CA3CF304"/>
    <w:lvl w:ilvl="0" w:tplc="637CFE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7B2A25"/>
    <w:multiLevelType w:val="hybridMultilevel"/>
    <w:tmpl w:val="91E2F0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D9258D"/>
    <w:multiLevelType w:val="hybridMultilevel"/>
    <w:tmpl w:val="7EB8F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FC2A10"/>
    <w:multiLevelType w:val="hybridMultilevel"/>
    <w:tmpl w:val="7C3EB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AC4462"/>
    <w:multiLevelType w:val="hybridMultilevel"/>
    <w:tmpl w:val="70665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77D69F8"/>
    <w:multiLevelType w:val="hybridMultilevel"/>
    <w:tmpl w:val="7E5C0DC6"/>
    <w:lvl w:ilvl="0" w:tplc="E93EB65E">
      <w:start w:val="1"/>
      <w:numFmt w:val="decimal"/>
      <w:lvlText w:val="%1."/>
      <w:lvlJc w:val="left"/>
      <w:pPr>
        <w:ind w:left="915"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1"/>
  </w:num>
  <w:num w:numId="4">
    <w:abstractNumId w:val="14"/>
  </w:num>
  <w:num w:numId="5">
    <w:abstractNumId w:val="9"/>
  </w:num>
  <w:num w:numId="6">
    <w:abstractNumId w:val="13"/>
  </w:num>
  <w:num w:numId="7">
    <w:abstractNumId w:val="7"/>
  </w:num>
  <w:num w:numId="8">
    <w:abstractNumId w:val="12"/>
  </w:num>
  <w:num w:numId="9">
    <w:abstractNumId w:val="4"/>
  </w:num>
  <w:num w:numId="10">
    <w:abstractNumId w:val="6"/>
  </w:num>
  <w:num w:numId="11">
    <w:abstractNumId w:val="5"/>
  </w:num>
  <w:num w:numId="12">
    <w:abstractNumId w:val="1"/>
  </w:num>
  <w:num w:numId="13">
    <w:abstractNumId w:val="2"/>
  </w:num>
  <w:num w:numId="14">
    <w:abstractNumId w:val="0"/>
  </w:num>
  <w:num w:numId="15">
    <w:abstractNumId w:val="10"/>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81A"/>
    <w:rsid w:val="00001C90"/>
    <w:rsid w:val="0000291D"/>
    <w:rsid w:val="00007D0E"/>
    <w:rsid w:val="00017F63"/>
    <w:rsid w:val="000261E5"/>
    <w:rsid w:val="00034C3A"/>
    <w:rsid w:val="00035317"/>
    <w:rsid w:val="0003690A"/>
    <w:rsid w:val="00050D0E"/>
    <w:rsid w:val="00052A77"/>
    <w:rsid w:val="0006068A"/>
    <w:rsid w:val="00060966"/>
    <w:rsid w:val="00083754"/>
    <w:rsid w:val="00094129"/>
    <w:rsid w:val="0009546B"/>
    <w:rsid w:val="000A3FC5"/>
    <w:rsid w:val="000C7402"/>
    <w:rsid w:val="000D0603"/>
    <w:rsid w:val="000E6C30"/>
    <w:rsid w:val="000F2579"/>
    <w:rsid w:val="000F4375"/>
    <w:rsid w:val="000F6455"/>
    <w:rsid w:val="00105349"/>
    <w:rsid w:val="001055A9"/>
    <w:rsid w:val="0011558F"/>
    <w:rsid w:val="001206C8"/>
    <w:rsid w:val="001213EF"/>
    <w:rsid w:val="0012732A"/>
    <w:rsid w:val="00133D8B"/>
    <w:rsid w:val="00133E99"/>
    <w:rsid w:val="00143F8F"/>
    <w:rsid w:val="0015006C"/>
    <w:rsid w:val="001609DA"/>
    <w:rsid w:val="001616F0"/>
    <w:rsid w:val="0016184B"/>
    <w:rsid w:val="001630F5"/>
    <w:rsid w:val="0016524E"/>
    <w:rsid w:val="001654ED"/>
    <w:rsid w:val="0017654F"/>
    <w:rsid w:val="00176943"/>
    <w:rsid w:val="0017785A"/>
    <w:rsid w:val="00181612"/>
    <w:rsid w:val="0018639D"/>
    <w:rsid w:val="0018656C"/>
    <w:rsid w:val="00190459"/>
    <w:rsid w:val="001918E6"/>
    <w:rsid w:val="001925B2"/>
    <w:rsid w:val="001A6A0F"/>
    <w:rsid w:val="001B0E51"/>
    <w:rsid w:val="001B4017"/>
    <w:rsid w:val="001C2532"/>
    <w:rsid w:val="001C5E73"/>
    <w:rsid w:val="001E1350"/>
    <w:rsid w:val="001E2C40"/>
    <w:rsid w:val="001E4731"/>
    <w:rsid w:val="001E67A4"/>
    <w:rsid w:val="001F6220"/>
    <w:rsid w:val="00201963"/>
    <w:rsid w:val="00213C76"/>
    <w:rsid w:val="00215DE0"/>
    <w:rsid w:val="0021773A"/>
    <w:rsid w:val="00220070"/>
    <w:rsid w:val="00221D3B"/>
    <w:rsid w:val="002303BF"/>
    <w:rsid w:val="00231340"/>
    <w:rsid w:val="002318CC"/>
    <w:rsid w:val="002508F5"/>
    <w:rsid w:val="00260379"/>
    <w:rsid w:val="00266C75"/>
    <w:rsid w:val="00270369"/>
    <w:rsid w:val="00282BE5"/>
    <w:rsid w:val="002832E3"/>
    <w:rsid w:val="00285AE8"/>
    <w:rsid w:val="0028729B"/>
    <w:rsid w:val="002A7B6E"/>
    <w:rsid w:val="002B4CE2"/>
    <w:rsid w:val="002C4953"/>
    <w:rsid w:val="002C5AC5"/>
    <w:rsid w:val="002D5FD2"/>
    <w:rsid w:val="002F289C"/>
    <w:rsid w:val="002F3450"/>
    <w:rsid w:val="0030582B"/>
    <w:rsid w:val="003062CB"/>
    <w:rsid w:val="00313414"/>
    <w:rsid w:val="00317D0E"/>
    <w:rsid w:val="0032021B"/>
    <w:rsid w:val="0032191E"/>
    <w:rsid w:val="00322DDB"/>
    <w:rsid w:val="00323C78"/>
    <w:rsid w:val="00325FB2"/>
    <w:rsid w:val="0033148F"/>
    <w:rsid w:val="0033175F"/>
    <w:rsid w:val="0033624E"/>
    <w:rsid w:val="003568CA"/>
    <w:rsid w:val="00360424"/>
    <w:rsid w:val="00361D4E"/>
    <w:rsid w:val="00375668"/>
    <w:rsid w:val="0039128A"/>
    <w:rsid w:val="00391C38"/>
    <w:rsid w:val="00392AD4"/>
    <w:rsid w:val="003944CD"/>
    <w:rsid w:val="00396FC8"/>
    <w:rsid w:val="003A1C75"/>
    <w:rsid w:val="003A5CBC"/>
    <w:rsid w:val="003B1F82"/>
    <w:rsid w:val="003B208B"/>
    <w:rsid w:val="003B4B04"/>
    <w:rsid w:val="003B4FF5"/>
    <w:rsid w:val="003C2BE1"/>
    <w:rsid w:val="003C3A6F"/>
    <w:rsid w:val="003C4EEC"/>
    <w:rsid w:val="003C4F0D"/>
    <w:rsid w:val="003D0F7D"/>
    <w:rsid w:val="003D2D5B"/>
    <w:rsid w:val="003E2B1F"/>
    <w:rsid w:val="003E74BC"/>
    <w:rsid w:val="00402A9A"/>
    <w:rsid w:val="00405950"/>
    <w:rsid w:val="00410A3C"/>
    <w:rsid w:val="00413CB6"/>
    <w:rsid w:val="00420211"/>
    <w:rsid w:val="00422B7E"/>
    <w:rsid w:val="00426F5C"/>
    <w:rsid w:val="00430E83"/>
    <w:rsid w:val="00440B40"/>
    <w:rsid w:val="004410E3"/>
    <w:rsid w:val="0044179E"/>
    <w:rsid w:val="00454D31"/>
    <w:rsid w:val="00455070"/>
    <w:rsid w:val="004625C3"/>
    <w:rsid w:val="00476451"/>
    <w:rsid w:val="00485642"/>
    <w:rsid w:val="004A1221"/>
    <w:rsid w:val="004A158D"/>
    <w:rsid w:val="004A772F"/>
    <w:rsid w:val="004B12B2"/>
    <w:rsid w:val="004B4C24"/>
    <w:rsid w:val="004B7FC2"/>
    <w:rsid w:val="004C0814"/>
    <w:rsid w:val="004C0DCE"/>
    <w:rsid w:val="004C4926"/>
    <w:rsid w:val="004C6285"/>
    <w:rsid w:val="004E2CF8"/>
    <w:rsid w:val="004E31A3"/>
    <w:rsid w:val="004E6F63"/>
    <w:rsid w:val="004F286E"/>
    <w:rsid w:val="00502428"/>
    <w:rsid w:val="00504C9D"/>
    <w:rsid w:val="00504FB9"/>
    <w:rsid w:val="0051150B"/>
    <w:rsid w:val="00512794"/>
    <w:rsid w:val="005134DF"/>
    <w:rsid w:val="005137FC"/>
    <w:rsid w:val="00513B60"/>
    <w:rsid w:val="00524A83"/>
    <w:rsid w:val="00527460"/>
    <w:rsid w:val="00527479"/>
    <w:rsid w:val="00540975"/>
    <w:rsid w:val="00542887"/>
    <w:rsid w:val="005440ED"/>
    <w:rsid w:val="0054465E"/>
    <w:rsid w:val="0055118D"/>
    <w:rsid w:val="00556B74"/>
    <w:rsid w:val="005653FD"/>
    <w:rsid w:val="00565BFB"/>
    <w:rsid w:val="005746BC"/>
    <w:rsid w:val="00580346"/>
    <w:rsid w:val="005865A8"/>
    <w:rsid w:val="0058665D"/>
    <w:rsid w:val="00597298"/>
    <w:rsid w:val="005A1883"/>
    <w:rsid w:val="005D52A1"/>
    <w:rsid w:val="005F1591"/>
    <w:rsid w:val="005F3F55"/>
    <w:rsid w:val="00601648"/>
    <w:rsid w:val="00602287"/>
    <w:rsid w:val="00610609"/>
    <w:rsid w:val="006132E9"/>
    <w:rsid w:val="006156C1"/>
    <w:rsid w:val="0062054F"/>
    <w:rsid w:val="0062170D"/>
    <w:rsid w:val="00633A62"/>
    <w:rsid w:val="0063711F"/>
    <w:rsid w:val="00647464"/>
    <w:rsid w:val="0065444D"/>
    <w:rsid w:val="00685063"/>
    <w:rsid w:val="00692619"/>
    <w:rsid w:val="00692B2B"/>
    <w:rsid w:val="006956E3"/>
    <w:rsid w:val="006966E6"/>
    <w:rsid w:val="00696C68"/>
    <w:rsid w:val="006A19C5"/>
    <w:rsid w:val="006A6F67"/>
    <w:rsid w:val="006B4B84"/>
    <w:rsid w:val="006B62D1"/>
    <w:rsid w:val="006C0612"/>
    <w:rsid w:val="006D0A45"/>
    <w:rsid w:val="006D596A"/>
    <w:rsid w:val="006E0D54"/>
    <w:rsid w:val="006E19F0"/>
    <w:rsid w:val="006E3F72"/>
    <w:rsid w:val="006F0F76"/>
    <w:rsid w:val="00700761"/>
    <w:rsid w:val="0070792A"/>
    <w:rsid w:val="00710028"/>
    <w:rsid w:val="00712AB3"/>
    <w:rsid w:val="00724BFA"/>
    <w:rsid w:val="00730735"/>
    <w:rsid w:val="00733A84"/>
    <w:rsid w:val="00735264"/>
    <w:rsid w:val="00741933"/>
    <w:rsid w:val="00744C2E"/>
    <w:rsid w:val="00747134"/>
    <w:rsid w:val="007503F6"/>
    <w:rsid w:val="007532F9"/>
    <w:rsid w:val="007567F5"/>
    <w:rsid w:val="00774218"/>
    <w:rsid w:val="007775EE"/>
    <w:rsid w:val="00784E7A"/>
    <w:rsid w:val="00786F37"/>
    <w:rsid w:val="00791153"/>
    <w:rsid w:val="0079412A"/>
    <w:rsid w:val="007A14CC"/>
    <w:rsid w:val="007A4CDC"/>
    <w:rsid w:val="007B47D4"/>
    <w:rsid w:val="007C06DB"/>
    <w:rsid w:val="007C7B43"/>
    <w:rsid w:val="007D21A1"/>
    <w:rsid w:val="007D4080"/>
    <w:rsid w:val="007E041E"/>
    <w:rsid w:val="007E046E"/>
    <w:rsid w:val="007F1D42"/>
    <w:rsid w:val="007F47D7"/>
    <w:rsid w:val="007F6884"/>
    <w:rsid w:val="008013CB"/>
    <w:rsid w:val="00810926"/>
    <w:rsid w:val="00817CE6"/>
    <w:rsid w:val="00823261"/>
    <w:rsid w:val="00825F8A"/>
    <w:rsid w:val="00832BD3"/>
    <w:rsid w:val="00837157"/>
    <w:rsid w:val="00851687"/>
    <w:rsid w:val="00852D13"/>
    <w:rsid w:val="00865C26"/>
    <w:rsid w:val="008773C9"/>
    <w:rsid w:val="00877FE3"/>
    <w:rsid w:val="0088330C"/>
    <w:rsid w:val="00883C09"/>
    <w:rsid w:val="008925DA"/>
    <w:rsid w:val="008A22AD"/>
    <w:rsid w:val="008A62BC"/>
    <w:rsid w:val="008A699D"/>
    <w:rsid w:val="008B2B1E"/>
    <w:rsid w:val="008C5A13"/>
    <w:rsid w:val="008C66BE"/>
    <w:rsid w:val="008D4282"/>
    <w:rsid w:val="009060E4"/>
    <w:rsid w:val="009109B9"/>
    <w:rsid w:val="009140DF"/>
    <w:rsid w:val="00937076"/>
    <w:rsid w:val="00946E3D"/>
    <w:rsid w:val="0095175A"/>
    <w:rsid w:val="00955306"/>
    <w:rsid w:val="00960C94"/>
    <w:rsid w:val="009637F2"/>
    <w:rsid w:val="0096547C"/>
    <w:rsid w:val="00981F60"/>
    <w:rsid w:val="00984189"/>
    <w:rsid w:val="0099105C"/>
    <w:rsid w:val="00992CFF"/>
    <w:rsid w:val="00994BBC"/>
    <w:rsid w:val="009B1648"/>
    <w:rsid w:val="009B683B"/>
    <w:rsid w:val="009C32BA"/>
    <w:rsid w:val="009C5963"/>
    <w:rsid w:val="009D09F3"/>
    <w:rsid w:val="009D33C4"/>
    <w:rsid w:val="009E0DF2"/>
    <w:rsid w:val="009F47B9"/>
    <w:rsid w:val="009F5952"/>
    <w:rsid w:val="00A10960"/>
    <w:rsid w:val="00A112D1"/>
    <w:rsid w:val="00A17680"/>
    <w:rsid w:val="00A20A17"/>
    <w:rsid w:val="00A23360"/>
    <w:rsid w:val="00A34BD3"/>
    <w:rsid w:val="00A45528"/>
    <w:rsid w:val="00A46F4B"/>
    <w:rsid w:val="00A569E2"/>
    <w:rsid w:val="00A72451"/>
    <w:rsid w:val="00A77860"/>
    <w:rsid w:val="00A81C3F"/>
    <w:rsid w:val="00A83896"/>
    <w:rsid w:val="00A8632A"/>
    <w:rsid w:val="00A86E44"/>
    <w:rsid w:val="00AA30A8"/>
    <w:rsid w:val="00AA71D6"/>
    <w:rsid w:val="00AB7826"/>
    <w:rsid w:val="00AC01FF"/>
    <w:rsid w:val="00AD00A8"/>
    <w:rsid w:val="00AD4063"/>
    <w:rsid w:val="00AE503E"/>
    <w:rsid w:val="00AF0F0E"/>
    <w:rsid w:val="00AF3808"/>
    <w:rsid w:val="00AF5337"/>
    <w:rsid w:val="00B006E6"/>
    <w:rsid w:val="00B1057B"/>
    <w:rsid w:val="00B149C6"/>
    <w:rsid w:val="00B1606F"/>
    <w:rsid w:val="00B16BE7"/>
    <w:rsid w:val="00B22DA5"/>
    <w:rsid w:val="00B30021"/>
    <w:rsid w:val="00B33308"/>
    <w:rsid w:val="00B40A4B"/>
    <w:rsid w:val="00B44CD0"/>
    <w:rsid w:val="00B7306D"/>
    <w:rsid w:val="00B844F6"/>
    <w:rsid w:val="00B87A9B"/>
    <w:rsid w:val="00B94B8B"/>
    <w:rsid w:val="00BA0568"/>
    <w:rsid w:val="00BB418D"/>
    <w:rsid w:val="00BB4BAD"/>
    <w:rsid w:val="00BB5E41"/>
    <w:rsid w:val="00BB6211"/>
    <w:rsid w:val="00BB62F3"/>
    <w:rsid w:val="00BC0801"/>
    <w:rsid w:val="00BD5FC6"/>
    <w:rsid w:val="00BE0593"/>
    <w:rsid w:val="00BE09FF"/>
    <w:rsid w:val="00BE4593"/>
    <w:rsid w:val="00BE747D"/>
    <w:rsid w:val="00BF3E55"/>
    <w:rsid w:val="00BF6398"/>
    <w:rsid w:val="00C11F69"/>
    <w:rsid w:val="00C41346"/>
    <w:rsid w:val="00C51F5E"/>
    <w:rsid w:val="00C51F91"/>
    <w:rsid w:val="00C627A8"/>
    <w:rsid w:val="00C7572B"/>
    <w:rsid w:val="00C80CC7"/>
    <w:rsid w:val="00C82BE2"/>
    <w:rsid w:val="00C83FA9"/>
    <w:rsid w:val="00C92DE2"/>
    <w:rsid w:val="00C93A35"/>
    <w:rsid w:val="00CA2445"/>
    <w:rsid w:val="00CA66DC"/>
    <w:rsid w:val="00CA7588"/>
    <w:rsid w:val="00CB32BA"/>
    <w:rsid w:val="00CD203C"/>
    <w:rsid w:val="00CE0914"/>
    <w:rsid w:val="00CE1D7F"/>
    <w:rsid w:val="00D003A5"/>
    <w:rsid w:val="00D00C2F"/>
    <w:rsid w:val="00D03BC1"/>
    <w:rsid w:val="00D0483F"/>
    <w:rsid w:val="00D16916"/>
    <w:rsid w:val="00D32311"/>
    <w:rsid w:val="00D36031"/>
    <w:rsid w:val="00D37E55"/>
    <w:rsid w:val="00D4627E"/>
    <w:rsid w:val="00D537D5"/>
    <w:rsid w:val="00D55FFF"/>
    <w:rsid w:val="00D56FC5"/>
    <w:rsid w:val="00D574D1"/>
    <w:rsid w:val="00D6007D"/>
    <w:rsid w:val="00D61DF6"/>
    <w:rsid w:val="00D66F58"/>
    <w:rsid w:val="00D84C76"/>
    <w:rsid w:val="00D87E90"/>
    <w:rsid w:val="00D91C2B"/>
    <w:rsid w:val="00D9229A"/>
    <w:rsid w:val="00D92AD4"/>
    <w:rsid w:val="00D974A7"/>
    <w:rsid w:val="00DA50A4"/>
    <w:rsid w:val="00DA714F"/>
    <w:rsid w:val="00DB140F"/>
    <w:rsid w:val="00DB42E0"/>
    <w:rsid w:val="00DB6645"/>
    <w:rsid w:val="00DD3ADA"/>
    <w:rsid w:val="00DE11C4"/>
    <w:rsid w:val="00DE5644"/>
    <w:rsid w:val="00DF4B27"/>
    <w:rsid w:val="00E00AF8"/>
    <w:rsid w:val="00E048E9"/>
    <w:rsid w:val="00E10059"/>
    <w:rsid w:val="00E10252"/>
    <w:rsid w:val="00E2038B"/>
    <w:rsid w:val="00E22626"/>
    <w:rsid w:val="00E5044D"/>
    <w:rsid w:val="00E53837"/>
    <w:rsid w:val="00E62708"/>
    <w:rsid w:val="00E67C5A"/>
    <w:rsid w:val="00E70677"/>
    <w:rsid w:val="00E70A5E"/>
    <w:rsid w:val="00E7419C"/>
    <w:rsid w:val="00E8253A"/>
    <w:rsid w:val="00E857D4"/>
    <w:rsid w:val="00E86E50"/>
    <w:rsid w:val="00E86EA2"/>
    <w:rsid w:val="00EA2258"/>
    <w:rsid w:val="00EA3A22"/>
    <w:rsid w:val="00EB08CC"/>
    <w:rsid w:val="00EC6858"/>
    <w:rsid w:val="00ED3635"/>
    <w:rsid w:val="00EE6575"/>
    <w:rsid w:val="00EF4E85"/>
    <w:rsid w:val="00F0752C"/>
    <w:rsid w:val="00F32847"/>
    <w:rsid w:val="00F5279A"/>
    <w:rsid w:val="00F562B7"/>
    <w:rsid w:val="00F6145E"/>
    <w:rsid w:val="00F64553"/>
    <w:rsid w:val="00F649EC"/>
    <w:rsid w:val="00F66C34"/>
    <w:rsid w:val="00F77178"/>
    <w:rsid w:val="00F8501A"/>
    <w:rsid w:val="00F9546C"/>
    <w:rsid w:val="00FA3CC0"/>
    <w:rsid w:val="00FB7E6D"/>
    <w:rsid w:val="00FD36AD"/>
    <w:rsid w:val="00FE09A0"/>
    <w:rsid w:val="00FE4F81"/>
    <w:rsid w:val="00FF05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6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Caption"/>
    <w:next w:val="Normal"/>
    <w:qFormat/>
    <w:rsid w:val="00E70677"/>
    <w:pPr>
      <w:spacing w:before="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styleId="Caption">
    <w:name w:val="caption"/>
    <w:basedOn w:val="Normal"/>
    <w:next w:val="Normal"/>
    <w:link w:val="CaptionChar"/>
    <w:unhideWhenUsed/>
    <w:qFormat/>
    <w:rsid w:val="005746BC"/>
    <w:pPr>
      <w:keepNext/>
      <w:jc w:val="both"/>
      <w:outlineLvl w:val="4"/>
    </w:pPr>
    <w:rPr>
      <w:rFonts w:ascii="Arial Narrow" w:hAnsi="Arial Narrow" w:cs="Arial"/>
      <w:b/>
      <w:bCs/>
      <w:iCs/>
      <w:sz w:val="20"/>
      <w:lang w:eastAsia="en-US"/>
    </w:rPr>
  </w:style>
  <w:style w:type="paragraph" w:customStyle="1" w:styleId="Tabletext">
    <w:name w:val="Table text"/>
    <w:basedOn w:val="Normal"/>
    <w:link w:val="TabletextChar"/>
    <w:qFormat/>
    <w:rsid w:val="005746BC"/>
    <w:rPr>
      <w:rFonts w:ascii="Arial Narrow" w:hAnsi="Arial Narrow"/>
      <w:sz w:val="20"/>
      <w:szCs w:val="24"/>
      <w:lang w:eastAsia="en-US"/>
    </w:rPr>
  </w:style>
  <w:style w:type="character" w:customStyle="1" w:styleId="TabletextChar">
    <w:name w:val="Table text Char"/>
    <w:basedOn w:val="DefaultParagraphFont"/>
    <w:link w:val="Tabletext"/>
    <w:rsid w:val="005746BC"/>
    <w:rPr>
      <w:rFonts w:ascii="Arial Narrow" w:hAnsi="Arial Narrow"/>
      <w:szCs w:val="24"/>
      <w:lang w:eastAsia="en-US"/>
    </w:rPr>
  </w:style>
  <w:style w:type="paragraph" w:customStyle="1" w:styleId="Tabletextright">
    <w:name w:val="Table text right"/>
    <w:basedOn w:val="Normal"/>
    <w:link w:val="TabletextrightChar"/>
    <w:qFormat/>
    <w:rsid w:val="005746BC"/>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5746BC"/>
    <w:rPr>
      <w:rFonts w:ascii="Arial Narrow" w:hAnsi="Arial Narrow" w:cs="Arial"/>
      <w:lang w:eastAsia="en-US"/>
    </w:rPr>
  </w:style>
  <w:style w:type="character" w:customStyle="1" w:styleId="CaptionChar">
    <w:name w:val="Caption Char"/>
    <w:link w:val="Caption"/>
    <w:rsid w:val="005746BC"/>
    <w:rPr>
      <w:rFonts w:ascii="Arial Narrow" w:hAnsi="Arial Narrow" w:cs="Arial"/>
      <w:b/>
      <w:bCs/>
      <w:iCs/>
      <w:lang w:eastAsia="en-US"/>
    </w:rPr>
  </w:style>
  <w:style w:type="table" w:styleId="TableGrid">
    <w:name w:val="Table Grid"/>
    <w:basedOn w:val="TableNormal"/>
    <w:uiPriority w:val="59"/>
    <w:rsid w:val="003A1C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boldleft">
    <w:name w:val="Table text bold left"/>
    <w:basedOn w:val="Normal"/>
    <w:link w:val="TabletextboldleftChar"/>
    <w:qFormat/>
    <w:rsid w:val="003A1C75"/>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3A1C75"/>
    <w:rPr>
      <w:rFonts w:ascii="Arial Narrow" w:hAnsi="Arial Narrow" w:cs="Arial"/>
      <w:b/>
      <w:lang w:eastAsia="en-US"/>
    </w:rPr>
  </w:style>
  <w:style w:type="paragraph" w:customStyle="1" w:styleId="Tableheading">
    <w:name w:val="Table heading"/>
    <w:basedOn w:val="Normal"/>
    <w:link w:val="TableheadingChar"/>
    <w:rsid w:val="003A1C75"/>
    <w:pPr>
      <w:keepNext/>
      <w:spacing w:before="60" w:after="60"/>
    </w:pPr>
    <w:rPr>
      <w:rFonts w:ascii="Arial Narrow" w:hAnsi="Arial Narrow"/>
      <w:b/>
      <w:sz w:val="20"/>
      <w:lang w:eastAsia="en-US"/>
    </w:rPr>
  </w:style>
  <w:style w:type="character" w:customStyle="1" w:styleId="TableheadingChar">
    <w:name w:val="Table heading Char"/>
    <w:link w:val="Tableheading"/>
    <w:rsid w:val="003A1C75"/>
    <w:rPr>
      <w:rFonts w:ascii="Arial Narrow" w:hAnsi="Arial Narrow"/>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Caption"/>
    <w:next w:val="Normal"/>
    <w:qFormat/>
    <w:rsid w:val="00E70677"/>
    <w:pPr>
      <w:spacing w:before="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styleId="Caption">
    <w:name w:val="caption"/>
    <w:basedOn w:val="Normal"/>
    <w:next w:val="Normal"/>
    <w:link w:val="CaptionChar"/>
    <w:unhideWhenUsed/>
    <w:qFormat/>
    <w:rsid w:val="005746BC"/>
    <w:pPr>
      <w:keepNext/>
      <w:jc w:val="both"/>
      <w:outlineLvl w:val="4"/>
    </w:pPr>
    <w:rPr>
      <w:rFonts w:ascii="Arial Narrow" w:hAnsi="Arial Narrow" w:cs="Arial"/>
      <w:b/>
      <w:bCs/>
      <w:iCs/>
      <w:sz w:val="20"/>
      <w:lang w:eastAsia="en-US"/>
    </w:rPr>
  </w:style>
  <w:style w:type="paragraph" w:customStyle="1" w:styleId="Tabletext">
    <w:name w:val="Table text"/>
    <w:basedOn w:val="Normal"/>
    <w:link w:val="TabletextChar"/>
    <w:qFormat/>
    <w:rsid w:val="005746BC"/>
    <w:rPr>
      <w:rFonts w:ascii="Arial Narrow" w:hAnsi="Arial Narrow"/>
      <w:sz w:val="20"/>
      <w:szCs w:val="24"/>
      <w:lang w:eastAsia="en-US"/>
    </w:rPr>
  </w:style>
  <w:style w:type="character" w:customStyle="1" w:styleId="TabletextChar">
    <w:name w:val="Table text Char"/>
    <w:basedOn w:val="DefaultParagraphFont"/>
    <w:link w:val="Tabletext"/>
    <w:rsid w:val="005746BC"/>
    <w:rPr>
      <w:rFonts w:ascii="Arial Narrow" w:hAnsi="Arial Narrow"/>
      <w:szCs w:val="24"/>
      <w:lang w:eastAsia="en-US"/>
    </w:rPr>
  </w:style>
  <w:style w:type="paragraph" w:customStyle="1" w:styleId="Tabletextright">
    <w:name w:val="Table text right"/>
    <w:basedOn w:val="Normal"/>
    <w:link w:val="TabletextrightChar"/>
    <w:qFormat/>
    <w:rsid w:val="005746BC"/>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5746BC"/>
    <w:rPr>
      <w:rFonts w:ascii="Arial Narrow" w:hAnsi="Arial Narrow" w:cs="Arial"/>
      <w:lang w:eastAsia="en-US"/>
    </w:rPr>
  </w:style>
  <w:style w:type="character" w:customStyle="1" w:styleId="CaptionChar">
    <w:name w:val="Caption Char"/>
    <w:link w:val="Caption"/>
    <w:rsid w:val="005746BC"/>
    <w:rPr>
      <w:rFonts w:ascii="Arial Narrow" w:hAnsi="Arial Narrow" w:cs="Arial"/>
      <w:b/>
      <w:bCs/>
      <w:iCs/>
      <w:lang w:eastAsia="en-US"/>
    </w:rPr>
  </w:style>
  <w:style w:type="table" w:styleId="TableGrid">
    <w:name w:val="Table Grid"/>
    <w:basedOn w:val="TableNormal"/>
    <w:uiPriority w:val="59"/>
    <w:rsid w:val="003A1C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boldleft">
    <w:name w:val="Table text bold left"/>
    <w:basedOn w:val="Normal"/>
    <w:link w:val="TabletextboldleftChar"/>
    <w:qFormat/>
    <w:rsid w:val="003A1C75"/>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3A1C75"/>
    <w:rPr>
      <w:rFonts w:ascii="Arial Narrow" w:hAnsi="Arial Narrow" w:cs="Arial"/>
      <w:b/>
      <w:lang w:eastAsia="en-US"/>
    </w:rPr>
  </w:style>
  <w:style w:type="paragraph" w:customStyle="1" w:styleId="Tableheading">
    <w:name w:val="Table heading"/>
    <w:basedOn w:val="Normal"/>
    <w:link w:val="TableheadingChar"/>
    <w:rsid w:val="003A1C75"/>
    <w:pPr>
      <w:keepNext/>
      <w:spacing w:before="60" w:after="60"/>
    </w:pPr>
    <w:rPr>
      <w:rFonts w:ascii="Arial Narrow" w:hAnsi="Arial Narrow"/>
      <w:b/>
      <w:sz w:val="20"/>
      <w:lang w:eastAsia="en-US"/>
    </w:rPr>
  </w:style>
  <w:style w:type="character" w:customStyle="1" w:styleId="TableheadingChar">
    <w:name w:val="Table heading Char"/>
    <w:link w:val="Tableheading"/>
    <w:rsid w:val="003A1C75"/>
    <w:rPr>
      <w:rFonts w:ascii="Arial Narrow" w:hAnsi="Arial Narrow"/>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F7735-8BB6-40FE-8DD3-90D6B838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7661</Words>
  <Characters>43672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51231</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Hambley Carolyn</cp:lastModifiedBy>
  <cp:revision>4</cp:revision>
  <cp:lastPrinted>2011-12-15T03:00:00Z</cp:lastPrinted>
  <dcterms:created xsi:type="dcterms:W3CDTF">2014-02-18T08:47:00Z</dcterms:created>
  <dcterms:modified xsi:type="dcterms:W3CDTF">2014-02-18T08:48:00Z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