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0A773" w14:textId="77777777" w:rsidR="00932DE9" w:rsidRDefault="00932DE9" w:rsidP="00932DE9">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p w14:paraId="6AA6C73A" w14:textId="27C9320E" w:rsidR="006A0A62" w:rsidRPr="001B6E08" w:rsidRDefault="006A0A62" w:rsidP="006A0A62">
      <w:pPr>
        <w:shd w:val="clear" w:color="auto" w:fill="FFFFFF"/>
        <w:spacing w:after="330"/>
        <w:jc w:val="center"/>
        <w:outlineLvl w:val="0"/>
        <w:rPr>
          <w:rFonts w:ascii="Arial" w:eastAsia="Times New Roman" w:hAnsi="Arial" w:cs="Arial"/>
          <w:b/>
          <w:bCs/>
          <w:i/>
          <w:color w:val="000080"/>
          <w:sz w:val="28"/>
          <w:szCs w:val="28"/>
          <w:lang w:eastAsia="en-AU"/>
        </w:rPr>
      </w:pPr>
      <w:r w:rsidRPr="0044058B">
        <w:rPr>
          <w:rFonts w:ascii="Arial" w:eastAsia="Times New Roman" w:hAnsi="Arial" w:cs="Arial"/>
          <w:b/>
          <w:bCs/>
          <w:i/>
          <w:color w:val="000080"/>
          <w:sz w:val="28"/>
          <w:szCs w:val="28"/>
          <w:lang w:eastAsia="en-AU"/>
        </w:rPr>
        <w:t xml:space="preserve">Application No. </w:t>
      </w:r>
      <w:r w:rsidR="00020546" w:rsidRPr="00020546">
        <w:rPr>
          <w:rFonts w:ascii="Arial" w:eastAsia="Times New Roman" w:hAnsi="Arial" w:cs="Arial"/>
          <w:b/>
          <w:bCs/>
          <w:i/>
          <w:color w:val="000080"/>
          <w:sz w:val="28"/>
          <w:szCs w:val="28"/>
          <w:lang w:eastAsia="en-AU"/>
        </w:rPr>
        <w:t xml:space="preserve">1765 – Amendment of MBS items 73303 and 73304 (BRCA1/2 mutation testing in patients with metastatic castration-resistant prostate cancer) to include </w:t>
      </w:r>
      <w:proofErr w:type="gramStart"/>
      <w:r w:rsidR="00020546" w:rsidRPr="00020546">
        <w:rPr>
          <w:rFonts w:ascii="Arial" w:eastAsia="Times New Roman" w:hAnsi="Arial" w:cs="Arial"/>
          <w:b/>
          <w:bCs/>
          <w:i/>
          <w:color w:val="000080"/>
          <w:sz w:val="28"/>
          <w:szCs w:val="28"/>
          <w:lang w:eastAsia="en-AU"/>
        </w:rPr>
        <w:t>talazoparib</w:t>
      </w:r>
      <w:proofErr w:type="gramEnd"/>
    </w:p>
    <w:p w14:paraId="1B35EFB0" w14:textId="17B973EF" w:rsidR="006A0A62" w:rsidRPr="0044058B" w:rsidRDefault="006A0A62" w:rsidP="006A0A62">
      <w:pPr>
        <w:tabs>
          <w:tab w:val="left" w:pos="3686"/>
        </w:tabs>
        <w:spacing w:line="256" w:lineRule="auto"/>
        <w:rPr>
          <w:rFonts w:ascii="Arial" w:eastAsia="Calibri" w:hAnsi="Arial" w:cs="Arial"/>
          <w:b/>
          <w:szCs w:val="24"/>
        </w:rPr>
      </w:pPr>
      <w:r w:rsidRPr="0044058B">
        <w:rPr>
          <w:rFonts w:ascii="Arial" w:eastAsia="Calibri" w:hAnsi="Arial" w:cs="Arial"/>
          <w:b/>
          <w:szCs w:val="24"/>
        </w:rPr>
        <w:t>Applicant:</w:t>
      </w:r>
      <w:r w:rsidRPr="0044058B">
        <w:rPr>
          <w:rFonts w:ascii="Arial" w:eastAsia="Calibri" w:hAnsi="Arial" w:cs="Arial"/>
          <w:b/>
          <w:szCs w:val="24"/>
        </w:rPr>
        <w:tab/>
      </w:r>
      <w:r w:rsidR="00020546" w:rsidRPr="00020546">
        <w:rPr>
          <w:rFonts w:ascii="Arial" w:eastAsia="Calibri" w:hAnsi="Arial" w:cs="Arial"/>
          <w:b/>
          <w:szCs w:val="24"/>
        </w:rPr>
        <w:t>P</w:t>
      </w:r>
      <w:r w:rsidR="00020546">
        <w:rPr>
          <w:rFonts w:ascii="Arial" w:eastAsia="Calibri" w:hAnsi="Arial" w:cs="Arial"/>
          <w:b/>
          <w:szCs w:val="24"/>
        </w:rPr>
        <w:t>fizer</w:t>
      </w:r>
      <w:r w:rsidR="00020546" w:rsidRPr="00020546">
        <w:rPr>
          <w:rFonts w:ascii="Arial" w:eastAsia="Calibri" w:hAnsi="Arial" w:cs="Arial"/>
          <w:b/>
          <w:szCs w:val="24"/>
        </w:rPr>
        <w:t xml:space="preserve"> A</w:t>
      </w:r>
      <w:r w:rsidR="00020546">
        <w:rPr>
          <w:rFonts w:ascii="Arial" w:eastAsia="Calibri" w:hAnsi="Arial" w:cs="Arial"/>
          <w:b/>
          <w:szCs w:val="24"/>
        </w:rPr>
        <w:t>ustralia</w:t>
      </w:r>
      <w:r w:rsidR="00020546" w:rsidRPr="00020546">
        <w:rPr>
          <w:rFonts w:ascii="Arial" w:eastAsia="Calibri" w:hAnsi="Arial" w:cs="Arial"/>
          <w:b/>
          <w:szCs w:val="24"/>
        </w:rPr>
        <w:t xml:space="preserve"> PTY LTD </w:t>
      </w:r>
    </w:p>
    <w:p w14:paraId="188CCB18" w14:textId="08A288BF" w:rsidR="00641750" w:rsidRDefault="00641750" w:rsidP="00641750">
      <w:pPr>
        <w:spacing w:before="320" w:line="256" w:lineRule="auto"/>
        <w:rPr>
          <w:rFonts w:ascii="Arial" w:hAnsi="Arial" w:cs="Arial"/>
          <w:b/>
          <w:bCs/>
        </w:rPr>
      </w:pPr>
      <w:bookmarkStart w:id="0" w:name="_Toc69491415"/>
      <w:r>
        <w:rPr>
          <w:rFonts w:ascii="Arial" w:hAnsi="Arial" w:cs="Arial"/>
          <w:b/>
          <w:bCs/>
        </w:rPr>
        <w:t xml:space="preserve">Date of </w:t>
      </w:r>
      <w:r w:rsidR="00932DE9">
        <w:rPr>
          <w:rFonts w:ascii="Arial" w:hAnsi="Arial" w:cs="Arial"/>
          <w:b/>
          <w:bCs/>
        </w:rPr>
        <w:t>MSAC</w:t>
      </w:r>
      <w:r>
        <w:rPr>
          <w:rFonts w:ascii="Arial" w:hAnsi="Arial" w:cs="Arial"/>
          <w:b/>
          <w:bCs/>
        </w:rPr>
        <w:t xml:space="preserve"> consideration:</w:t>
      </w:r>
      <w:r>
        <w:rPr>
          <w:rFonts w:ascii="Arial" w:hAnsi="Arial" w:cs="Arial"/>
          <w:b/>
          <w:bCs/>
        </w:rPr>
        <w:tab/>
      </w:r>
      <w:r w:rsidR="00932DE9">
        <w:rPr>
          <w:rFonts w:ascii="Arial" w:hAnsi="Arial" w:cs="Arial"/>
          <w:b/>
          <w:bCs/>
        </w:rPr>
        <w:t>4-5 April</w:t>
      </w:r>
      <w:r>
        <w:rPr>
          <w:rFonts w:ascii="Arial" w:hAnsi="Arial" w:cs="Arial"/>
          <w:b/>
          <w:bCs/>
        </w:rPr>
        <w:t xml:space="preserve"> 2024</w:t>
      </w:r>
    </w:p>
    <w:p w14:paraId="69F768AE" w14:textId="77777777" w:rsidR="00932DE9" w:rsidRPr="00415A9B" w:rsidRDefault="00932DE9" w:rsidP="00932DE9">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r>
        <w:t>1.</w:t>
      </w:r>
      <w:r>
        <w:tab/>
      </w:r>
      <w:r w:rsidR="00772829" w:rsidRPr="00CE28E3">
        <w:t xml:space="preserve">Purpose </w:t>
      </w:r>
      <w:r w:rsidR="00772829" w:rsidRPr="00CE28E3">
        <w:rPr>
          <w:szCs w:val="32"/>
        </w:rPr>
        <w:t>of</w:t>
      </w:r>
      <w:r w:rsidR="00772829" w:rsidRPr="00CE28E3">
        <w:t xml:space="preserve"> application</w:t>
      </w:r>
      <w:bookmarkEnd w:id="0"/>
    </w:p>
    <w:p w14:paraId="7FBEE7D6" w14:textId="77777777" w:rsidR="00020546" w:rsidRPr="00020546" w:rsidRDefault="00020546" w:rsidP="00020546">
      <w:pPr>
        <w:pStyle w:val="paragraph"/>
        <w:spacing w:before="0" w:beforeAutospacing="0" w:after="0" w:afterAutospacing="0"/>
        <w:jc w:val="both"/>
        <w:textAlignment w:val="baseline"/>
        <w:rPr>
          <w:rFonts w:ascii="Franklin Gothic Book" w:hAnsi="Franklin Gothic Book" w:cs="Segoe UI"/>
          <w:sz w:val="22"/>
          <w:szCs w:val="22"/>
        </w:rPr>
      </w:pPr>
      <w:bookmarkStart w:id="1" w:name="_Toc69491416"/>
      <w:r w:rsidRPr="00020546">
        <w:rPr>
          <w:rStyle w:val="normaltextrun"/>
          <w:rFonts w:ascii="Franklin Gothic Book" w:hAnsi="Franklin Gothic Book" w:cs="Segoe UI"/>
          <w:sz w:val="22"/>
          <w:szCs w:val="22"/>
        </w:rPr>
        <w:t>The streamlined codependent submission requested:</w:t>
      </w:r>
      <w:r w:rsidRPr="00020546">
        <w:rPr>
          <w:rStyle w:val="eop"/>
          <w:rFonts w:ascii="Franklin Gothic Book" w:hAnsi="Franklin Gothic Book" w:cs="Segoe UI"/>
          <w:sz w:val="22"/>
          <w:szCs w:val="22"/>
        </w:rPr>
        <w:t> </w:t>
      </w:r>
    </w:p>
    <w:p w14:paraId="3CDB013B" w14:textId="23A1A963" w:rsidR="000E74A4" w:rsidRDefault="000E74A4" w:rsidP="000E74A4">
      <w:pPr>
        <w:pStyle w:val="paragraph"/>
        <w:numPr>
          <w:ilvl w:val="0"/>
          <w:numId w:val="18"/>
        </w:numPr>
        <w:spacing w:before="0" w:beforeAutospacing="0" w:after="0" w:afterAutospacing="0"/>
        <w:jc w:val="both"/>
        <w:textAlignment w:val="baseline"/>
        <w:rPr>
          <w:rStyle w:val="normaltextrun"/>
          <w:rFonts w:ascii="Franklin Gothic Book" w:hAnsi="Franklin Gothic Book" w:cs="Segoe UI"/>
          <w:sz w:val="22"/>
          <w:szCs w:val="22"/>
        </w:rPr>
      </w:pPr>
      <w:bookmarkStart w:id="2" w:name="_Hlk163553608"/>
      <w:r w:rsidRPr="00020546">
        <w:rPr>
          <w:rStyle w:val="normaltextrun"/>
          <w:rFonts w:ascii="Franklin Gothic Book" w:hAnsi="Franklin Gothic Book" w:cs="Segoe UI"/>
          <w:sz w:val="22"/>
          <w:szCs w:val="22"/>
        </w:rPr>
        <w:t xml:space="preserve">An amendment of </w:t>
      </w:r>
      <w:r w:rsidR="00032CF4">
        <w:rPr>
          <w:rStyle w:val="normaltextrun"/>
          <w:rFonts w:ascii="Franklin Gothic Book" w:hAnsi="Franklin Gothic Book" w:cs="Segoe UI"/>
          <w:sz w:val="22"/>
          <w:szCs w:val="22"/>
        </w:rPr>
        <w:t xml:space="preserve">existing </w:t>
      </w:r>
      <w:r w:rsidRPr="00020546">
        <w:rPr>
          <w:rStyle w:val="normaltextrun"/>
          <w:rFonts w:ascii="Franklin Gothic Book" w:hAnsi="Franklin Gothic Book" w:cs="Segoe UI"/>
          <w:sz w:val="22"/>
          <w:szCs w:val="22"/>
        </w:rPr>
        <w:t xml:space="preserve">Medicare Benefits Schedule (MBS) items 73303 and 73304 </w:t>
      </w:r>
      <w:r>
        <w:rPr>
          <w:rStyle w:val="normaltextrun"/>
          <w:rFonts w:ascii="Franklin Gothic Book" w:hAnsi="Franklin Gothic Book" w:cs="Segoe UI"/>
          <w:sz w:val="22"/>
          <w:szCs w:val="22"/>
        </w:rPr>
        <w:t>for</w:t>
      </w:r>
      <w:r w:rsidR="003E79CC">
        <w:rPr>
          <w:rStyle w:val="normaltextrun"/>
          <w:rFonts w:ascii="Franklin Gothic Book" w:hAnsi="Franklin Gothic Book" w:cs="Segoe UI"/>
          <w:sz w:val="22"/>
          <w:szCs w:val="22"/>
        </w:rPr>
        <w:t xml:space="preserve"> somatic and germ</w:t>
      </w:r>
      <w:r w:rsidR="00D229A9">
        <w:rPr>
          <w:rStyle w:val="normaltextrun"/>
          <w:rFonts w:ascii="Franklin Gothic Book" w:hAnsi="Franklin Gothic Book" w:cs="Segoe UI"/>
          <w:sz w:val="22"/>
          <w:szCs w:val="22"/>
        </w:rPr>
        <w:t>line</w:t>
      </w:r>
      <w:r>
        <w:rPr>
          <w:rStyle w:val="normaltextrun"/>
          <w:rFonts w:ascii="Franklin Gothic Book" w:hAnsi="Franklin Gothic Book" w:cs="Segoe UI"/>
          <w:sz w:val="22"/>
          <w:szCs w:val="22"/>
        </w:rPr>
        <w:t xml:space="preserve"> </w:t>
      </w:r>
      <w:proofErr w:type="spellStart"/>
      <w:r w:rsidR="00D229A9">
        <w:rPr>
          <w:rStyle w:val="normaltextrun"/>
          <w:rFonts w:ascii="Franklin Gothic Book" w:hAnsi="Franklin Gothic Book" w:cs="Segoe UI"/>
          <w:sz w:val="22"/>
          <w:szCs w:val="22"/>
        </w:rPr>
        <w:t>BR</w:t>
      </w:r>
      <w:r w:rsidRPr="00483A0B">
        <w:rPr>
          <w:rStyle w:val="normaltextrun"/>
          <w:rFonts w:ascii="Franklin Gothic Book" w:hAnsi="Franklin Gothic Book" w:cs="Segoe UI"/>
          <w:sz w:val="22"/>
          <w:szCs w:val="22"/>
        </w:rPr>
        <w:t>east</w:t>
      </w:r>
      <w:proofErr w:type="spellEnd"/>
      <w:r w:rsidRPr="00483A0B">
        <w:rPr>
          <w:rStyle w:val="normaltextrun"/>
          <w:rFonts w:ascii="Franklin Gothic Book" w:hAnsi="Franklin Gothic Book" w:cs="Segoe UI"/>
          <w:sz w:val="22"/>
          <w:szCs w:val="22"/>
        </w:rPr>
        <w:t xml:space="preserve"> </w:t>
      </w:r>
      <w:proofErr w:type="spellStart"/>
      <w:r w:rsidR="00D229A9">
        <w:rPr>
          <w:rStyle w:val="normaltextrun"/>
          <w:rFonts w:ascii="Franklin Gothic Book" w:hAnsi="Franklin Gothic Book" w:cs="Segoe UI"/>
          <w:sz w:val="22"/>
          <w:szCs w:val="22"/>
        </w:rPr>
        <w:t>CA</w:t>
      </w:r>
      <w:r w:rsidRPr="00483A0B">
        <w:rPr>
          <w:rStyle w:val="normaltextrun"/>
          <w:rFonts w:ascii="Franklin Gothic Book" w:hAnsi="Franklin Gothic Book" w:cs="Segoe UI"/>
          <w:sz w:val="22"/>
          <w:szCs w:val="22"/>
        </w:rPr>
        <w:t>ncer</w:t>
      </w:r>
      <w:proofErr w:type="spellEnd"/>
      <w:r w:rsidRPr="00483A0B">
        <w:rPr>
          <w:rStyle w:val="normaltextrun"/>
          <w:rFonts w:ascii="Franklin Gothic Book" w:hAnsi="Franklin Gothic Book" w:cs="Segoe UI"/>
          <w:sz w:val="22"/>
          <w:szCs w:val="22"/>
        </w:rPr>
        <w:t xml:space="preserve"> </w:t>
      </w:r>
      <w:r w:rsidR="00DF0EC3">
        <w:rPr>
          <w:rStyle w:val="normaltextrun"/>
          <w:rFonts w:ascii="Franklin Gothic Book" w:hAnsi="Franklin Gothic Book" w:cs="Segoe UI"/>
          <w:sz w:val="22"/>
          <w:szCs w:val="22"/>
        </w:rPr>
        <w:t xml:space="preserve">gene </w:t>
      </w:r>
      <w:r>
        <w:rPr>
          <w:rStyle w:val="normaltextrun"/>
          <w:rFonts w:ascii="Franklin Gothic Book" w:hAnsi="Franklin Gothic Book" w:cs="Segoe UI"/>
          <w:sz w:val="22"/>
          <w:szCs w:val="22"/>
        </w:rPr>
        <w:t>(</w:t>
      </w:r>
      <w:r w:rsidRPr="00F57ACC">
        <w:rPr>
          <w:rFonts w:ascii="Franklin Gothic Book" w:hAnsi="Franklin Gothic Book" w:cs="Segoe UI"/>
          <w:i/>
          <w:iCs/>
          <w:sz w:val="22"/>
          <w:szCs w:val="22"/>
        </w:rPr>
        <w:t>BRCA)</w:t>
      </w:r>
      <w:r w:rsidR="009D1A52">
        <w:rPr>
          <w:rFonts w:ascii="Franklin Gothic Book" w:hAnsi="Franklin Gothic Book" w:cs="Segoe UI"/>
          <w:i/>
          <w:iCs/>
          <w:sz w:val="22"/>
          <w:szCs w:val="22"/>
        </w:rPr>
        <w:t xml:space="preserve"> </w:t>
      </w:r>
      <w:r w:rsidRPr="00F57ACC">
        <w:rPr>
          <w:rFonts w:ascii="Franklin Gothic Book" w:hAnsi="Franklin Gothic Book" w:cs="Segoe UI"/>
          <w:i/>
          <w:iCs/>
          <w:sz w:val="22"/>
          <w:szCs w:val="22"/>
        </w:rPr>
        <w:t>1</w:t>
      </w:r>
      <w:r w:rsidR="00DF0EC3">
        <w:rPr>
          <w:rFonts w:ascii="Franklin Gothic Book" w:hAnsi="Franklin Gothic Book" w:cs="Segoe UI"/>
          <w:i/>
          <w:iCs/>
          <w:sz w:val="22"/>
          <w:szCs w:val="22"/>
        </w:rPr>
        <w:t xml:space="preserve"> </w:t>
      </w:r>
      <w:r w:rsidR="00DF0EC3" w:rsidRPr="00DF0EC3">
        <w:rPr>
          <w:rFonts w:ascii="Franklin Gothic Book" w:hAnsi="Franklin Gothic Book" w:cs="Segoe UI"/>
          <w:sz w:val="22"/>
          <w:szCs w:val="22"/>
        </w:rPr>
        <w:t>and</w:t>
      </w:r>
      <w:r w:rsidR="00DF0EC3">
        <w:rPr>
          <w:rFonts w:ascii="Franklin Gothic Book" w:hAnsi="Franklin Gothic Book" w:cs="Segoe UI"/>
          <w:i/>
          <w:iCs/>
          <w:sz w:val="22"/>
          <w:szCs w:val="22"/>
        </w:rPr>
        <w:t xml:space="preserve"> </w:t>
      </w:r>
      <w:r w:rsidRPr="00F57ACC">
        <w:rPr>
          <w:rFonts w:ascii="Franklin Gothic Book" w:hAnsi="Franklin Gothic Book" w:cs="Segoe UI"/>
          <w:i/>
          <w:iCs/>
          <w:sz w:val="22"/>
          <w:szCs w:val="22"/>
        </w:rPr>
        <w:t>2</w:t>
      </w:r>
      <w:r w:rsidRPr="004C67D5">
        <w:rPr>
          <w:rFonts w:ascii="Franklin Gothic Book" w:hAnsi="Franklin Gothic Book" w:cs="Segoe UI"/>
          <w:sz w:val="22"/>
          <w:szCs w:val="22"/>
        </w:rPr>
        <w:t xml:space="preserve"> </w:t>
      </w:r>
      <w:r>
        <w:rPr>
          <w:rFonts w:ascii="Franklin Gothic Book" w:hAnsi="Franklin Gothic Book" w:cs="Segoe UI"/>
          <w:sz w:val="22"/>
          <w:szCs w:val="22"/>
        </w:rPr>
        <w:t>testing</w:t>
      </w:r>
      <w:r w:rsidRPr="00483A0B">
        <w:rPr>
          <w:rStyle w:val="normaltextrun"/>
          <w:rFonts w:ascii="Franklin Gothic Book" w:hAnsi="Franklin Gothic Book" w:cs="Segoe UI"/>
          <w:sz w:val="22"/>
          <w:szCs w:val="22"/>
        </w:rPr>
        <w:t xml:space="preserve"> to determine eligibility for </w:t>
      </w:r>
      <w:r w:rsidR="00253EA2">
        <w:rPr>
          <w:rStyle w:val="normaltextrun"/>
          <w:rFonts w:ascii="Franklin Gothic Book" w:hAnsi="Franklin Gothic Book" w:cs="Segoe UI"/>
          <w:sz w:val="22"/>
          <w:szCs w:val="22"/>
        </w:rPr>
        <w:t xml:space="preserve">access to </w:t>
      </w:r>
      <w:r w:rsidRPr="00483A0B">
        <w:rPr>
          <w:rStyle w:val="normaltextrun"/>
          <w:rFonts w:ascii="Franklin Gothic Book" w:hAnsi="Franklin Gothic Book" w:cs="Segoe UI"/>
          <w:sz w:val="22"/>
          <w:szCs w:val="22"/>
        </w:rPr>
        <w:t>olaparib under the Pharmaceutical Benefits Sche</w:t>
      </w:r>
      <w:r w:rsidR="003D0592">
        <w:rPr>
          <w:rStyle w:val="normaltextrun"/>
          <w:rFonts w:ascii="Franklin Gothic Book" w:hAnsi="Franklin Gothic Book" w:cs="Segoe UI"/>
          <w:sz w:val="22"/>
          <w:szCs w:val="22"/>
        </w:rPr>
        <w:t>me</w:t>
      </w:r>
      <w:r w:rsidRPr="00483A0B">
        <w:rPr>
          <w:rStyle w:val="normaltextrun"/>
          <w:rFonts w:ascii="Franklin Gothic Book" w:hAnsi="Franklin Gothic Book" w:cs="Segoe UI"/>
          <w:sz w:val="22"/>
          <w:szCs w:val="22"/>
        </w:rPr>
        <w:t xml:space="preserve"> (PBS) </w:t>
      </w:r>
      <w:r w:rsidR="00AA5B1D" w:rsidRPr="00483A0B">
        <w:rPr>
          <w:rStyle w:val="normaltextrun"/>
          <w:rFonts w:ascii="Franklin Gothic Book" w:hAnsi="Franklin Gothic Book" w:cs="Segoe UI"/>
          <w:sz w:val="22"/>
          <w:szCs w:val="22"/>
        </w:rPr>
        <w:t xml:space="preserve">to </w:t>
      </w:r>
      <w:r w:rsidR="00AA5B1D">
        <w:rPr>
          <w:rStyle w:val="normaltextrun"/>
          <w:rFonts w:ascii="Franklin Gothic Book" w:hAnsi="Franklin Gothic Book" w:cs="Segoe UI"/>
          <w:sz w:val="22"/>
          <w:szCs w:val="22"/>
        </w:rPr>
        <w:t xml:space="preserve">include </w:t>
      </w:r>
      <w:r w:rsidR="00AA5B1D" w:rsidRPr="00483A0B">
        <w:rPr>
          <w:rStyle w:val="normaltextrun"/>
          <w:rFonts w:ascii="Franklin Gothic Book" w:hAnsi="Franklin Gothic Book" w:cs="Segoe UI"/>
          <w:sz w:val="22"/>
          <w:szCs w:val="22"/>
        </w:rPr>
        <w:t xml:space="preserve">talazoparib </w:t>
      </w:r>
      <w:r w:rsidRPr="00483A0B">
        <w:rPr>
          <w:rStyle w:val="normaltextrun"/>
          <w:rFonts w:ascii="Franklin Gothic Book" w:hAnsi="Franklin Gothic Book" w:cs="Segoe UI"/>
          <w:sz w:val="22"/>
          <w:szCs w:val="22"/>
        </w:rPr>
        <w:t>in patients with metastatic castration-resistant prostate cancer (</w:t>
      </w:r>
      <w:proofErr w:type="spellStart"/>
      <w:r w:rsidRPr="00483A0B">
        <w:rPr>
          <w:rStyle w:val="normaltextrun"/>
          <w:rFonts w:ascii="Franklin Gothic Book" w:hAnsi="Franklin Gothic Book" w:cs="Segoe UI"/>
          <w:sz w:val="22"/>
          <w:szCs w:val="22"/>
        </w:rPr>
        <w:t>mCRPC</w:t>
      </w:r>
      <w:proofErr w:type="spellEnd"/>
      <w:r w:rsidRPr="00483A0B">
        <w:rPr>
          <w:rStyle w:val="normaltextrun"/>
          <w:rFonts w:ascii="Franklin Gothic Book" w:hAnsi="Franklin Gothic Book" w:cs="Segoe UI"/>
          <w:sz w:val="22"/>
          <w:szCs w:val="22"/>
        </w:rPr>
        <w:t>)</w:t>
      </w:r>
      <w:r>
        <w:rPr>
          <w:rStyle w:val="normaltextrun"/>
          <w:rFonts w:ascii="Franklin Gothic Book" w:hAnsi="Franklin Gothic Book" w:cs="Segoe UI"/>
          <w:sz w:val="22"/>
          <w:szCs w:val="22"/>
        </w:rPr>
        <w:t>.</w:t>
      </w:r>
    </w:p>
    <w:bookmarkEnd w:id="2"/>
    <w:p w14:paraId="59D10782" w14:textId="3E16142D" w:rsidR="00020546" w:rsidRDefault="004C67D5" w:rsidP="004C67D5">
      <w:pPr>
        <w:pStyle w:val="paragraph"/>
        <w:numPr>
          <w:ilvl w:val="0"/>
          <w:numId w:val="18"/>
        </w:numPr>
        <w:spacing w:before="0" w:beforeAutospacing="0" w:after="0" w:afterAutospacing="0"/>
        <w:jc w:val="both"/>
        <w:textAlignment w:val="baseline"/>
        <w:rPr>
          <w:rStyle w:val="eop"/>
          <w:rFonts w:ascii="Franklin Gothic Book" w:hAnsi="Franklin Gothic Book" w:cs="Segoe UI"/>
          <w:sz w:val="22"/>
          <w:szCs w:val="22"/>
        </w:rPr>
      </w:pPr>
      <w:r w:rsidRPr="004C67D5">
        <w:rPr>
          <w:rFonts w:ascii="Franklin Gothic Book" w:hAnsi="Franklin Gothic Book" w:cs="Segoe UI"/>
          <w:sz w:val="22"/>
          <w:szCs w:val="22"/>
        </w:rPr>
        <w:t xml:space="preserve">PBS listing of talazoparib in combination with enzalutamide for the first-line treatment of adult patients with </w:t>
      </w:r>
      <w:proofErr w:type="spellStart"/>
      <w:r w:rsidRPr="004C67D5">
        <w:rPr>
          <w:rFonts w:ascii="Franklin Gothic Book" w:hAnsi="Franklin Gothic Book" w:cs="Segoe UI"/>
          <w:sz w:val="22"/>
          <w:szCs w:val="22"/>
        </w:rPr>
        <w:t>mCRPC</w:t>
      </w:r>
      <w:proofErr w:type="spellEnd"/>
      <w:r w:rsidRPr="004C67D5">
        <w:rPr>
          <w:rFonts w:ascii="Franklin Gothic Book" w:hAnsi="Franklin Gothic Book" w:cs="Segoe UI"/>
          <w:sz w:val="22"/>
          <w:szCs w:val="22"/>
        </w:rPr>
        <w:t xml:space="preserve"> who have evidence of </w:t>
      </w:r>
      <w:r w:rsidR="00396C47">
        <w:rPr>
          <w:rFonts w:ascii="Franklin Gothic Book" w:hAnsi="Franklin Gothic Book" w:cs="Segoe UI"/>
          <w:sz w:val="22"/>
          <w:szCs w:val="22"/>
        </w:rPr>
        <w:t xml:space="preserve">pathogenic </w:t>
      </w:r>
      <w:r w:rsidRPr="004C67D5">
        <w:rPr>
          <w:rFonts w:ascii="Franklin Gothic Book" w:hAnsi="Franklin Gothic Book" w:cs="Segoe UI"/>
          <w:i/>
          <w:iCs/>
          <w:sz w:val="22"/>
          <w:szCs w:val="22"/>
        </w:rPr>
        <w:t>BRCA1/2</w:t>
      </w:r>
      <w:r w:rsidRPr="004C67D5">
        <w:rPr>
          <w:rFonts w:ascii="Franklin Gothic Book" w:hAnsi="Franklin Gothic Book" w:cs="Segoe UI"/>
          <w:sz w:val="22"/>
          <w:szCs w:val="22"/>
        </w:rPr>
        <w:t xml:space="preserve"> gene mutations and who have not received prior treatment with a novel hormonal agent (NH</w:t>
      </w:r>
      <w:r>
        <w:rPr>
          <w:rFonts w:ascii="Franklin Gothic Book" w:hAnsi="Franklin Gothic Book" w:cs="Segoe UI"/>
          <w:sz w:val="22"/>
          <w:szCs w:val="22"/>
        </w:rPr>
        <w:t>A</w:t>
      </w:r>
      <w:r w:rsidR="00020546" w:rsidRPr="00020546">
        <w:rPr>
          <w:rStyle w:val="normaltextrun"/>
          <w:rFonts w:ascii="Franklin Gothic Book" w:hAnsi="Franklin Gothic Book" w:cs="Segoe UI"/>
          <w:sz w:val="22"/>
          <w:szCs w:val="22"/>
        </w:rPr>
        <w:t>)</w:t>
      </w:r>
      <w:r>
        <w:rPr>
          <w:rStyle w:val="normaltextrun"/>
          <w:rFonts w:ascii="Franklin Gothic Book" w:hAnsi="Franklin Gothic Book" w:cs="Segoe UI"/>
          <w:sz w:val="22"/>
          <w:szCs w:val="22"/>
        </w:rPr>
        <w:t>.</w:t>
      </w:r>
      <w:r w:rsidR="00020546" w:rsidRPr="00020546">
        <w:rPr>
          <w:rStyle w:val="eop"/>
          <w:rFonts w:ascii="Franklin Gothic Book" w:hAnsi="Franklin Gothic Book" w:cs="Segoe UI"/>
          <w:sz w:val="22"/>
          <w:szCs w:val="22"/>
        </w:rPr>
        <w:t> </w:t>
      </w:r>
    </w:p>
    <w:p w14:paraId="1B53109B" w14:textId="5CB0C02E" w:rsidR="00932DE9" w:rsidRDefault="00C36633" w:rsidP="002A18BE">
      <w:pPr>
        <w:pStyle w:val="Heading2"/>
        <w:numPr>
          <w:ilvl w:val="0"/>
          <w:numId w:val="0"/>
        </w:numPr>
      </w:pPr>
      <w:r>
        <w:t>2.</w:t>
      </w:r>
      <w:r>
        <w:tab/>
      </w:r>
      <w:r w:rsidR="00932DE9">
        <w:t>MSAC’s advice to the Minister</w:t>
      </w:r>
    </w:p>
    <w:p w14:paraId="29F201B6" w14:textId="4B52D15E" w:rsidR="00932DE9" w:rsidRDefault="00932DE9" w:rsidP="00932DE9">
      <w:pPr>
        <w:spacing w:after="240"/>
        <w:rPr>
          <w:iCs/>
        </w:rPr>
      </w:pPr>
      <w:r w:rsidRPr="00932DE9">
        <w:rPr>
          <w:iCs/>
        </w:rPr>
        <w:t xml:space="preserve">After considering the strength of the available evidence in relation to comparative safety, clinical effectiveness, </w:t>
      </w:r>
      <w:proofErr w:type="gramStart"/>
      <w:r w:rsidRPr="00932DE9">
        <w:rPr>
          <w:iCs/>
        </w:rPr>
        <w:t>cost-effectiveness</w:t>
      </w:r>
      <w:proofErr w:type="gramEnd"/>
      <w:r w:rsidRPr="00932DE9">
        <w:rPr>
          <w:iCs/>
        </w:rPr>
        <w:t xml:space="preserve"> and total cost, </w:t>
      </w:r>
      <w:r w:rsidRPr="000F325E">
        <w:rPr>
          <w:iCs/>
        </w:rPr>
        <w:t>MSAC</w:t>
      </w:r>
      <w:r w:rsidR="00B333D3" w:rsidRPr="000F325E">
        <w:rPr>
          <w:iCs/>
        </w:rPr>
        <w:t xml:space="preserve"> supported the amendment of existing </w:t>
      </w:r>
      <w:r w:rsidR="003E31C8" w:rsidRPr="003E31C8">
        <w:rPr>
          <w:iCs/>
        </w:rPr>
        <w:t xml:space="preserve">Medicare Benefits Schedule </w:t>
      </w:r>
      <w:r w:rsidR="003E31C8">
        <w:rPr>
          <w:iCs/>
        </w:rPr>
        <w:t>(</w:t>
      </w:r>
      <w:r w:rsidR="00B333D3" w:rsidRPr="000F325E">
        <w:rPr>
          <w:iCs/>
        </w:rPr>
        <w:t>MBS</w:t>
      </w:r>
      <w:r w:rsidR="003E31C8">
        <w:rPr>
          <w:iCs/>
        </w:rPr>
        <w:t>)</w:t>
      </w:r>
      <w:r w:rsidR="00B333D3" w:rsidRPr="000F325E">
        <w:rPr>
          <w:iCs/>
        </w:rPr>
        <w:t xml:space="preserve"> items 73303 and 73304 for </w:t>
      </w:r>
      <w:r w:rsidR="006574D7">
        <w:rPr>
          <w:iCs/>
        </w:rPr>
        <w:t>breast cancer gene (</w:t>
      </w:r>
      <w:r w:rsidR="00B333D3" w:rsidRPr="000F325E">
        <w:rPr>
          <w:i/>
          <w:iCs/>
        </w:rPr>
        <w:t>BRCA</w:t>
      </w:r>
      <w:r w:rsidR="006574D7">
        <w:rPr>
          <w:i/>
          <w:iCs/>
        </w:rPr>
        <w:t>)</w:t>
      </w:r>
      <w:r w:rsidR="00B333D3" w:rsidRPr="000F325E">
        <w:rPr>
          <w:i/>
          <w:iCs/>
        </w:rPr>
        <w:t xml:space="preserve"> 1/2</w:t>
      </w:r>
      <w:r w:rsidR="00B333D3" w:rsidRPr="000F325E">
        <w:rPr>
          <w:iCs/>
        </w:rPr>
        <w:t xml:space="preserve"> </w:t>
      </w:r>
      <w:r w:rsidR="003E31C8">
        <w:rPr>
          <w:iCs/>
        </w:rPr>
        <w:t>mutation</w:t>
      </w:r>
      <w:r w:rsidR="00B333D3" w:rsidRPr="000F325E">
        <w:rPr>
          <w:iCs/>
        </w:rPr>
        <w:t xml:space="preserve"> testing to determine eligibility for a relevant treatment on the </w:t>
      </w:r>
      <w:r w:rsidR="00C6140C" w:rsidRPr="00C6140C">
        <w:rPr>
          <w:iCs/>
        </w:rPr>
        <w:t>Pharmaceutical Benefits Sch</w:t>
      </w:r>
      <w:r w:rsidR="00C6140C">
        <w:rPr>
          <w:iCs/>
        </w:rPr>
        <w:t>eme (</w:t>
      </w:r>
      <w:r w:rsidR="00B333D3" w:rsidRPr="000F325E">
        <w:rPr>
          <w:iCs/>
        </w:rPr>
        <w:t>PBS</w:t>
      </w:r>
      <w:r w:rsidR="00C6140C">
        <w:rPr>
          <w:iCs/>
        </w:rPr>
        <w:t>)</w:t>
      </w:r>
      <w:r w:rsidR="00B333D3" w:rsidRPr="000F325E">
        <w:rPr>
          <w:iCs/>
        </w:rPr>
        <w:t xml:space="preserve"> in patients with </w:t>
      </w:r>
      <w:r w:rsidR="00D61795" w:rsidRPr="00D61795">
        <w:rPr>
          <w:iCs/>
        </w:rPr>
        <w:t xml:space="preserve">metastatic castration-resistant prostate cancer </w:t>
      </w:r>
      <w:r w:rsidR="00D61795">
        <w:rPr>
          <w:iCs/>
        </w:rPr>
        <w:t>(</w:t>
      </w:r>
      <w:proofErr w:type="spellStart"/>
      <w:r w:rsidR="00B333D3" w:rsidRPr="000F325E">
        <w:rPr>
          <w:iCs/>
        </w:rPr>
        <w:t>mCRPC</w:t>
      </w:r>
      <w:proofErr w:type="spellEnd"/>
      <w:r w:rsidR="008D0EDE">
        <w:rPr>
          <w:iCs/>
        </w:rPr>
        <w:t>)</w:t>
      </w:r>
      <w:r w:rsidR="00B333D3" w:rsidRPr="000F325E">
        <w:rPr>
          <w:iCs/>
        </w:rPr>
        <w:t>.</w:t>
      </w:r>
      <w:r w:rsidR="00B333D3" w:rsidRPr="00B333D3">
        <w:rPr>
          <w:iCs/>
        </w:rPr>
        <w:t xml:space="preserve"> </w:t>
      </w:r>
    </w:p>
    <w:p w14:paraId="0570EA90" w14:textId="5F67CC5A" w:rsidR="007640C6" w:rsidRDefault="00B87A78" w:rsidP="001D02EC">
      <w:r w:rsidRPr="00B87A78">
        <w:t xml:space="preserve">MSAC recalled it had previously considered the </w:t>
      </w:r>
      <w:r w:rsidRPr="00FC214D">
        <w:rPr>
          <w:i/>
          <w:iCs/>
        </w:rPr>
        <w:t xml:space="preserve">BRCA </w:t>
      </w:r>
      <w:r w:rsidRPr="00B87A78">
        <w:t xml:space="preserve">test to be safe, effective, and cost-effective and supported its MBS listing to determine eligibility for olaparib treatment on the PBS, with the subsequent creation of two new MBS items (73303, 73304). MSAC noted the applicant’s claim that the inclusion of talazoparib within the current wording of the MBS items would not alter the cost or utilisation of these two services. MSAC considered it unlikely that the number of patients eligible for testing would </w:t>
      </w:r>
      <w:r w:rsidR="00AF0AC9">
        <w:t xml:space="preserve">exceed the </w:t>
      </w:r>
      <w:r w:rsidR="00AF0AC9" w:rsidRPr="3C7D15C8">
        <w:rPr>
          <w:rFonts w:eastAsia="Franklin Gothic Book" w:cs="Franklin Gothic Book"/>
        </w:rPr>
        <w:t>original utilisation estimates for items 73303 and 73304</w:t>
      </w:r>
      <w:r w:rsidRPr="00B87A78">
        <w:t>. MSAC noted that PBAC had not recommended the proposed listing for talazoparib in its March 2024 meeting but</w:t>
      </w:r>
      <w:r w:rsidR="00E719A1">
        <w:t xml:space="preserve"> </w:t>
      </w:r>
      <w:r w:rsidR="00D31D6D">
        <w:t>wa</w:t>
      </w:r>
      <w:r w:rsidR="00E719A1" w:rsidRPr="00E719A1">
        <w:t>s scheduled to reconsider the submission in July 2024</w:t>
      </w:r>
      <w:r w:rsidR="00D31D6D">
        <w:t>.</w:t>
      </w:r>
      <w:r w:rsidRPr="00B87A78">
        <w:t xml:space="preserve"> In this context, MSAC considered a few alternative revisions of wording and decided to support the amendment of the MBS items to “eligibility for a relevant treatment on the PBS,” after consultation with departmental medical and policy advisors</w:t>
      </w:r>
      <w:r w:rsidR="007640C6">
        <w:t xml:space="preserve"> (</w:t>
      </w:r>
      <w:bookmarkStart w:id="3" w:name="_Hlk164354602"/>
      <w:r w:rsidR="00B215D1">
        <w:fldChar w:fldCharType="begin"/>
      </w:r>
      <w:r w:rsidR="00B215D1">
        <w:instrText xml:space="preserve"> REF _Ref164352913 \h </w:instrText>
      </w:r>
      <w:r w:rsidR="00B215D1">
        <w:fldChar w:fldCharType="separate"/>
      </w:r>
      <w:r w:rsidR="00B215D1">
        <w:t xml:space="preserve">Table </w:t>
      </w:r>
      <w:r w:rsidR="00B215D1">
        <w:rPr>
          <w:noProof/>
        </w:rPr>
        <w:t>1</w:t>
      </w:r>
      <w:r w:rsidR="00B215D1">
        <w:fldChar w:fldCharType="end"/>
      </w:r>
      <w:r w:rsidR="004C7249">
        <w:t>).</w:t>
      </w:r>
      <w:bookmarkEnd w:id="3"/>
      <w:r w:rsidR="007640C6">
        <w:br w:type="page"/>
      </w:r>
    </w:p>
    <w:p w14:paraId="4E423673" w14:textId="6C6F2763" w:rsidR="00FD34EE" w:rsidRDefault="00596DDC" w:rsidP="00596DDC">
      <w:pPr>
        <w:pStyle w:val="Caption"/>
        <w:rPr>
          <w:iCs/>
        </w:rPr>
      </w:pPr>
      <w:bookmarkStart w:id="4" w:name="_Ref164352913"/>
      <w:r>
        <w:lastRenderedPageBreak/>
        <w:t xml:space="preserve">Table </w:t>
      </w:r>
      <w:r w:rsidR="00341CAB">
        <w:fldChar w:fldCharType="begin"/>
      </w:r>
      <w:r w:rsidR="00341CAB">
        <w:instrText xml:space="preserve"> SEQ Table \* ARABIC </w:instrText>
      </w:r>
      <w:r w:rsidR="00341CAB">
        <w:fldChar w:fldCharType="separate"/>
      </w:r>
      <w:r w:rsidR="00935FE6">
        <w:rPr>
          <w:noProof/>
        </w:rPr>
        <w:t>1</w:t>
      </w:r>
      <w:r w:rsidR="00341CAB">
        <w:rPr>
          <w:noProof/>
        </w:rPr>
        <w:fldChar w:fldCharType="end"/>
      </w:r>
      <w:bookmarkEnd w:id="4"/>
      <w:r>
        <w:tab/>
        <w:t xml:space="preserve">Amendment of MBS items </w:t>
      </w:r>
      <w:r w:rsidR="00B215D1">
        <w:t>73303 and 73304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12A71" w:rsidRPr="00020546" w14:paraId="03F01379" w14:textId="77777777" w:rsidTr="006D74A3">
        <w:trPr>
          <w:trHeight w:val="360"/>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4D1374" w14:textId="77777777" w:rsidR="00D12A71" w:rsidRPr="00020546" w:rsidRDefault="00D12A71" w:rsidP="006D74A3">
            <w:pPr>
              <w:spacing w:before="0" w:after="0" w:line="240" w:lineRule="auto"/>
              <w:textAlignment w:val="baseline"/>
              <w:rPr>
                <w:rFonts w:ascii="Arial Narrow" w:eastAsia="Times New Roman" w:hAnsi="Arial Narrow" w:cs="Times New Roman"/>
                <w:sz w:val="20"/>
                <w:szCs w:val="20"/>
                <w:lang w:eastAsia="en-AU"/>
              </w:rPr>
            </w:pPr>
            <w:r w:rsidRPr="00020546">
              <w:rPr>
                <w:rFonts w:ascii="Arial Narrow" w:eastAsia="Times New Roman" w:hAnsi="Arial Narrow" w:cs="Segoe UI"/>
                <w:b/>
                <w:bCs/>
                <w:sz w:val="20"/>
                <w:szCs w:val="20"/>
                <w:lang w:eastAsia="en-AU"/>
              </w:rPr>
              <w:t>73303</w:t>
            </w:r>
            <w:r w:rsidRPr="00020546">
              <w:rPr>
                <w:rFonts w:ascii="Arial Narrow" w:eastAsia="Times New Roman" w:hAnsi="Arial Narrow" w:cs="Segoe UI"/>
                <w:sz w:val="20"/>
                <w:szCs w:val="20"/>
                <w:lang w:eastAsia="en-AU"/>
              </w:rPr>
              <w:t> </w:t>
            </w:r>
          </w:p>
        </w:tc>
      </w:tr>
      <w:tr w:rsidR="00D12A71" w:rsidRPr="00020546" w14:paraId="7E45B53B" w14:textId="77777777" w:rsidTr="006D74A3">
        <w:trPr>
          <w:trHeight w:val="360"/>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27C3A1" w14:textId="77777777" w:rsidR="00D12A71" w:rsidRPr="00020546" w:rsidRDefault="00D12A71" w:rsidP="006D74A3">
            <w:pPr>
              <w:spacing w:before="0" w:after="0" w:line="240" w:lineRule="auto"/>
              <w:textAlignment w:val="baseline"/>
              <w:rPr>
                <w:rFonts w:ascii="Arial Narrow" w:eastAsia="Times New Roman" w:hAnsi="Arial Narrow" w:cs="Times New Roman"/>
                <w:sz w:val="20"/>
                <w:szCs w:val="20"/>
                <w:lang w:eastAsia="en-AU"/>
              </w:rPr>
            </w:pPr>
            <w:r w:rsidRPr="00020546">
              <w:rPr>
                <w:rFonts w:ascii="Arial Narrow" w:eastAsia="Times New Roman" w:hAnsi="Arial Narrow" w:cs="Segoe UI"/>
                <w:sz w:val="20"/>
                <w:szCs w:val="20"/>
                <w:lang w:eastAsia="en-AU"/>
              </w:rPr>
              <w:t xml:space="preserve">A test of tumour tissue from a patient with metastatic castration-resistant prostate cancer, including subsequent characterisation of germline gene variants should tumour tissue testing undertaken during the same service be inconclusive, requested by a specialist or consultant physician, to determine eligibility relating to BRCA status for access to </w:t>
            </w:r>
            <w:r w:rsidRPr="00390F72">
              <w:rPr>
                <w:rFonts w:ascii="Arial Narrow" w:eastAsia="Times New Roman" w:hAnsi="Arial Narrow" w:cs="Segoe UI"/>
                <w:strike/>
                <w:sz w:val="20"/>
                <w:szCs w:val="20"/>
                <w:lang w:eastAsia="en-AU"/>
              </w:rPr>
              <w:t>olaparib</w:t>
            </w:r>
            <w:r>
              <w:rPr>
                <w:rFonts w:ascii="Arial Narrow" w:eastAsia="Times New Roman" w:hAnsi="Arial Narrow" w:cs="Segoe UI"/>
                <w:sz w:val="20"/>
                <w:szCs w:val="20"/>
                <w:lang w:eastAsia="en-AU"/>
              </w:rPr>
              <w:t xml:space="preserve"> </w:t>
            </w:r>
            <w:r w:rsidRPr="00390F72">
              <w:rPr>
                <w:rFonts w:ascii="Arial Narrow" w:eastAsia="Times New Roman" w:hAnsi="Arial Narrow" w:cs="Segoe UI"/>
                <w:i/>
                <w:iCs/>
                <w:sz w:val="20"/>
                <w:szCs w:val="20"/>
                <w:lang w:eastAsia="en-AU"/>
              </w:rPr>
              <w:t>a</w:t>
            </w:r>
            <w:r w:rsidRPr="00390F72">
              <w:rPr>
                <w:rFonts w:ascii="Arial Narrow" w:eastAsia="Times New Roman" w:hAnsi="Arial Narrow"/>
                <w:i/>
                <w:iCs/>
                <w:sz w:val="20"/>
                <w:szCs w:val="20"/>
                <w:lang w:eastAsia="en-AU"/>
              </w:rPr>
              <w:t xml:space="preserve"> relevant treatment</w:t>
            </w:r>
            <w:r>
              <w:rPr>
                <w:rFonts w:ascii="Arial Narrow" w:eastAsia="Times New Roman" w:hAnsi="Arial Narrow"/>
                <w:sz w:val="20"/>
                <w:szCs w:val="20"/>
                <w:lang w:eastAsia="en-AU"/>
              </w:rPr>
              <w:t xml:space="preserve"> </w:t>
            </w:r>
            <w:r w:rsidRPr="00020546">
              <w:rPr>
                <w:rFonts w:ascii="Arial Narrow" w:eastAsia="Times New Roman" w:hAnsi="Arial Narrow" w:cs="Segoe UI"/>
                <w:sz w:val="20"/>
                <w:szCs w:val="20"/>
                <w:lang w:eastAsia="en-AU"/>
              </w:rPr>
              <w:t>under the Pharmaceutical Benefits Scheme. </w:t>
            </w:r>
          </w:p>
          <w:p w14:paraId="735E2887" w14:textId="171D32C6" w:rsidR="00D12A71" w:rsidRPr="00020546" w:rsidRDefault="00D12A71" w:rsidP="006D20A1">
            <w:pPr>
              <w:spacing w:after="0" w:line="240" w:lineRule="auto"/>
              <w:textAlignment w:val="baseline"/>
              <w:rPr>
                <w:rFonts w:ascii="Arial Narrow" w:eastAsia="Times New Roman" w:hAnsi="Arial Narrow" w:cs="Times New Roman"/>
                <w:sz w:val="20"/>
                <w:szCs w:val="20"/>
                <w:lang w:eastAsia="en-AU"/>
              </w:rPr>
            </w:pPr>
            <w:r w:rsidRPr="00020546">
              <w:rPr>
                <w:rFonts w:ascii="Arial Narrow" w:eastAsia="Times New Roman" w:hAnsi="Arial Narrow" w:cs="Segoe UI"/>
                <w:sz w:val="20"/>
                <w:szCs w:val="20"/>
                <w:lang w:eastAsia="en-AU"/>
              </w:rPr>
              <w:t>Applicable once per primary tumour diagnosis </w:t>
            </w:r>
          </w:p>
        </w:tc>
      </w:tr>
      <w:tr w:rsidR="00D12A71" w:rsidRPr="00020546" w14:paraId="555202DC" w14:textId="77777777" w:rsidTr="006D74A3">
        <w:trPr>
          <w:trHeight w:val="360"/>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4691BE" w14:textId="77777777" w:rsidR="00D12A71" w:rsidRPr="00020546" w:rsidRDefault="00D12A71" w:rsidP="006D74A3">
            <w:pPr>
              <w:spacing w:before="0" w:after="0" w:line="240" w:lineRule="auto"/>
              <w:textAlignment w:val="baseline"/>
              <w:rPr>
                <w:rFonts w:ascii="Arial Narrow" w:eastAsia="Times New Roman" w:hAnsi="Arial Narrow" w:cs="Times New Roman"/>
                <w:sz w:val="20"/>
                <w:szCs w:val="20"/>
                <w:lang w:eastAsia="en-AU"/>
              </w:rPr>
            </w:pPr>
            <w:r w:rsidRPr="00020546">
              <w:rPr>
                <w:rFonts w:ascii="Arial Narrow" w:eastAsia="Times New Roman" w:hAnsi="Arial Narrow" w:cs="Segoe UI"/>
                <w:sz w:val="20"/>
                <w:szCs w:val="20"/>
                <w:lang w:eastAsia="en-AU"/>
              </w:rPr>
              <w:t>Fee: $1,000.00 Benefit: 75% = $750.00 85% = $906.80 </w:t>
            </w:r>
          </w:p>
        </w:tc>
      </w:tr>
      <w:tr w:rsidR="00D12A71" w:rsidRPr="00020546" w14:paraId="4F002605" w14:textId="77777777" w:rsidTr="006D74A3">
        <w:trPr>
          <w:trHeight w:val="360"/>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448DC9" w14:textId="77777777" w:rsidR="00D12A71" w:rsidRPr="00020546" w:rsidRDefault="00D12A71" w:rsidP="006D74A3">
            <w:pPr>
              <w:spacing w:before="0" w:after="0" w:line="240" w:lineRule="auto"/>
              <w:textAlignment w:val="baseline"/>
              <w:rPr>
                <w:rFonts w:ascii="Arial Narrow" w:eastAsia="Times New Roman" w:hAnsi="Arial Narrow" w:cs="Times New Roman"/>
                <w:sz w:val="20"/>
                <w:szCs w:val="20"/>
                <w:lang w:eastAsia="en-AU"/>
              </w:rPr>
            </w:pPr>
            <w:r w:rsidRPr="00020546">
              <w:rPr>
                <w:rFonts w:ascii="Arial Narrow" w:eastAsia="Times New Roman" w:hAnsi="Arial Narrow" w:cs="Segoe UI"/>
                <w:b/>
                <w:bCs/>
                <w:sz w:val="20"/>
                <w:szCs w:val="20"/>
                <w:lang w:eastAsia="en-AU"/>
              </w:rPr>
              <w:t>73304</w:t>
            </w:r>
            <w:r w:rsidRPr="00020546">
              <w:rPr>
                <w:rFonts w:ascii="Arial Narrow" w:eastAsia="Times New Roman" w:hAnsi="Arial Narrow" w:cs="Segoe UI"/>
                <w:sz w:val="20"/>
                <w:szCs w:val="20"/>
                <w:lang w:eastAsia="en-AU"/>
              </w:rPr>
              <w:t> </w:t>
            </w:r>
          </w:p>
        </w:tc>
      </w:tr>
      <w:tr w:rsidR="00D12A71" w:rsidRPr="00020546" w14:paraId="65C79B27" w14:textId="77777777" w:rsidTr="006D74A3">
        <w:trPr>
          <w:trHeight w:val="360"/>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BF6B07" w14:textId="77777777" w:rsidR="00D12A71" w:rsidRPr="00020546" w:rsidRDefault="00D12A71" w:rsidP="006D74A3">
            <w:pPr>
              <w:spacing w:before="0" w:after="0" w:line="240" w:lineRule="auto"/>
              <w:textAlignment w:val="baseline"/>
              <w:rPr>
                <w:rFonts w:ascii="Arial Narrow" w:eastAsia="Times New Roman" w:hAnsi="Arial Narrow" w:cs="Times New Roman"/>
                <w:sz w:val="20"/>
                <w:szCs w:val="20"/>
                <w:lang w:eastAsia="en-AU"/>
              </w:rPr>
            </w:pPr>
            <w:r w:rsidRPr="00020546">
              <w:rPr>
                <w:rFonts w:ascii="Arial Narrow" w:eastAsia="Times New Roman" w:hAnsi="Arial Narrow" w:cs="Segoe UI"/>
                <w:sz w:val="20"/>
                <w:szCs w:val="20"/>
                <w:lang w:eastAsia="en-AU"/>
              </w:rPr>
              <w:t>Detection of germline BRCA1 or BRCA2 pathogenic or likely pathogenic gene variants, in a patient with metastatic castration</w:t>
            </w:r>
            <w:r w:rsidRPr="00020546">
              <w:rPr>
                <w:rFonts w:ascii="Arial Narrow" w:eastAsia="Times New Roman" w:hAnsi="Arial Narrow" w:cs="Times New Roman"/>
                <w:sz w:val="20"/>
                <w:szCs w:val="20"/>
                <w:lang w:eastAsia="en-AU"/>
              </w:rPr>
              <w:noBreakHyphen/>
            </w:r>
            <w:r w:rsidRPr="00020546">
              <w:rPr>
                <w:rFonts w:ascii="Arial Narrow" w:eastAsia="Times New Roman" w:hAnsi="Arial Narrow" w:cs="Segoe UI"/>
                <w:sz w:val="20"/>
                <w:szCs w:val="20"/>
                <w:lang w:eastAsia="en-AU"/>
              </w:rPr>
              <w:t xml:space="preserve">resistant prostate cancer, for whom testing of tumour tissue is not clinically feasible, requested by a specialist or consultant physician, to determine eligibility for </w:t>
            </w:r>
            <w:r w:rsidRPr="001C74C1">
              <w:rPr>
                <w:rFonts w:ascii="Arial Narrow" w:eastAsia="Times New Roman" w:hAnsi="Arial Narrow" w:cs="Segoe UI"/>
                <w:strike/>
                <w:sz w:val="20"/>
                <w:szCs w:val="20"/>
                <w:lang w:eastAsia="en-AU"/>
              </w:rPr>
              <w:t>olaparib</w:t>
            </w:r>
            <w:r w:rsidRPr="00020546">
              <w:rPr>
                <w:rFonts w:ascii="Arial Narrow" w:eastAsia="Times New Roman" w:hAnsi="Arial Narrow" w:cs="Segoe UI"/>
                <w:sz w:val="20"/>
                <w:szCs w:val="20"/>
                <w:lang w:eastAsia="en-AU"/>
              </w:rPr>
              <w:t xml:space="preserve"> </w:t>
            </w:r>
            <w:r>
              <w:rPr>
                <w:rFonts w:ascii="Arial Narrow" w:eastAsia="Times New Roman" w:hAnsi="Arial Narrow" w:cs="Segoe UI"/>
                <w:i/>
                <w:iCs/>
                <w:sz w:val="20"/>
                <w:szCs w:val="20"/>
                <w:lang w:eastAsia="en-AU"/>
              </w:rPr>
              <w:t xml:space="preserve">a relevant treatment </w:t>
            </w:r>
            <w:r w:rsidRPr="00020546">
              <w:rPr>
                <w:rFonts w:ascii="Arial Narrow" w:eastAsia="Times New Roman" w:hAnsi="Arial Narrow" w:cs="Segoe UI"/>
                <w:sz w:val="20"/>
                <w:szCs w:val="20"/>
                <w:lang w:eastAsia="en-AU"/>
              </w:rPr>
              <w:t>under the Pharmaceutical Benefits Scheme. </w:t>
            </w:r>
          </w:p>
          <w:p w14:paraId="675C94DC" w14:textId="2B9A8266" w:rsidR="00D12A71" w:rsidRPr="00020546" w:rsidRDefault="00D12A71" w:rsidP="006D20A1">
            <w:pPr>
              <w:spacing w:after="0" w:line="240" w:lineRule="auto"/>
              <w:textAlignment w:val="baseline"/>
              <w:rPr>
                <w:rFonts w:ascii="Arial Narrow" w:eastAsia="Times New Roman" w:hAnsi="Arial Narrow" w:cs="Times New Roman"/>
                <w:sz w:val="20"/>
                <w:szCs w:val="20"/>
                <w:lang w:eastAsia="en-AU"/>
              </w:rPr>
            </w:pPr>
            <w:r w:rsidRPr="00020546">
              <w:rPr>
                <w:rFonts w:ascii="Arial Narrow" w:eastAsia="Times New Roman" w:hAnsi="Arial Narrow" w:cs="Segoe UI"/>
                <w:sz w:val="20"/>
                <w:szCs w:val="20"/>
                <w:lang w:eastAsia="en-AU"/>
              </w:rPr>
              <w:t>Applicable once per lifetime </w:t>
            </w:r>
          </w:p>
        </w:tc>
      </w:tr>
      <w:tr w:rsidR="00D12A71" w:rsidRPr="00020546" w14:paraId="2864E21C" w14:textId="77777777" w:rsidTr="006D74A3">
        <w:trPr>
          <w:trHeight w:val="360"/>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982234" w14:textId="77777777" w:rsidR="00D12A71" w:rsidRPr="00020546" w:rsidRDefault="00D12A71" w:rsidP="006D74A3">
            <w:pPr>
              <w:spacing w:before="0" w:after="0" w:line="240" w:lineRule="auto"/>
              <w:textAlignment w:val="baseline"/>
              <w:rPr>
                <w:rFonts w:ascii="Arial Narrow" w:eastAsia="Times New Roman" w:hAnsi="Arial Narrow" w:cs="Times New Roman"/>
                <w:sz w:val="20"/>
                <w:szCs w:val="20"/>
                <w:lang w:eastAsia="en-AU"/>
              </w:rPr>
            </w:pPr>
            <w:r w:rsidRPr="00020546">
              <w:rPr>
                <w:rFonts w:ascii="Arial Narrow" w:eastAsia="Times New Roman" w:hAnsi="Arial Narrow" w:cs="Segoe UI"/>
                <w:sz w:val="20"/>
                <w:szCs w:val="20"/>
                <w:lang w:eastAsia="en-AU"/>
              </w:rPr>
              <w:t>Fee: $1,000.00 Benefit: 75% = $750.00 85% = $906.80 </w:t>
            </w:r>
          </w:p>
        </w:tc>
      </w:tr>
    </w:tbl>
    <w:p w14:paraId="0A7BA5E8" w14:textId="77777777" w:rsidR="00D12A71" w:rsidRPr="00932DE9" w:rsidRDefault="00D12A71" w:rsidP="005812D3">
      <w:pPr>
        <w:spacing w:before="0" w:after="0"/>
        <w:rPr>
          <w:iCs/>
        </w:rPr>
      </w:pPr>
    </w:p>
    <w:tbl>
      <w:tblPr>
        <w:tblStyle w:val="TableGrid"/>
        <w:tblW w:w="0" w:type="auto"/>
        <w:tblLook w:val="04A0" w:firstRow="1" w:lastRow="0" w:firstColumn="1" w:lastColumn="0" w:noHBand="0" w:noVBand="1"/>
        <w:tblDescription w:val="Consumer summary of MSAC consideration"/>
      </w:tblPr>
      <w:tblGrid>
        <w:gridCol w:w="9016"/>
      </w:tblGrid>
      <w:tr w:rsidR="004F49B1" w:rsidRPr="00AF46D8" w14:paraId="36A15CA7" w14:textId="77777777" w:rsidTr="00B54CA4">
        <w:trPr>
          <w:tblHeader/>
        </w:trPr>
        <w:tc>
          <w:tcPr>
            <w:tcW w:w="9016" w:type="dxa"/>
          </w:tcPr>
          <w:p w14:paraId="5B5DC026" w14:textId="0722CB54" w:rsidR="004F49B1" w:rsidRPr="00AF46D8" w:rsidRDefault="004F49B1" w:rsidP="005812D3">
            <w:pPr>
              <w:pStyle w:val="Heading3"/>
              <w:spacing w:before="120" w:after="120"/>
              <w:ind w:left="720" w:hanging="720"/>
              <w:rPr>
                <w:iCs/>
              </w:rPr>
            </w:pPr>
            <w:r>
              <w:t xml:space="preserve">Consumer summary </w:t>
            </w:r>
          </w:p>
        </w:tc>
      </w:tr>
      <w:tr w:rsidR="004F49B1" w:rsidRPr="00AF46D8" w14:paraId="31CC1AC5" w14:textId="77777777" w:rsidTr="00B54CA4">
        <w:tc>
          <w:tcPr>
            <w:tcW w:w="9016" w:type="dxa"/>
          </w:tcPr>
          <w:p w14:paraId="45CE72A7" w14:textId="2992E4F0" w:rsidR="004F49B1" w:rsidRDefault="004F49B1" w:rsidP="004F49B1">
            <w:r>
              <w:t xml:space="preserve">This is an application from Pfizer Australia requesting changes to existing Medicare Benefits Schedule (MBS) listings for testing of </w:t>
            </w:r>
            <w:r w:rsidR="00396C47">
              <w:t xml:space="preserve">the </w:t>
            </w:r>
            <w:r>
              <w:rPr>
                <w:i/>
                <w:iCs/>
              </w:rPr>
              <w:t>BRCA1</w:t>
            </w:r>
            <w:r w:rsidR="00396C47">
              <w:rPr>
                <w:i/>
                <w:iCs/>
              </w:rPr>
              <w:t xml:space="preserve"> and BRCA2 </w:t>
            </w:r>
            <w:r>
              <w:t>gene</w:t>
            </w:r>
            <w:r w:rsidR="00396C47">
              <w:t xml:space="preserve">s to identify </w:t>
            </w:r>
            <w:r>
              <w:t xml:space="preserve">variants </w:t>
            </w:r>
            <w:r w:rsidR="00396C47">
              <w:t xml:space="preserve">(mutations) in these genes </w:t>
            </w:r>
            <w:r>
              <w:t xml:space="preserve">in people with metastatic castration-resistant prostate cancer. </w:t>
            </w:r>
            <w:r w:rsidR="00396C47">
              <w:t xml:space="preserve">People with </w:t>
            </w:r>
            <w:r w:rsidR="00396C47" w:rsidRPr="00AD08FF">
              <w:rPr>
                <w:i/>
                <w:iCs/>
              </w:rPr>
              <w:t xml:space="preserve">BRCA1 </w:t>
            </w:r>
            <w:r w:rsidR="00396C47">
              <w:t xml:space="preserve">or </w:t>
            </w:r>
            <w:r w:rsidR="00396C47" w:rsidRPr="00AD08FF">
              <w:rPr>
                <w:i/>
                <w:iCs/>
              </w:rPr>
              <w:t>BRCA2</w:t>
            </w:r>
            <w:r w:rsidR="00396C47">
              <w:t xml:space="preserve"> variants are likely to respond to a class of drugs known as PARP inhibitors. </w:t>
            </w:r>
            <w:r>
              <w:t>Currently, the listings allow access to a drug called olaparib on the Pharmaceutical Benefits Scheme (PBS). This application is requesting that a</w:t>
            </w:r>
            <w:r w:rsidR="0065501E">
              <w:t>nother</w:t>
            </w:r>
            <w:r>
              <w:t xml:space="preserve"> drug, called talazoparib, be added to the MBS listing.</w:t>
            </w:r>
            <w:r w:rsidR="001544DC">
              <w:t xml:space="preserve"> </w:t>
            </w:r>
          </w:p>
          <w:p w14:paraId="605E1823" w14:textId="79827B4C" w:rsidR="004F49B1" w:rsidRDefault="004F49B1" w:rsidP="004F49B1">
            <w:r>
              <w:t xml:space="preserve">Metastatic castration-resistant prostate cancer is prostate cancer that has spread to other areas of the body and is not responding to hormone therapy. Genetic testing involves sending a piece of the tumour to a laboratory for </w:t>
            </w:r>
            <w:r>
              <w:rPr>
                <w:i/>
                <w:iCs/>
              </w:rPr>
              <w:t>BRCA1/2</w:t>
            </w:r>
            <w:r>
              <w:t xml:space="preserve"> testing. Currently, if the </w:t>
            </w:r>
            <w:r w:rsidR="00EA79DA">
              <w:t xml:space="preserve">condition has progressed following </w:t>
            </w:r>
            <w:r w:rsidR="00FD4282">
              <w:t xml:space="preserve">prior treatment with a novel hormonal agent and the </w:t>
            </w:r>
            <w:r>
              <w:t xml:space="preserve">tumour is positive for a </w:t>
            </w:r>
            <w:r>
              <w:rPr>
                <w:i/>
                <w:iCs/>
              </w:rPr>
              <w:t>BRCA1</w:t>
            </w:r>
            <w:r>
              <w:t>/</w:t>
            </w:r>
            <w:r>
              <w:rPr>
                <w:i/>
                <w:iCs/>
              </w:rPr>
              <w:t>2</w:t>
            </w:r>
            <w:r>
              <w:t xml:space="preserve"> pathogenic </w:t>
            </w:r>
            <w:r w:rsidR="006A4175">
              <w:t xml:space="preserve">or likely pathogenic </w:t>
            </w:r>
            <w:r>
              <w:t xml:space="preserve">variant, the person can access olaparib, which is shown to improve survival in people with this type of prostate cancer and who have </w:t>
            </w:r>
            <w:r>
              <w:rPr>
                <w:i/>
                <w:iCs/>
              </w:rPr>
              <w:t>BRCA1/2</w:t>
            </w:r>
            <w:r>
              <w:t xml:space="preserve"> variants.</w:t>
            </w:r>
            <w:r w:rsidR="00A758EF">
              <w:t xml:space="preserve"> </w:t>
            </w:r>
            <w:r w:rsidR="005A5F7D">
              <w:t xml:space="preserve">Both talazoparib and olaparib belong to the same class of drugs called </w:t>
            </w:r>
            <w:proofErr w:type="gramStart"/>
            <w:r w:rsidR="005A5F7D">
              <w:t>poly(</w:t>
            </w:r>
            <w:proofErr w:type="gramEnd"/>
            <w:r w:rsidR="005A5F7D">
              <w:t>adenosine diphosphate-ribose) polymerase (PARP) inhibitors.</w:t>
            </w:r>
          </w:p>
          <w:p w14:paraId="4C22E9D3" w14:textId="1DC0F930" w:rsidR="005A5F7D" w:rsidRDefault="004F49B1" w:rsidP="005A5F7D">
            <w:r>
              <w:t xml:space="preserve">MSAC had already considered the genetic test to be safe, effective and value for money when it considered the application to access olaparib in 2021. </w:t>
            </w:r>
            <w:r w:rsidR="005A5F7D">
              <w:t xml:space="preserve">MSAC considered that adding a drug to the MBS descriptor would unlikely change these conclusions. </w:t>
            </w:r>
          </w:p>
          <w:p w14:paraId="79556796" w14:textId="73B2182A" w:rsidR="003605D2" w:rsidRDefault="004F49B1" w:rsidP="003605D2">
            <w:r>
              <w:t xml:space="preserve">MSAC </w:t>
            </w:r>
            <w:r w:rsidR="009D6AEE">
              <w:t>supported</w:t>
            </w:r>
            <w:r>
              <w:t xml:space="preserve"> </w:t>
            </w:r>
            <w:r w:rsidR="00ED724B">
              <w:t xml:space="preserve">the proposed </w:t>
            </w:r>
            <w:r w:rsidR="009D6AEE">
              <w:t xml:space="preserve">MBS listing </w:t>
            </w:r>
            <w:r w:rsidR="00ED7E87">
              <w:t>and</w:t>
            </w:r>
            <w:r w:rsidR="009D6AEE">
              <w:t xml:space="preserve"> recommended </w:t>
            </w:r>
            <w:r w:rsidR="00F940C3">
              <w:t xml:space="preserve">the removal of reference to </w:t>
            </w:r>
            <w:r w:rsidR="00601EAE">
              <w:t xml:space="preserve">individual drugs in the MBS item descriptor. The </w:t>
            </w:r>
            <w:r w:rsidR="00725D02">
              <w:t xml:space="preserve">rationale is to facilitate </w:t>
            </w:r>
            <w:r w:rsidR="00F061B2">
              <w:t xml:space="preserve">testing and therefore </w:t>
            </w:r>
            <w:r w:rsidR="00335629">
              <w:t xml:space="preserve">patient </w:t>
            </w:r>
            <w:r w:rsidR="00725D02">
              <w:t xml:space="preserve">access </w:t>
            </w:r>
            <w:r w:rsidR="00B46058">
              <w:t>for</w:t>
            </w:r>
            <w:r w:rsidR="00C26C30">
              <w:t xml:space="preserve"> a relevant drug </w:t>
            </w:r>
            <w:r w:rsidR="00640435">
              <w:t>demonstrated</w:t>
            </w:r>
            <w:r w:rsidR="00C42463">
              <w:t xml:space="preserve"> in the future</w:t>
            </w:r>
            <w:r w:rsidR="00C26C30">
              <w:t xml:space="preserve"> </w:t>
            </w:r>
            <w:r>
              <w:t>to</w:t>
            </w:r>
            <w:r w:rsidR="008B5928">
              <w:t xml:space="preserve"> be</w:t>
            </w:r>
            <w:r>
              <w:t xml:space="preserve"> benefi</w:t>
            </w:r>
            <w:r w:rsidR="006E404E">
              <w:t>cial</w:t>
            </w:r>
            <w:r>
              <w:t xml:space="preserve"> </w:t>
            </w:r>
            <w:r w:rsidR="00FA2353">
              <w:t xml:space="preserve">to </w:t>
            </w:r>
            <w:r>
              <w:t xml:space="preserve">people with </w:t>
            </w:r>
            <w:r w:rsidR="008E19E0">
              <w:t>the condition</w:t>
            </w:r>
            <w:r w:rsidR="003E2862">
              <w:t>,</w:t>
            </w:r>
            <w:r w:rsidR="00981D23">
              <w:t xml:space="preserve"> </w:t>
            </w:r>
            <w:r>
              <w:t xml:space="preserve">without </w:t>
            </w:r>
            <w:r w:rsidR="001A1744">
              <w:t xml:space="preserve">having </w:t>
            </w:r>
            <w:r>
              <w:t xml:space="preserve">MSAC to review every application. MSAC would </w:t>
            </w:r>
            <w:r w:rsidR="00FF10A0">
              <w:t xml:space="preserve">continue to </w:t>
            </w:r>
            <w:r>
              <w:t>review application</w:t>
            </w:r>
            <w:r w:rsidR="00BA69BC">
              <w:t>s</w:t>
            </w:r>
            <w:r>
              <w:t xml:space="preserve"> </w:t>
            </w:r>
            <w:r w:rsidR="00BA69BC">
              <w:t>for different tests</w:t>
            </w:r>
            <w:r>
              <w:t xml:space="preserve">. </w:t>
            </w:r>
          </w:p>
          <w:p w14:paraId="2772C025" w14:textId="19D73B08" w:rsidR="003605D2" w:rsidRDefault="003605D2" w:rsidP="003605D2">
            <w:r>
              <w:t>MSAC noted the Pharmaceutical Benefits Advisory Committee did not support the proposed PBS listing for talazoparib at its March 2024 meeting</w:t>
            </w:r>
            <w:r w:rsidR="00AC52FA">
              <w:t xml:space="preserve"> </w:t>
            </w:r>
            <w:r w:rsidR="00AC52FA" w:rsidRPr="00AC52FA">
              <w:t>but is scheduled to reconsider the submission in July 2024</w:t>
            </w:r>
            <w:r w:rsidR="00AC52FA">
              <w:t>.</w:t>
            </w:r>
          </w:p>
          <w:p w14:paraId="78BF66E3" w14:textId="31FFE2DD" w:rsidR="004F49B1" w:rsidRDefault="004F49B1" w:rsidP="006D20A1">
            <w:pPr>
              <w:pStyle w:val="Heading3"/>
              <w:spacing w:before="240"/>
            </w:pPr>
            <w:r>
              <w:t xml:space="preserve">MSAC’s advice to the </w:t>
            </w:r>
            <w:proofErr w:type="gramStart"/>
            <w:r>
              <w:t>Commonwealth Minister</w:t>
            </w:r>
            <w:proofErr w:type="gramEnd"/>
            <w:r>
              <w:t xml:space="preserve"> for Health and Aged Care</w:t>
            </w:r>
          </w:p>
          <w:p w14:paraId="49A3F3C8" w14:textId="50128936" w:rsidR="004F49B1" w:rsidRPr="00AF46D8" w:rsidRDefault="004F49B1" w:rsidP="004F49B1">
            <w:pPr>
              <w:spacing w:after="120"/>
            </w:pPr>
            <w:r>
              <w:t xml:space="preserve">MSAC considered the genetic test to be safe, </w:t>
            </w:r>
            <w:proofErr w:type="gramStart"/>
            <w:r>
              <w:t>effective</w:t>
            </w:r>
            <w:proofErr w:type="gramEnd"/>
            <w:r>
              <w:t xml:space="preserve"> and cost-effective, and supported </w:t>
            </w:r>
            <w:r w:rsidR="00547D20">
              <w:t xml:space="preserve">the amendment of </w:t>
            </w:r>
            <w:r w:rsidR="003037DC">
              <w:t xml:space="preserve">the MBS items </w:t>
            </w:r>
            <w:r w:rsidR="00363D2E">
              <w:t xml:space="preserve">to facilitate testing </w:t>
            </w:r>
            <w:r>
              <w:t xml:space="preserve">so that people with metastatic castration-resistant prostate cancer </w:t>
            </w:r>
            <w:r w:rsidR="00DB2286">
              <w:t xml:space="preserve">and </w:t>
            </w:r>
            <w:r w:rsidR="00DB2286">
              <w:rPr>
                <w:i/>
                <w:iCs/>
              </w:rPr>
              <w:t>BRCA1/2</w:t>
            </w:r>
            <w:r w:rsidR="00DB2286">
              <w:t xml:space="preserve"> </w:t>
            </w:r>
            <w:r w:rsidR="00396C47">
              <w:t xml:space="preserve">mutation positive </w:t>
            </w:r>
            <w:r w:rsidR="00DB2286">
              <w:t xml:space="preserve">tumours </w:t>
            </w:r>
            <w:r>
              <w:t>can access</w:t>
            </w:r>
            <w:r w:rsidR="003037DC">
              <w:t xml:space="preserve"> </w:t>
            </w:r>
            <w:r w:rsidR="00DB2286">
              <w:t>a r</w:t>
            </w:r>
            <w:r w:rsidR="00297010">
              <w:t>elevant</w:t>
            </w:r>
            <w:r>
              <w:t xml:space="preserve"> </w:t>
            </w:r>
            <w:r w:rsidR="00DB2286">
              <w:t>treatment on the PBS</w:t>
            </w:r>
            <w:r>
              <w:t>.</w:t>
            </w:r>
          </w:p>
        </w:tc>
      </w:tr>
    </w:tbl>
    <w:p w14:paraId="4A9A0E7F" w14:textId="77777777" w:rsidR="00932DE9" w:rsidRDefault="00932DE9" w:rsidP="00932DE9">
      <w:pPr>
        <w:pStyle w:val="Heading2"/>
        <w:numPr>
          <w:ilvl w:val="1"/>
          <w:numId w:val="0"/>
        </w:numPr>
      </w:pPr>
      <w:r>
        <w:lastRenderedPageBreak/>
        <w:t>3.</w:t>
      </w:r>
      <w:r>
        <w:tab/>
        <w:t>Summary of consideration and rationale for MSAC’s advice</w:t>
      </w:r>
    </w:p>
    <w:p w14:paraId="379B544A" w14:textId="46F6A73B" w:rsidR="00067858" w:rsidRDefault="00067858" w:rsidP="00067858">
      <w:bookmarkStart w:id="5" w:name="_Hlk163554879"/>
      <w:r>
        <w:t xml:space="preserve">MSAC noted that this minor submission </w:t>
      </w:r>
      <w:r w:rsidR="00772DD1">
        <w:t xml:space="preserve">requested an amendment of </w:t>
      </w:r>
      <w:r>
        <w:t xml:space="preserve">existing MBS items 73303 and 73304 </w:t>
      </w:r>
      <w:r w:rsidR="008B028E" w:rsidRPr="008B028E">
        <w:t xml:space="preserve">for </w:t>
      </w:r>
      <w:r w:rsidR="008B028E" w:rsidRPr="008B028E">
        <w:rPr>
          <w:i/>
          <w:iCs/>
        </w:rPr>
        <w:t>BRCA1</w:t>
      </w:r>
      <w:r w:rsidR="00586609">
        <w:rPr>
          <w:i/>
          <w:iCs/>
        </w:rPr>
        <w:t>/2</w:t>
      </w:r>
      <w:r w:rsidR="008B028E" w:rsidRPr="008B028E">
        <w:t xml:space="preserve"> testing to determine eligibility for access to olaparib under the PBS to include talazoparib in patients with </w:t>
      </w:r>
      <w:proofErr w:type="spellStart"/>
      <w:r w:rsidR="008B028E" w:rsidRPr="008B028E">
        <w:t>mCRPC</w:t>
      </w:r>
      <w:proofErr w:type="spellEnd"/>
      <w:r>
        <w:t>. This streamlined co-dependent submission also request</w:t>
      </w:r>
      <w:r w:rsidR="009A047A">
        <w:t>ed</w:t>
      </w:r>
      <w:r>
        <w:t xml:space="preserve"> a PBS listing for talazoparib, in combination with enzalutamide, for the first-line treatment of </w:t>
      </w:r>
      <w:r w:rsidR="00714268">
        <w:t xml:space="preserve">adult patients with </w:t>
      </w:r>
      <w:proofErr w:type="spellStart"/>
      <w:r>
        <w:t>mCRPC</w:t>
      </w:r>
      <w:proofErr w:type="spellEnd"/>
      <w:r>
        <w:t xml:space="preserve"> </w:t>
      </w:r>
      <w:r w:rsidR="00963549">
        <w:t xml:space="preserve">who have evidence of </w:t>
      </w:r>
      <w:r>
        <w:rPr>
          <w:i/>
          <w:iCs/>
        </w:rPr>
        <w:t>BRCA1</w:t>
      </w:r>
      <w:r w:rsidR="00963549">
        <w:rPr>
          <w:i/>
          <w:iCs/>
        </w:rPr>
        <w:t>/</w:t>
      </w:r>
      <w:r>
        <w:rPr>
          <w:i/>
          <w:iCs/>
        </w:rPr>
        <w:t>2</w:t>
      </w:r>
      <w:r>
        <w:t xml:space="preserve"> gene mutation</w:t>
      </w:r>
      <w:r w:rsidR="00963549">
        <w:t>s</w:t>
      </w:r>
      <w:r>
        <w:t xml:space="preserve"> </w:t>
      </w:r>
      <w:r w:rsidR="00963549">
        <w:t xml:space="preserve">and </w:t>
      </w:r>
      <w:r>
        <w:t xml:space="preserve">who have not received prior treatment with </w:t>
      </w:r>
      <w:r w:rsidR="003B1764">
        <w:t xml:space="preserve">a </w:t>
      </w:r>
      <w:r w:rsidR="003B1764" w:rsidRPr="3C7D15C8">
        <w:rPr>
          <w:rFonts w:eastAsia="Franklin Gothic Book" w:cs="Franklin Gothic Book"/>
        </w:rPr>
        <w:t>novel hormonal agent (</w:t>
      </w:r>
      <w:r w:rsidR="003B1764">
        <w:t>NHA).</w:t>
      </w:r>
    </w:p>
    <w:p w14:paraId="7B3AAF68" w14:textId="7983325C" w:rsidR="00797696" w:rsidRPr="00D6460E" w:rsidRDefault="00797696" w:rsidP="00797696">
      <w:r w:rsidRPr="00D6460E">
        <w:t xml:space="preserve">MSAC recalled it had previously considered the </w:t>
      </w:r>
      <w:r w:rsidRPr="00D6460E">
        <w:rPr>
          <w:i/>
          <w:iCs/>
        </w:rPr>
        <w:t>BRCA</w:t>
      </w:r>
      <w:r w:rsidRPr="00D6460E">
        <w:t xml:space="preserve"> </w:t>
      </w:r>
      <w:r>
        <w:t xml:space="preserve">gene </w:t>
      </w:r>
      <w:r w:rsidRPr="00D6460E">
        <w:t xml:space="preserve">test to be safe, effective, and cost-effective and supported its MBS listing to determine eligibility for olaparib treatment on the PBS, with the subsequent creation of </w:t>
      </w:r>
      <w:r w:rsidR="0005504B">
        <w:t>two</w:t>
      </w:r>
      <w:r w:rsidRPr="00D6460E">
        <w:t xml:space="preserve"> new MBS items (73303, 73304) (</w:t>
      </w:r>
      <w:r>
        <w:t xml:space="preserve">p3, PSD for </w:t>
      </w:r>
      <w:r w:rsidRPr="00D6460E">
        <w:t xml:space="preserve">MSAC application 1618, November 2021 </w:t>
      </w:r>
      <w:r>
        <w:t xml:space="preserve">MSAC </w:t>
      </w:r>
      <w:r w:rsidRPr="00D6460E">
        <w:t xml:space="preserve">meeting). </w:t>
      </w:r>
    </w:p>
    <w:p w14:paraId="15683114" w14:textId="63EA3FEE" w:rsidR="00797696" w:rsidRPr="00D6460E" w:rsidRDefault="00797696" w:rsidP="00797696">
      <w:r w:rsidRPr="00D6460E">
        <w:t xml:space="preserve">MSAC noted the applicant’s claim that the inclusion of talazoparib within the current wording of the MBS items would not alter the cost or utilisation of these two services. </w:t>
      </w:r>
      <w:r w:rsidR="00F83AFB" w:rsidRPr="001B78AC">
        <w:t>One submission to the public consultation suggested that the proposed amendment would result in increased testing and genetic service referrals because of increased awareness by oncologists of treatment options. MSAC</w:t>
      </w:r>
      <w:r w:rsidR="00F83AFB">
        <w:t>,</w:t>
      </w:r>
      <w:r w:rsidR="00F83AFB" w:rsidRPr="001B78AC">
        <w:t xml:space="preserve"> however</w:t>
      </w:r>
      <w:r w:rsidR="00F83AFB">
        <w:t>,</w:t>
      </w:r>
      <w:r w:rsidR="00F83AFB" w:rsidRPr="001B78AC">
        <w:t xml:space="preserve"> noted that the statement was not supported by any evidence provided</w:t>
      </w:r>
      <w:r w:rsidR="003775BC">
        <w:t>.</w:t>
      </w:r>
      <w:r w:rsidR="008F62F1">
        <w:t xml:space="preserve"> </w:t>
      </w:r>
      <w:r w:rsidR="001B78AC">
        <w:t xml:space="preserve">While talazoparib and olaparib are both PARP inhibitors, </w:t>
      </w:r>
      <w:r w:rsidRPr="00D6460E">
        <w:t xml:space="preserve">MSAC noted </w:t>
      </w:r>
      <w:r>
        <w:t xml:space="preserve">a difference in </w:t>
      </w:r>
      <w:r w:rsidRPr="00DC6795">
        <w:t>the proposed</w:t>
      </w:r>
      <w:r>
        <w:t xml:space="preserve"> use of </w:t>
      </w:r>
      <w:r w:rsidRPr="00DC6795">
        <w:t xml:space="preserve">talazoparib </w:t>
      </w:r>
      <w:r>
        <w:t xml:space="preserve">on the PBS and the current PBS-listed </w:t>
      </w:r>
      <w:r w:rsidR="004C6B79">
        <w:t xml:space="preserve">indication for </w:t>
      </w:r>
      <w:r w:rsidR="00F22318">
        <w:t xml:space="preserve">olaparib in </w:t>
      </w:r>
      <w:proofErr w:type="spellStart"/>
      <w:r w:rsidR="00F22318">
        <w:t>mCRPC</w:t>
      </w:r>
      <w:proofErr w:type="spellEnd"/>
      <w:r>
        <w:t>. To be eligible for talazoparib, patients must not have received prior treatment with a novel hormonal agent (</w:t>
      </w:r>
      <w:r w:rsidRPr="00DC6795">
        <w:t>NHA</w:t>
      </w:r>
      <w:r>
        <w:t xml:space="preserve">) whereas access </w:t>
      </w:r>
      <w:r w:rsidR="005C3340">
        <w:t xml:space="preserve">to </w:t>
      </w:r>
      <w:r>
        <w:t>PBS-</w:t>
      </w:r>
      <w:r w:rsidR="00092673">
        <w:t>subsidised</w:t>
      </w:r>
      <w:r>
        <w:t xml:space="preserve"> </w:t>
      </w:r>
      <w:r w:rsidR="00F22318">
        <w:t>o</w:t>
      </w:r>
      <w:r w:rsidR="00092673">
        <w:t xml:space="preserve">laparib requires </w:t>
      </w:r>
      <w:r>
        <w:t xml:space="preserve">patients </w:t>
      </w:r>
      <w:r w:rsidR="00092673">
        <w:t xml:space="preserve">to </w:t>
      </w:r>
      <w:r>
        <w:t xml:space="preserve">have progressed following prior treatment that included an NHA for </w:t>
      </w:r>
      <w:proofErr w:type="spellStart"/>
      <w:r>
        <w:t>mCRPC.</w:t>
      </w:r>
      <w:r w:rsidR="00B6167A">
        <w:t>D</w:t>
      </w:r>
      <w:r w:rsidR="00AB4F01" w:rsidRPr="00AB4F01">
        <w:t>uring</w:t>
      </w:r>
      <w:proofErr w:type="spellEnd"/>
      <w:r w:rsidR="00AB4F01" w:rsidRPr="00AB4F01">
        <w:t xml:space="preserve"> the 2023 calendar year, 1,240 services were </w:t>
      </w:r>
      <w:r w:rsidR="00B13A48">
        <w:t xml:space="preserve">requested </w:t>
      </w:r>
      <w:r w:rsidR="00AB4F01" w:rsidRPr="00AB4F01">
        <w:t>under MBS item 73303 and 442 services under MBS item 73304</w:t>
      </w:r>
      <w:r w:rsidR="00B6167A">
        <w:t>. MSAC noted</w:t>
      </w:r>
      <w:r w:rsidR="00D616C4">
        <w:t xml:space="preserve"> that t</w:t>
      </w:r>
      <w:r w:rsidR="00AB4F01" w:rsidRPr="00AB4F01">
        <w:t>he</w:t>
      </w:r>
      <w:r w:rsidR="00B35234">
        <w:t xml:space="preserve"> services claimed </w:t>
      </w:r>
      <w:r w:rsidR="00AB4F01" w:rsidRPr="00AB4F01">
        <w:t xml:space="preserve">were </w:t>
      </w:r>
      <w:r w:rsidR="00B35234">
        <w:t>fewer</w:t>
      </w:r>
      <w:r w:rsidR="00AB4F01" w:rsidRPr="00AB4F01">
        <w:t xml:space="preserve"> than </w:t>
      </w:r>
      <w:r w:rsidR="00D616C4">
        <w:t xml:space="preserve">the estimates </w:t>
      </w:r>
      <w:r w:rsidR="006E12E7">
        <w:t xml:space="preserve">reported in </w:t>
      </w:r>
      <w:hyperlink r:id="rId9">
        <w:r w:rsidR="00AB4F01" w:rsidRPr="21A37155">
          <w:rPr>
            <w:rStyle w:val="Hyperlink"/>
          </w:rPr>
          <w:t>MSAC 1618 PSD</w:t>
        </w:r>
      </w:hyperlink>
      <w:r w:rsidR="00303C9E">
        <w:t xml:space="preserve"> for olaparib.</w:t>
      </w:r>
      <w:r w:rsidR="00AB4F01" w:rsidRPr="00AB4F01">
        <w:t xml:space="preserve"> </w:t>
      </w:r>
      <w:r w:rsidR="00F561FC">
        <w:t xml:space="preserve">The current minor submission estimated </w:t>
      </w:r>
      <w:r w:rsidR="00570FB6">
        <w:t xml:space="preserve">that </w:t>
      </w:r>
      <w:r w:rsidR="00570FB6" w:rsidRPr="000444E2">
        <w:t xml:space="preserve">approximately 2,278 newly diagnosed patients with </w:t>
      </w:r>
      <w:proofErr w:type="spellStart"/>
      <w:r w:rsidR="00570FB6" w:rsidRPr="000444E2">
        <w:t>mCRPC</w:t>
      </w:r>
      <w:proofErr w:type="spellEnd"/>
      <w:r w:rsidR="00570FB6" w:rsidRPr="000444E2">
        <w:t xml:space="preserve"> could be eligible for the test in 2024</w:t>
      </w:r>
      <w:r w:rsidR="00570FB6">
        <w:t xml:space="preserve"> </w:t>
      </w:r>
      <w:r w:rsidR="004F2F63">
        <w:t xml:space="preserve">but considered it unlikely </w:t>
      </w:r>
      <w:r w:rsidR="00570FB6" w:rsidRPr="000444E2">
        <w:t xml:space="preserve">that all eligible patients would take up </w:t>
      </w:r>
      <w:r w:rsidR="00570FB6">
        <w:t xml:space="preserve">the </w:t>
      </w:r>
      <w:r w:rsidR="00570FB6" w:rsidRPr="000444E2">
        <w:t>testin</w:t>
      </w:r>
      <w:r w:rsidR="00570FB6">
        <w:t xml:space="preserve">g. </w:t>
      </w:r>
      <w:r w:rsidR="00186D95">
        <w:t xml:space="preserve">Overall, </w:t>
      </w:r>
      <w:r w:rsidR="004F2F63">
        <w:t>MSAC c</w:t>
      </w:r>
      <w:r w:rsidRPr="00D6460E">
        <w:t xml:space="preserve">onsidered it unlikely that the number of patients eligible for </w:t>
      </w:r>
      <w:r w:rsidR="00275203">
        <w:t xml:space="preserve">the proposed </w:t>
      </w:r>
      <w:r w:rsidRPr="00D6460E">
        <w:t xml:space="preserve">testing would exceed the </w:t>
      </w:r>
      <w:r w:rsidR="00F97613">
        <w:t xml:space="preserve">original utilisation </w:t>
      </w:r>
      <w:r w:rsidRPr="00D6460E">
        <w:t xml:space="preserve">estimates </w:t>
      </w:r>
      <w:r w:rsidR="006C3788">
        <w:t>for items 73303 and 73304</w:t>
      </w:r>
      <w:r w:rsidRPr="00D6460E">
        <w:t xml:space="preserve">. </w:t>
      </w:r>
    </w:p>
    <w:p w14:paraId="1DFFA905" w14:textId="140C6328" w:rsidR="00726F8C" w:rsidRDefault="00726F8C" w:rsidP="00726F8C">
      <w:r w:rsidRPr="00D6460E">
        <w:t xml:space="preserve">MSAC noted that PBAC did not recommend the proposed listing for talazoparib in its March 2024 meeting but </w:t>
      </w:r>
      <w:r w:rsidR="0010002B">
        <w:t xml:space="preserve">was scheduled to </w:t>
      </w:r>
      <w:r>
        <w:t>reconsider the subm</w:t>
      </w:r>
      <w:r w:rsidRPr="00D6460E">
        <w:t xml:space="preserve">ission </w:t>
      </w:r>
      <w:r>
        <w:t xml:space="preserve">in </w:t>
      </w:r>
      <w:r w:rsidR="0010002B">
        <w:t xml:space="preserve">July </w:t>
      </w:r>
      <w:r>
        <w:t>2024</w:t>
      </w:r>
      <w:r w:rsidRPr="00D6460E">
        <w:t xml:space="preserve">. </w:t>
      </w:r>
      <w:r w:rsidR="00DD3F87" w:rsidRPr="00DD3F87">
        <w:t xml:space="preserve">MSAC noted a public consultation submission </w:t>
      </w:r>
      <w:r w:rsidR="00C27461">
        <w:t xml:space="preserve">which </w:t>
      </w:r>
      <w:r w:rsidR="00DD3F87" w:rsidRPr="00DD3F87">
        <w:t xml:space="preserve">suggested amending the </w:t>
      </w:r>
      <w:r w:rsidR="00C27461">
        <w:t xml:space="preserve">MBS item </w:t>
      </w:r>
      <w:r w:rsidR="00DD3F87" w:rsidRPr="00DD3F87">
        <w:t>descriptor</w:t>
      </w:r>
      <w:r w:rsidR="00C27461">
        <w:t>s</w:t>
      </w:r>
      <w:r w:rsidR="00DD3F87" w:rsidRPr="00DD3F87">
        <w:t xml:space="preserve"> to not include </w:t>
      </w:r>
      <w:r w:rsidR="005B52CC">
        <w:t xml:space="preserve">individual </w:t>
      </w:r>
      <w:r w:rsidR="00DD3F87" w:rsidRPr="00DD3F87">
        <w:t>drug names to futureproof the item</w:t>
      </w:r>
      <w:r w:rsidR="005F6F9F">
        <w:t>.</w:t>
      </w:r>
      <w:r w:rsidR="00FB46B2" w:rsidRPr="00FB46B2">
        <w:t xml:space="preserve"> </w:t>
      </w:r>
      <w:r w:rsidR="00FB46B2" w:rsidRPr="00D6460E">
        <w:t xml:space="preserve">MSAC was also mindful that several co-dependent applications have been going through the health technology assessment process to seek public subsidy for tests to access a </w:t>
      </w:r>
      <w:r w:rsidR="00FB46B2">
        <w:t xml:space="preserve">relevant </w:t>
      </w:r>
      <w:r w:rsidR="00FB46B2" w:rsidRPr="00D6460E">
        <w:t xml:space="preserve">treatment on the PBS. In this context, MSAC </w:t>
      </w:r>
      <w:r w:rsidR="0000698E">
        <w:t>considered</w:t>
      </w:r>
      <w:r w:rsidR="008756A2">
        <w:t xml:space="preserve"> </w:t>
      </w:r>
      <w:r w:rsidR="00FB46B2" w:rsidRPr="00D6460E">
        <w:t>a few alternative revisions of wording</w:t>
      </w:r>
      <w:r w:rsidR="000611F2">
        <w:t>. I</w:t>
      </w:r>
      <w:r w:rsidR="00DD3F87" w:rsidRPr="00DD3F87">
        <w:t xml:space="preserve">n the context of the whole </w:t>
      </w:r>
      <w:r w:rsidR="00F033F5">
        <w:t xml:space="preserve">MBS </w:t>
      </w:r>
      <w:r w:rsidR="00E969A4">
        <w:t xml:space="preserve">item </w:t>
      </w:r>
      <w:r w:rsidR="00DD3F87" w:rsidRPr="00DD3F87">
        <w:t xml:space="preserve">descriptor </w:t>
      </w:r>
      <w:r w:rsidR="00F033F5">
        <w:t>and the relevant PBS item descriptor</w:t>
      </w:r>
      <w:r w:rsidR="000C27F1">
        <w:t xml:space="preserve">, MSAC was confident that inappropriate use </w:t>
      </w:r>
      <w:r w:rsidR="00277DC5">
        <w:t xml:space="preserve">would </w:t>
      </w:r>
      <w:r w:rsidR="000C27F1">
        <w:t xml:space="preserve">be </w:t>
      </w:r>
      <w:r w:rsidR="00277DC5">
        <w:t>limited</w:t>
      </w:r>
      <w:r w:rsidR="00CF6ACF">
        <w:t>.</w:t>
      </w:r>
      <w:r w:rsidR="00F033F5">
        <w:t xml:space="preserve"> </w:t>
      </w:r>
      <w:r w:rsidR="00855D56">
        <w:t xml:space="preserve">MSAC </w:t>
      </w:r>
      <w:r w:rsidRPr="00D6460E">
        <w:t>decided to support the amendment of the MBS items to “eligibility for a relevant treatment on the PBS,” after consultation with departmental medical and policy advisors</w:t>
      </w:r>
      <w:r>
        <w:t>.</w:t>
      </w:r>
      <w:r w:rsidR="000422C3">
        <w:t xml:space="preserve"> </w:t>
      </w:r>
      <w:r w:rsidR="000422C3" w:rsidRPr="000422C3">
        <w:t xml:space="preserve">The rationale </w:t>
      </w:r>
      <w:r w:rsidR="003B426B">
        <w:t>wa</w:t>
      </w:r>
      <w:r w:rsidR="000422C3" w:rsidRPr="000422C3">
        <w:t xml:space="preserve">s to facilitate testing and therefore patient access for a relevant drug demonstrated in the future to be beneficial to people with </w:t>
      </w:r>
      <w:proofErr w:type="spellStart"/>
      <w:r w:rsidR="00FD5B56">
        <w:t>mCRPC</w:t>
      </w:r>
      <w:proofErr w:type="spellEnd"/>
      <w:r w:rsidR="00FD5B56">
        <w:t xml:space="preserve"> and </w:t>
      </w:r>
      <w:r w:rsidR="00FD5B56" w:rsidRPr="00FD5B56">
        <w:rPr>
          <w:i/>
          <w:iCs/>
        </w:rPr>
        <w:t>BRCA1/2</w:t>
      </w:r>
      <w:r w:rsidR="00FD5B56">
        <w:t xml:space="preserve"> mutation tumours, </w:t>
      </w:r>
      <w:r w:rsidR="000422C3" w:rsidRPr="000422C3">
        <w:t xml:space="preserve">without </w:t>
      </w:r>
      <w:r w:rsidR="00C9316F">
        <w:t xml:space="preserve">going through the MSAC evaluation process. </w:t>
      </w:r>
      <w:r w:rsidR="00C67989">
        <w:t xml:space="preserve">A full health technology assessment would still be required </w:t>
      </w:r>
      <w:r w:rsidR="00337620">
        <w:t xml:space="preserve">when public subsidy is sought for </w:t>
      </w:r>
      <w:r w:rsidR="00B05FDB">
        <w:t xml:space="preserve">a </w:t>
      </w:r>
      <w:r w:rsidR="000422C3" w:rsidRPr="000422C3">
        <w:t>different test.</w:t>
      </w:r>
    </w:p>
    <w:bookmarkEnd w:id="5"/>
    <w:p w14:paraId="6710B69D" w14:textId="56A01667" w:rsidR="00772829" w:rsidRDefault="00932DE9" w:rsidP="002A18BE">
      <w:pPr>
        <w:pStyle w:val="Heading2"/>
        <w:numPr>
          <w:ilvl w:val="0"/>
          <w:numId w:val="0"/>
        </w:numPr>
      </w:pPr>
      <w:r>
        <w:t>4.</w:t>
      </w:r>
      <w:r>
        <w:tab/>
      </w:r>
      <w:r w:rsidR="00772829" w:rsidRPr="00CE28E3">
        <w:t>Background</w:t>
      </w:r>
      <w:bookmarkEnd w:id="1"/>
    </w:p>
    <w:p w14:paraId="7266710E" w14:textId="71EAC632" w:rsidR="00430168" w:rsidRDefault="002423E4" w:rsidP="00483BF9">
      <w:pPr>
        <w:rPr>
          <w:rStyle w:val="normaltextrun"/>
          <w:rFonts w:cs="Segoe UI"/>
          <w:color w:val="000000"/>
          <w:shd w:val="clear" w:color="auto" w:fill="FFFFFF"/>
        </w:rPr>
      </w:pPr>
      <w:r w:rsidRPr="00BE5AB6">
        <w:rPr>
          <w:rFonts w:cs="Segoe UI"/>
          <w:color w:val="000000"/>
          <w:shd w:val="clear" w:color="auto" w:fill="FFFFFF"/>
        </w:rPr>
        <w:t xml:space="preserve">MSAC had previously </w:t>
      </w:r>
      <w:r>
        <w:rPr>
          <w:rFonts w:cs="Segoe UI"/>
          <w:color w:val="000000"/>
          <w:shd w:val="clear" w:color="auto" w:fill="FFFFFF"/>
        </w:rPr>
        <w:t>considered</w:t>
      </w:r>
      <w:r w:rsidRPr="00BE5AB6">
        <w:rPr>
          <w:rFonts w:cs="Segoe UI"/>
          <w:color w:val="000000"/>
          <w:shd w:val="clear" w:color="auto" w:fill="FFFFFF"/>
        </w:rPr>
        <w:t xml:space="preserve"> a similar codependent application for the detection of </w:t>
      </w:r>
      <w:r w:rsidRPr="00BE5AB6">
        <w:rPr>
          <w:rFonts w:cs="Segoe UI"/>
          <w:i/>
          <w:color w:val="000000"/>
          <w:shd w:val="clear" w:color="auto" w:fill="FFFFFF"/>
        </w:rPr>
        <w:t>BRCA1/2</w:t>
      </w:r>
      <w:r w:rsidRPr="00BE5AB6">
        <w:rPr>
          <w:rFonts w:cs="Segoe UI"/>
          <w:color w:val="000000"/>
          <w:shd w:val="clear" w:color="auto" w:fill="FFFFFF"/>
        </w:rPr>
        <w:t xml:space="preserve"> variants to determine eligibility for treatment with olaparib in its March-April and November 2021 meetings. MSAC determined that the test was safe, effective, and cost-effective and supported </w:t>
      </w:r>
      <w:r w:rsidRPr="00BE5AB6">
        <w:rPr>
          <w:rFonts w:cs="Segoe UI"/>
          <w:color w:val="000000"/>
          <w:shd w:val="clear" w:color="auto" w:fill="FFFFFF"/>
        </w:rPr>
        <w:lastRenderedPageBreak/>
        <w:t>the requested MBS listing (p6, PSD for Application 1618, November 2021 MSAC meeting).</w:t>
      </w:r>
      <w:r w:rsidR="00483BF9">
        <w:rPr>
          <w:rFonts w:cs="Segoe UI"/>
          <w:color w:val="000000"/>
          <w:shd w:val="clear" w:color="auto" w:fill="FFFFFF"/>
        </w:rPr>
        <w:t xml:space="preserve"> </w:t>
      </w:r>
      <w:r w:rsidR="00CA5362" w:rsidRPr="00CA5362">
        <w:rPr>
          <w:rFonts w:cs="Segoe UI"/>
          <w:color w:val="000000"/>
          <w:shd w:val="clear" w:color="auto" w:fill="FFFFFF"/>
        </w:rPr>
        <w:t xml:space="preserve">Subsequently 2 new MBS items (73303, 73304) for tumour (somatic) and germline testing were created (available from 1 April 2022). </w:t>
      </w:r>
      <w:r w:rsidR="00483BF9">
        <w:rPr>
          <w:rFonts w:cs="Segoe UI"/>
          <w:color w:val="000000"/>
          <w:shd w:val="clear" w:color="auto" w:fill="FFFFFF"/>
        </w:rPr>
        <w:t>P</w:t>
      </w:r>
      <w:r w:rsidR="00430168" w:rsidRPr="00A54D32">
        <w:rPr>
          <w:rStyle w:val="normaltextrun"/>
          <w:rFonts w:cs="Segoe UI"/>
          <w:color w:val="000000"/>
          <w:shd w:val="clear" w:color="auto" w:fill="FFFFFF"/>
        </w:rPr>
        <w:t xml:space="preserve">atients with </w:t>
      </w:r>
      <w:proofErr w:type="spellStart"/>
      <w:r w:rsidR="00430168" w:rsidRPr="00A54D32">
        <w:rPr>
          <w:rStyle w:val="normaltextrun"/>
          <w:rFonts w:cs="Segoe UI"/>
          <w:color w:val="000000"/>
          <w:shd w:val="clear" w:color="auto" w:fill="FFFFFF"/>
        </w:rPr>
        <w:t>mCRPC</w:t>
      </w:r>
      <w:proofErr w:type="spellEnd"/>
      <w:r w:rsidR="00430168" w:rsidRPr="00A54D32">
        <w:rPr>
          <w:rStyle w:val="normaltextrun"/>
          <w:rFonts w:cs="Segoe UI"/>
          <w:color w:val="000000"/>
          <w:shd w:val="clear" w:color="auto" w:fill="FFFFFF"/>
        </w:rPr>
        <w:t xml:space="preserve"> have access to MBS</w:t>
      </w:r>
      <w:r w:rsidR="00483BF9">
        <w:rPr>
          <w:rStyle w:val="normaltextrun"/>
          <w:rFonts w:cs="Segoe UI"/>
          <w:color w:val="000000"/>
          <w:shd w:val="clear" w:color="auto" w:fill="FFFFFF"/>
        </w:rPr>
        <w:t>-</w:t>
      </w:r>
      <w:r w:rsidR="00430168" w:rsidRPr="00A54D32">
        <w:rPr>
          <w:rStyle w:val="normaltextrun"/>
          <w:rFonts w:cs="Segoe UI"/>
          <w:color w:val="000000"/>
          <w:shd w:val="clear" w:color="auto" w:fill="FFFFFF"/>
        </w:rPr>
        <w:t xml:space="preserve">funded genetic testing to detect both somatic and/or germline </w:t>
      </w:r>
      <w:r w:rsidR="00430168" w:rsidRPr="00483BF9">
        <w:rPr>
          <w:rStyle w:val="normaltextrun"/>
          <w:rFonts w:cs="Segoe UI"/>
          <w:i/>
          <w:iCs/>
          <w:color w:val="000000"/>
          <w:shd w:val="clear" w:color="auto" w:fill="FFFFFF"/>
        </w:rPr>
        <w:t>BRCA1</w:t>
      </w:r>
      <w:r w:rsidR="00483BF9" w:rsidRPr="00483BF9">
        <w:rPr>
          <w:rStyle w:val="normaltextrun"/>
          <w:rFonts w:cs="Segoe UI"/>
          <w:i/>
          <w:iCs/>
          <w:color w:val="000000"/>
          <w:shd w:val="clear" w:color="auto" w:fill="FFFFFF"/>
        </w:rPr>
        <w:t>/2</w:t>
      </w:r>
      <w:r w:rsidR="00430168" w:rsidRPr="00A54D32">
        <w:rPr>
          <w:rStyle w:val="normaltextrun"/>
          <w:rFonts w:cs="Segoe UI"/>
          <w:color w:val="000000"/>
          <w:shd w:val="clear" w:color="auto" w:fill="FFFFFF"/>
        </w:rPr>
        <w:t xml:space="preserve"> gene variants, to determine eligibility for the PBS</w:t>
      </w:r>
      <w:r w:rsidR="00483BF9">
        <w:rPr>
          <w:rStyle w:val="normaltextrun"/>
          <w:rFonts w:cs="Segoe UI"/>
          <w:color w:val="000000"/>
          <w:shd w:val="clear" w:color="auto" w:fill="FFFFFF"/>
        </w:rPr>
        <w:t>-</w:t>
      </w:r>
      <w:r w:rsidR="00430168" w:rsidRPr="00A54D32">
        <w:rPr>
          <w:rStyle w:val="normaltextrun"/>
          <w:rFonts w:cs="Segoe UI"/>
          <w:color w:val="000000"/>
          <w:shd w:val="clear" w:color="auto" w:fill="FFFFFF"/>
        </w:rPr>
        <w:t>listed olaparib therapy.</w:t>
      </w:r>
    </w:p>
    <w:p w14:paraId="3EC5ADB8" w14:textId="112155D1" w:rsidR="00116B0A" w:rsidRDefault="00026D37" w:rsidP="004211F7">
      <w:pPr>
        <w:rPr>
          <w:rStyle w:val="normaltextrun"/>
          <w:rFonts w:cs="Segoe UI"/>
          <w:color w:val="000000"/>
          <w:shd w:val="clear" w:color="auto" w:fill="FFFFFF"/>
        </w:rPr>
      </w:pPr>
      <w:r>
        <w:rPr>
          <w:rStyle w:val="normaltextrun"/>
          <w:rFonts w:cs="Segoe UI"/>
          <w:color w:val="000000"/>
          <w:shd w:val="clear" w:color="auto" w:fill="FFFFFF"/>
        </w:rPr>
        <w:t xml:space="preserve">Talazoparib is an inhibitor of 2 </w:t>
      </w:r>
      <w:r w:rsidR="000027EC" w:rsidRPr="000027EC">
        <w:rPr>
          <w:rStyle w:val="normaltextrun"/>
          <w:rFonts w:cs="Segoe UI"/>
          <w:color w:val="000000"/>
          <w:shd w:val="clear" w:color="auto" w:fill="FFFFFF"/>
        </w:rPr>
        <w:t xml:space="preserve">PARP </w:t>
      </w:r>
      <w:r>
        <w:rPr>
          <w:rStyle w:val="normaltextrun"/>
          <w:rFonts w:cs="Segoe UI"/>
          <w:color w:val="000000"/>
          <w:shd w:val="clear" w:color="auto" w:fill="FFFFFF"/>
        </w:rPr>
        <w:t xml:space="preserve">enzymes, </w:t>
      </w:r>
      <w:r w:rsidR="001E06C4">
        <w:rPr>
          <w:rStyle w:val="normaltextrun"/>
          <w:rFonts w:cs="Segoe UI"/>
          <w:color w:val="000000"/>
          <w:shd w:val="clear" w:color="auto" w:fill="FFFFFF"/>
        </w:rPr>
        <w:t xml:space="preserve">PARP1 and PARP2. </w:t>
      </w:r>
      <w:r w:rsidR="000027EC" w:rsidRPr="000027EC">
        <w:rPr>
          <w:rStyle w:val="normaltextrun"/>
          <w:rFonts w:cs="Segoe UI"/>
          <w:color w:val="000000"/>
          <w:shd w:val="clear" w:color="auto" w:fill="FFFFFF"/>
        </w:rPr>
        <w:t xml:space="preserve">inhibitors, </w:t>
      </w:r>
      <w:r w:rsidR="004211F7" w:rsidRPr="004211F7">
        <w:rPr>
          <w:rStyle w:val="normaltextrun"/>
          <w:rFonts w:cs="Segoe UI"/>
          <w:color w:val="000000"/>
          <w:shd w:val="clear" w:color="auto" w:fill="FFFFFF"/>
        </w:rPr>
        <w:t xml:space="preserve">PARP enzymes are involved in cellular DNA damage response signalling pathways such as DNA repair, gene transcription, and cell death. PARP inhibitors exert cytotoxic effects on cancer cells by 2 mechanisms, inhibition of PARP catalytic activity and by PARP trapping, whereby PARP protein bound to a PARP inhibitor does not readily dissociate from a DNA lesion, thus preventing DNA repair, replication, and transcription, thereby resulting in apoptosis and/or cell death. Cancer cells with </w:t>
      </w:r>
      <w:r w:rsidR="00396C47">
        <w:rPr>
          <w:rStyle w:val="normaltextrun"/>
          <w:rFonts w:cs="Segoe UI"/>
          <w:color w:val="000000"/>
          <w:shd w:val="clear" w:color="auto" w:fill="FFFFFF"/>
        </w:rPr>
        <w:t xml:space="preserve">pathogenic </w:t>
      </w:r>
      <w:r w:rsidR="004211F7" w:rsidRPr="004211F7">
        <w:rPr>
          <w:rStyle w:val="normaltextrun"/>
          <w:rFonts w:cs="Segoe UI"/>
          <w:i/>
          <w:iCs/>
          <w:color w:val="000000"/>
          <w:shd w:val="clear" w:color="auto" w:fill="FFFFFF"/>
        </w:rPr>
        <w:t>BRCA1/2</w:t>
      </w:r>
      <w:r w:rsidR="004211F7" w:rsidRPr="004211F7">
        <w:rPr>
          <w:rStyle w:val="normaltextrun"/>
          <w:rFonts w:cs="Segoe UI"/>
          <w:color w:val="000000"/>
          <w:shd w:val="clear" w:color="auto" w:fill="FFFFFF"/>
        </w:rPr>
        <w:t xml:space="preserve"> gene mutations are unable to repair DNA errors and rely on PARP enzymes for DNA repair. Therefore, PARP inhibitors such as talazoparib effectively kill tumours defective in the </w:t>
      </w:r>
      <w:r w:rsidR="004211F7" w:rsidRPr="004211F7">
        <w:rPr>
          <w:rStyle w:val="normaltextrun"/>
          <w:rFonts w:cs="Segoe UI"/>
          <w:i/>
          <w:iCs/>
          <w:color w:val="000000"/>
          <w:shd w:val="clear" w:color="auto" w:fill="FFFFFF"/>
        </w:rPr>
        <w:t>BRCA1/2</w:t>
      </w:r>
      <w:r w:rsidR="004211F7" w:rsidRPr="004211F7">
        <w:rPr>
          <w:rStyle w:val="normaltextrun"/>
          <w:rFonts w:cs="Segoe UI"/>
          <w:color w:val="000000"/>
          <w:shd w:val="clear" w:color="auto" w:fill="FFFFFF"/>
        </w:rPr>
        <w:t xml:space="preserve"> genes through the concept of synthetic lethality</w:t>
      </w:r>
      <w:r w:rsidR="004211F7">
        <w:rPr>
          <w:rStyle w:val="normaltextrun"/>
          <w:rFonts w:cs="Segoe UI"/>
          <w:color w:val="000000"/>
          <w:shd w:val="clear" w:color="auto" w:fill="FFFFFF"/>
        </w:rPr>
        <w:t>.</w:t>
      </w:r>
      <w:r w:rsidR="003D30F7">
        <w:rPr>
          <w:rStyle w:val="normaltextrun"/>
          <w:rFonts w:cs="Segoe UI"/>
          <w:color w:val="000000"/>
          <w:shd w:val="clear" w:color="auto" w:fill="FFFFFF"/>
        </w:rPr>
        <w:t xml:space="preserve"> The applicant reported that </w:t>
      </w:r>
      <w:r w:rsidR="00327495" w:rsidRPr="00327495">
        <w:rPr>
          <w:rStyle w:val="normaltextrun"/>
          <w:rFonts w:cs="Segoe UI"/>
          <w:color w:val="000000"/>
          <w:shd w:val="clear" w:color="auto" w:fill="FFFFFF"/>
        </w:rPr>
        <w:t xml:space="preserve">the introduction of PARP inhibitors in </w:t>
      </w:r>
      <w:proofErr w:type="spellStart"/>
      <w:r w:rsidR="00327495" w:rsidRPr="00327495">
        <w:rPr>
          <w:rStyle w:val="normaltextrun"/>
          <w:rFonts w:cs="Segoe UI"/>
          <w:color w:val="000000"/>
          <w:shd w:val="clear" w:color="auto" w:fill="FFFFFF"/>
        </w:rPr>
        <w:t>mCRPC</w:t>
      </w:r>
      <w:proofErr w:type="spellEnd"/>
      <w:r w:rsidR="00327495" w:rsidRPr="00327495">
        <w:rPr>
          <w:rStyle w:val="normaltextrun"/>
          <w:rFonts w:cs="Segoe UI"/>
          <w:color w:val="000000"/>
          <w:shd w:val="clear" w:color="auto" w:fill="FFFFFF"/>
        </w:rPr>
        <w:t xml:space="preserve"> </w:t>
      </w:r>
      <w:r w:rsidR="00327495">
        <w:rPr>
          <w:rStyle w:val="normaltextrun"/>
          <w:rFonts w:cs="Segoe UI"/>
          <w:color w:val="000000"/>
          <w:shd w:val="clear" w:color="auto" w:fill="FFFFFF"/>
        </w:rPr>
        <w:t>wa</w:t>
      </w:r>
      <w:r w:rsidR="00327495" w:rsidRPr="00327495">
        <w:rPr>
          <w:rStyle w:val="normaltextrun"/>
          <w:rFonts w:cs="Segoe UI"/>
          <w:color w:val="000000"/>
          <w:shd w:val="clear" w:color="auto" w:fill="FFFFFF"/>
        </w:rPr>
        <w:t>s a breakthrough in fighting this difficult-to-treat disease</w:t>
      </w:r>
      <w:r w:rsidR="00FA1656">
        <w:rPr>
          <w:rStyle w:val="normaltextrun"/>
          <w:rFonts w:cs="Segoe UI"/>
          <w:color w:val="000000"/>
          <w:shd w:val="clear" w:color="auto" w:fill="FFFFFF"/>
        </w:rPr>
        <w:t>.</w:t>
      </w:r>
    </w:p>
    <w:p w14:paraId="6F52500A" w14:textId="05A1876F" w:rsidR="00772829" w:rsidRPr="00CE28E3" w:rsidRDefault="00932DE9" w:rsidP="002A18BE">
      <w:pPr>
        <w:pStyle w:val="Heading2"/>
        <w:numPr>
          <w:ilvl w:val="0"/>
          <w:numId w:val="0"/>
        </w:numPr>
      </w:pPr>
      <w:bookmarkStart w:id="6" w:name="_Toc69491417"/>
      <w:r>
        <w:t>5</w:t>
      </w:r>
      <w:r w:rsidR="00C36633">
        <w:t>.</w:t>
      </w:r>
      <w:r w:rsidR="00C36633">
        <w:tab/>
      </w:r>
      <w:r w:rsidR="00772829" w:rsidRPr="00CE28E3">
        <w:t>Prerequisites to implementation of any funding advice</w:t>
      </w:r>
      <w:bookmarkEnd w:id="6"/>
    </w:p>
    <w:p w14:paraId="7EFCC3C9" w14:textId="1095E649" w:rsidR="00A54D32" w:rsidRDefault="00FA1656" w:rsidP="00A54D32">
      <w:pPr>
        <w:rPr>
          <w:rStyle w:val="normaltextrun"/>
          <w:rFonts w:cs="Segoe UI"/>
          <w:color w:val="000000"/>
          <w:bdr w:val="none" w:sz="0" w:space="0" w:color="auto" w:frame="1"/>
        </w:rPr>
      </w:pPr>
      <w:r>
        <w:rPr>
          <w:rStyle w:val="normaltextrun"/>
          <w:rFonts w:cs="Segoe UI"/>
          <w:color w:val="000000"/>
          <w:bdr w:val="none" w:sz="0" w:space="0" w:color="auto" w:frame="1"/>
        </w:rPr>
        <w:t>The applicant reported that a</w:t>
      </w:r>
      <w:r w:rsidR="00A54D32" w:rsidRPr="00A54D32">
        <w:rPr>
          <w:rStyle w:val="normaltextrun"/>
          <w:rFonts w:cs="Segoe UI"/>
          <w:color w:val="000000"/>
          <w:bdr w:val="none" w:sz="0" w:space="0" w:color="auto" w:frame="1"/>
        </w:rPr>
        <w:t xml:space="preserve">ll laboratories that perform </w:t>
      </w:r>
      <w:r w:rsidR="00A54D32" w:rsidRPr="00FA1656">
        <w:rPr>
          <w:rStyle w:val="normaltextrun"/>
          <w:rFonts w:cs="Segoe UI"/>
          <w:i/>
          <w:iCs/>
          <w:color w:val="000000"/>
          <w:bdr w:val="none" w:sz="0" w:space="0" w:color="auto" w:frame="1"/>
        </w:rPr>
        <w:t>BRCA</w:t>
      </w:r>
      <w:r w:rsidR="00A54D32" w:rsidRPr="00A54D32">
        <w:rPr>
          <w:rStyle w:val="normaltextrun"/>
          <w:rFonts w:cs="Segoe UI"/>
          <w:color w:val="000000"/>
          <w:bdr w:val="none" w:sz="0" w:space="0" w:color="auto" w:frame="1"/>
        </w:rPr>
        <w:t xml:space="preserve"> testing are accredited to the Royal College of Pathologist of Australasia (RCPA) Quality Assurance Programs.</w:t>
      </w:r>
      <w:r w:rsidR="00AD6947">
        <w:rPr>
          <w:rStyle w:val="normaltextrun"/>
          <w:rFonts w:cs="Segoe UI"/>
          <w:color w:val="000000"/>
          <w:bdr w:val="none" w:sz="0" w:space="0" w:color="auto" w:frame="1"/>
        </w:rPr>
        <w:t xml:space="preserve"> MSAC </w:t>
      </w:r>
      <w:r w:rsidR="009E75F3">
        <w:rPr>
          <w:rStyle w:val="normaltextrun"/>
          <w:rFonts w:cs="Segoe UI"/>
          <w:color w:val="000000"/>
          <w:bdr w:val="none" w:sz="0" w:space="0" w:color="auto" w:frame="1"/>
        </w:rPr>
        <w:t xml:space="preserve">in its previous assessment of application 1618 </w:t>
      </w:r>
      <w:r w:rsidR="003063A8">
        <w:rPr>
          <w:rStyle w:val="normaltextrun"/>
          <w:rFonts w:cs="Segoe UI"/>
          <w:color w:val="000000"/>
          <w:bdr w:val="none" w:sz="0" w:space="0" w:color="auto" w:frame="1"/>
        </w:rPr>
        <w:t>had</w:t>
      </w:r>
      <w:r w:rsidR="00AD6947">
        <w:rPr>
          <w:rStyle w:val="normaltextrun"/>
          <w:rFonts w:cs="Segoe UI"/>
          <w:color w:val="000000"/>
          <w:bdr w:val="none" w:sz="0" w:space="0" w:color="auto" w:frame="1"/>
        </w:rPr>
        <w:t xml:space="preserve"> noted </w:t>
      </w:r>
      <w:r w:rsidR="00AD6947" w:rsidRPr="00AD6947">
        <w:rPr>
          <w:rStyle w:val="normaltextrun"/>
          <w:rFonts w:cs="Segoe UI"/>
          <w:color w:val="000000"/>
          <w:bdr w:val="none" w:sz="0" w:space="0" w:color="auto" w:frame="1"/>
        </w:rPr>
        <w:t>that</w:t>
      </w:r>
      <w:r w:rsidR="00C92F27">
        <w:rPr>
          <w:rStyle w:val="normaltextrun"/>
          <w:rFonts w:cs="Segoe UI"/>
          <w:color w:val="000000"/>
          <w:bdr w:val="none" w:sz="0" w:space="0" w:color="auto" w:frame="1"/>
        </w:rPr>
        <w:t>, in addition,</w:t>
      </w:r>
      <w:r w:rsidR="00AD6947" w:rsidRPr="00AD6947">
        <w:rPr>
          <w:rStyle w:val="normaltextrun"/>
          <w:rFonts w:cs="Segoe UI"/>
          <w:color w:val="000000"/>
          <w:bdr w:val="none" w:sz="0" w:space="0" w:color="auto" w:frame="1"/>
        </w:rPr>
        <w:t xml:space="preserve"> there </w:t>
      </w:r>
      <w:r w:rsidR="00B049E0">
        <w:rPr>
          <w:rStyle w:val="normaltextrun"/>
          <w:rFonts w:cs="Segoe UI"/>
          <w:color w:val="000000"/>
          <w:bdr w:val="none" w:sz="0" w:space="0" w:color="auto" w:frame="1"/>
        </w:rPr>
        <w:t>we</w:t>
      </w:r>
      <w:r w:rsidR="00AD6947" w:rsidRPr="00AD6947">
        <w:rPr>
          <w:rStyle w:val="normaltextrun"/>
          <w:rFonts w:cs="Segoe UI"/>
          <w:color w:val="000000"/>
          <w:bdr w:val="none" w:sz="0" w:space="0" w:color="auto" w:frame="1"/>
        </w:rPr>
        <w:t xml:space="preserve">re </w:t>
      </w:r>
      <w:r w:rsidR="00EB11FA">
        <w:rPr>
          <w:rStyle w:val="normaltextrun"/>
          <w:rFonts w:cs="Segoe UI"/>
          <w:color w:val="000000"/>
          <w:bdr w:val="none" w:sz="0" w:space="0" w:color="auto" w:frame="1"/>
        </w:rPr>
        <w:t>four</w:t>
      </w:r>
      <w:r w:rsidR="00AD6947" w:rsidRPr="00AD6947">
        <w:rPr>
          <w:rStyle w:val="normaltextrun"/>
          <w:rFonts w:cs="Segoe UI"/>
          <w:color w:val="000000"/>
          <w:bdr w:val="none" w:sz="0" w:space="0" w:color="auto" w:frame="1"/>
        </w:rPr>
        <w:t xml:space="preserve"> National Association of Testing Authorities (NATA) accredited laboratories providing locally validated TGA notified Class 3 in-vitro diagnostic medical devices (IVD) homologous recombination repair (HRR) tumour panel testing covering </w:t>
      </w:r>
      <w:r w:rsidR="00AD6947" w:rsidRPr="00B049E0">
        <w:rPr>
          <w:rStyle w:val="normaltextrun"/>
          <w:rFonts w:cs="Segoe UI"/>
          <w:i/>
          <w:iCs/>
          <w:color w:val="000000"/>
          <w:bdr w:val="none" w:sz="0" w:space="0" w:color="auto" w:frame="1"/>
        </w:rPr>
        <w:t>BRCA1</w:t>
      </w:r>
      <w:r w:rsidR="00AD6947" w:rsidRPr="00AD6947">
        <w:rPr>
          <w:rStyle w:val="normaltextrun"/>
          <w:rFonts w:cs="Segoe UI"/>
          <w:color w:val="000000"/>
          <w:bdr w:val="none" w:sz="0" w:space="0" w:color="auto" w:frame="1"/>
        </w:rPr>
        <w:t xml:space="preserve"> and </w:t>
      </w:r>
      <w:r w:rsidR="00AD6947" w:rsidRPr="00B049E0">
        <w:rPr>
          <w:rStyle w:val="normaltextrun"/>
          <w:rFonts w:cs="Segoe UI"/>
          <w:i/>
          <w:iCs/>
          <w:color w:val="000000"/>
          <w:bdr w:val="none" w:sz="0" w:space="0" w:color="auto" w:frame="1"/>
        </w:rPr>
        <w:t>BRCA2</w:t>
      </w:r>
      <w:r w:rsidR="003063A8">
        <w:rPr>
          <w:rStyle w:val="normaltextrun"/>
          <w:rFonts w:cs="Segoe UI"/>
          <w:color w:val="000000"/>
          <w:bdr w:val="none" w:sz="0" w:space="0" w:color="auto" w:frame="1"/>
        </w:rPr>
        <w:t xml:space="preserve">, with </w:t>
      </w:r>
      <w:r w:rsidR="00AD6947" w:rsidRPr="00AD6947">
        <w:rPr>
          <w:rStyle w:val="normaltextrun"/>
          <w:rFonts w:cs="Segoe UI"/>
          <w:color w:val="000000"/>
          <w:bdr w:val="none" w:sz="0" w:space="0" w:color="auto" w:frame="1"/>
        </w:rPr>
        <w:t xml:space="preserve">another </w:t>
      </w:r>
      <w:r w:rsidR="003063A8">
        <w:rPr>
          <w:rStyle w:val="normaltextrun"/>
          <w:rFonts w:cs="Segoe UI"/>
          <w:color w:val="000000"/>
          <w:bdr w:val="none" w:sz="0" w:space="0" w:color="auto" w:frame="1"/>
        </w:rPr>
        <w:t>4</w:t>
      </w:r>
      <w:r w:rsidR="00AD6947" w:rsidRPr="00AD6947">
        <w:rPr>
          <w:rStyle w:val="normaltextrun"/>
          <w:rFonts w:cs="Segoe UI"/>
          <w:color w:val="000000"/>
          <w:bdr w:val="none" w:sz="0" w:space="0" w:color="auto" w:frame="1"/>
        </w:rPr>
        <w:t xml:space="preserve"> laboratories in the process of validating their assays and obtaining accreditation</w:t>
      </w:r>
      <w:r w:rsidR="003063A8">
        <w:rPr>
          <w:rStyle w:val="normaltextrun"/>
          <w:rFonts w:cs="Segoe UI"/>
          <w:color w:val="000000"/>
          <w:bdr w:val="none" w:sz="0" w:space="0" w:color="auto" w:frame="1"/>
        </w:rPr>
        <w:t xml:space="preserve"> (p5, </w:t>
      </w:r>
      <w:r w:rsidR="003063A8" w:rsidRPr="003063A8">
        <w:rPr>
          <w:rStyle w:val="normaltextrun"/>
          <w:rFonts w:cs="Segoe UI"/>
          <w:color w:val="000000"/>
          <w:bdr w:val="none" w:sz="0" w:space="0" w:color="auto" w:frame="1"/>
        </w:rPr>
        <w:t>PSD for Application 1618, November 2021 MSAC meeting)</w:t>
      </w:r>
      <w:r w:rsidR="00AD6947" w:rsidRPr="00AD6947">
        <w:rPr>
          <w:rStyle w:val="normaltextrun"/>
          <w:rFonts w:cs="Segoe UI"/>
          <w:color w:val="000000"/>
          <w:bdr w:val="none" w:sz="0" w:space="0" w:color="auto" w:frame="1"/>
        </w:rPr>
        <w:t>.</w:t>
      </w:r>
    </w:p>
    <w:p w14:paraId="0525B79A" w14:textId="32EC7A6E" w:rsidR="003B3FA5" w:rsidRDefault="00D279FA" w:rsidP="006901C2">
      <w:pPr>
        <w:contextualSpacing/>
      </w:pPr>
      <w:r>
        <w:t>Talazoparib</w:t>
      </w:r>
      <w:r w:rsidR="002B2765">
        <w:t xml:space="preserve"> is currently undergoing parallel </w:t>
      </w:r>
      <w:r w:rsidR="00A963B9">
        <w:t xml:space="preserve">TGA and PBAC evaluations. </w:t>
      </w:r>
      <w:r w:rsidR="00A42050" w:rsidRPr="00A42050">
        <w:t>PBAC</w:t>
      </w:r>
      <w:r w:rsidR="008312B3">
        <w:t xml:space="preserve"> </w:t>
      </w:r>
      <w:r w:rsidR="00A42050" w:rsidRPr="00A42050">
        <w:t xml:space="preserve">did not recommend the proposed PBS listing for talazoparib </w:t>
      </w:r>
      <w:r w:rsidR="00126081">
        <w:t xml:space="preserve">in its March 2024 meeting </w:t>
      </w:r>
      <w:r w:rsidR="00A42050" w:rsidRPr="00A42050">
        <w:t>but</w:t>
      </w:r>
      <w:r w:rsidR="00A524F5">
        <w:t xml:space="preserve"> was scheduled</w:t>
      </w:r>
      <w:r w:rsidR="00A42050" w:rsidRPr="00A42050">
        <w:t xml:space="preserve"> </w:t>
      </w:r>
      <w:r w:rsidR="00010E75">
        <w:t>to</w:t>
      </w:r>
      <w:r w:rsidR="00A42050" w:rsidRPr="00A42050">
        <w:t xml:space="preserve"> </w:t>
      </w:r>
      <w:r w:rsidR="00126081">
        <w:t>re</w:t>
      </w:r>
      <w:r w:rsidR="00A42050" w:rsidRPr="00A42050">
        <w:t xml:space="preserve">consider the submission </w:t>
      </w:r>
      <w:r w:rsidR="00126081">
        <w:t>in</w:t>
      </w:r>
      <w:r w:rsidR="00A42050" w:rsidRPr="00A42050">
        <w:t xml:space="preserve"> </w:t>
      </w:r>
      <w:r w:rsidR="00010E75">
        <w:t xml:space="preserve">July </w:t>
      </w:r>
      <w:r w:rsidR="00A42050" w:rsidRPr="00A42050">
        <w:t>2024.</w:t>
      </w:r>
    </w:p>
    <w:p w14:paraId="44C3B242" w14:textId="349C0DE5" w:rsidR="00772829" w:rsidRDefault="00932DE9" w:rsidP="002A18BE">
      <w:pPr>
        <w:pStyle w:val="Heading2"/>
        <w:numPr>
          <w:ilvl w:val="0"/>
          <w:numId w:val="0"/>
        </w:numPr>
      </w:pPr>
      <w:bookmarkStart w:id="7" w:name="_Toc69491418"/>
      <w:r>
        <w:t>6</w:t>
      </w:r>
      <w:r w:rsidR="00C36633">
        <w:t>.</w:t>
      </w:r>
      <w:r w:rsidR="00C36633">
        <w:tab/>
      </w:r>
      <w:r w:rsidR="00772829" w:rsidRPr="00CE28E3">
        <w:t>Proposal for public funding</w:t>
      </w:r>
      <w:bookmarkEnd w:id="7"/>
    </w:p>
    <w:p w14:paraId="418B5CFE" w14:textId="13979296" w:rsidR="00020546" w:rsidRPr="00020546" w:rsidRDefault="00020546" w:rsidP="00020546">
      <w:pPr>
        <w:spacing w:before="0" w:after="0" w:line="240" w:lineRule="auto"/>
        <w:jc w:val="both"/>
        <w:textAlignment w:val="baseline"/>
        <w:rPr>
          <w:rFonts w:eastAsia="Times New Roman" w:cs="Segoe UI"/>
          <w:sz w:val="18"/>
          <w:szCs w:val="18"/>
          <w:lang w:eastAsia="en-AU"/>
        </w:rPr>
      </w:pPr>
      <w:r w:rsidRPr="00B04A60">
        <w:rPr>
          <w:rFonts w:eastAsia="Times New Roman" w:cs="Segoe UI"/>
          <w:i/>
          <w:iCs/>
          <w:lang w:eastAsia="en-AU"/>
        </w:rPr>
        <w:t>BRCA1/2</w:t>
      </w:r>
      <w:r w:rsidRPr="00020546">
        <w:rPr>
          <w:rFonts w:eastAsia="Times New Roman" w:cs="Segoe UI"/>
          <w:lang w:eastAsia="en-AU"/>
        </w:rPr>
        <w:t xml:space="preserve"> mutations may be either germline, meaning the mutation originated in the germ cells of a parent and was inherited, or somatic. Somatic mutations may occur at any time after conception in any of the cells of the body except for germ cells. Germline and tumour (somatic) </w:t>
      </w:r>
      <w:r w:rsidRPr="003D6383">
        <w:rPr>
          <w:rFonts w:eastAsia="Times New Roman" w:cs="Segoe UI"/>
          <w:i/>
          <w:iCs/>
          <w:lang w:eastAsia="en-AU"/>
        </w:rPr>
        <w:t>BRCA1/2</w:t>
      </w:r>
      <w:r w:rsidRPr="00020546">
        <w:rPr>
          <w:rFonts w:eastAsia="Times New Roman" w:cs="Segoe UI"/>
          <w:lang w:eastAsia="en-AU"/>
        </w:rPr>
        <w:t xml:space="preserve"> mutation testing is currently </w:t>
      </w:r>
      <w:r w:rsidR="00EB11FA">
        <w:rPr>
          <w:rFonts w:eastAsia="Times New Roman" w:cs="Segoe UI"/>
          <w:lang w:eastAsia="en-AU"/>
        </w:rPr>
        <w:t>funded</w:t>
      </w:r>
      <w:r w:rsidRPr="00020546">
        <w:rPr>
          <w:rFonts w:eastAsia="Times New Roman" w:cs="Segoe UI"/>
          <w:lang w:eastAsia="en-AU"/>
        </w:rPr>
        <w:t xml:space="preserve"> in Australia under MBS item numbers 73303 and 73304 to determine </w:t>
      </w:r>
      <w:proofErr w:type="spellStart"/>
      <w:r w:rsidRPr="00020546">
        <w:rPr>
          <w:rFonts w:eastAsia="Times New Roman" w:cs="Segoe UI"/>
          <w:lang w:eastAsia="en-AU"/>
        </w:rPr>
        <w:t>mCRPC</w:t>
      </w:r>
      <w:proofErr w:type="spellEnd"/>
      <w:r w:rsidRPr="00020546">
        <w:rPr>
          <w:rFonts w:eastAsia="Times New Roman" w:cs="Segoe UI"/>
          <w:lang w:eastAsia="en-AU"/>
        </w:rPr>
        <w:t xml:space="preserve"> patient eligibility for treatment with olaparib monotherapy on the PBS.  </w:t>
      </w:r>
    </w:p>
    <w:p w14:paraId="43775D89" w14:textId="36ABE903" w:rsidR="002E62A9" w:rsidRDefault="009C4448" w:rsidP="002E62A9">
      <w:pPr>
        <w:spacing w:line="240" w:lineRule="auto"/>
        <w:jc w:val="both"/>
        <w:textAlignment w:val="baseline"/>
        <w:rPr>
          <w:rFonts w:eastAsia="Times New Roman" w:cs="Segoe UI"/>
          <w:lang w:eastAsia="en-AU"/>
        </w:rPr>
      </w:pPr>
      <w:r>
        <w:rPr>
          <w:rFonts w:eastAsia="Times New Roman" w:cs="Segoe UI"/>
          <w:lang w:eastAsia="en-AU"/>
        </w:rPr>
        <w:fldChar w:fldCharType="begin"/>
      </w:r>
      <w:r>
        <w:rPr>
          <w:rFonts w:eastAsia="Times New Roman" w:cs="Segoe UI"/>
          <w:lang w:eastAsia="en-AU"/>
        </w:rPr>
        <w:instrText xml:space="preserve"> REF _Ref163547690 \h </w:instrText>
      </w:r>
      <w:r>
        <w:rPr>
          <w:rFonts w:eastAsia="Times New Roman" w:cs="Segoe UI"/>
          <w:lang w:eastAsia="en-AU"/>
        </w:rPr>
      </w:r>
      <w:r>
        <w:rPr>
          <w:rFonts w:eastAsia="Times New Roman" w:cs="Segoe UI"/>
          <w:lang w:eastAsia="en-AU"/>
        </w:rPr>
        <w:fldChar w:fldCharType="separate"/>
      </w:r>
      <w:r w:rsidR="00252DEA">
        <w:t xml:space="preserve">Table </w:t>
      </w:r>
      <w:r w:rsidR="00252DEA">
        <w:rPr>
          <w:noProof/>
        </w:rPr>
        <w:t>2</w:t>
      </w:r>
      <w:r>
        <w:rPr>
          <w:rFonts w:eastAsia="Times New Roman" w:cs="Segoe UI"/>
          <w:lang w:eastAsia="en-AU"/>
        </w:rPr>
        <w:fldChar w:fldCharType="end"/>
      </w:r>
      <w:r>
        <w:rPr>
          <w:rFonts w:eastAsia="Times New Roman" w:cs="Segoe UI"/>
          <w:lang w:eastAsia="en-AU"/>
        </w:rPr>
        <w:t xml:space="preserve"> presents the </w:t>
      </w:r>
      <w:r w:rsidR="00020546" w:rsidRPr="00020546">
        <w:rPr>
          <w:rFonts w:eastAsia="Times New Roman" w:cs="Segoe UI"/>
          <w:lang w:eastAsia="en-AU"/>
        </w:rPr>
        <w:t>requested amendment to MBS item</w:t>
      </w:r>
      <w:r>
        <w:rPr>
          <w:rFonts w:eastAsia="Times New Roman" w:cs="Segoe UI"/>
          <w:lang w:eastAsia="en-AU"/>
        </w:rPr>
        <w:t>s</w:t>
      </w:r>
      <w:r w:rsidR="00020546" w:rsidRPr="00020546">
        <w:rPr>
          <w:rFonts w:eastAsia="Times New Roman" w:cs="Segoe UI"/>
          <w:lang w:eastAsia="en-AU"/>
        </w:rPr>
        <w:t xml:space="preserve"> 73303 and 73304</w:t>
      </w:r>
      <w:r w:rsidR="00296E76">
        <w:rPr>
          <w:rFonts w:eastAsia="Times New Roman" w:cs="Segoe UI"/>
          <w:lang w:eastAsia="en-AU"/>
        </w:rPr>
        <w:t>. The p</w:t>
      </w:r>
      <w:r w:rsidR="00020546" w:rsidRPr="00020546">
        <w:rPr>
          <w:rFonts w:eastAsia="Times New Roman" w:cs="Segoe UI"/>
          <w:lang w:eastAsia="en-AU"/>
        </w:rPr>
        <w:t xml:space="preserve">roposed additions are </w:t>
      </w:r>
      <w:r w:rsidR="00020546" w:rsidRPr="00296E76">
        <w:rPr>
          <w:rFonts w:eastAsia="Times New Roman" w:cs="Segoe UI"/>
          <w:i/>
          <w:iCs/>
          <w:lang w:eastAsia="en-AU"/>
        </w:rPr>
        <w:t>italicised</w:t>
      </w:r>
      <w:r w:rsidR="00020546" w:rsidRPr="00020546">
        <w:rPr>
          <w:rFonts w:eastAsia="Times New Roman" w:cs="Segoe UI"/>
          <w:lang w:eastAsia="en-AU"/>
        </w:rPr>
        <w:t xml:space="preserve">. </w:t>
      </w:r>
      <w:r w:rsidR="00AB456A">
        <w:rPr>
          <w:rFonts w:eastAsia="Times New Roman" w:cs="Segoe UI"/>
          <w:lang w:eastAsia="en-AU"/>
        </w:rPr>
        <w:t xml:space="preserve">The applicant reported that </w:t>
      </w:r>
      <w:r w:rsidR="00583E30">
        <w:rPr>
          <w:rFonts w:eastAsia="Times New Roman" w:cs="Segoe UI"/>
          <w:lang w:eastAsia="en-AU"/>
        </w:rPr>
        <w:t xml:space="preserve">the proposed addition of talazoparib would </w:t>
      </w:r>
      <w:r w:rsidR="00AB456A" w:rsidRPr="00AB456A">
        <w:rPr>
          <w:rFonts w:eastAsia="Times New Roman" w:cs="Segoe UI"/>
          <w:lang w:eastAsia="en-AU"/>
        </w:rPr>
        <w:t>not result in a change to testing methodology, the patient population who access testing through the MBS, the utilisation of these two services or the current MBS fee</w:t>
      </w:r>
      <w:r w:rsidR="00583E30">
        <w:rPr>
          <w:rFonts w:eastAsia="Times New Roman" w:cs="Segoe UI"/>
          <w:lang w:eastAsia="en-AU"/>
        </w:rPr>
        <w:t xml:space="preserve">. </w:t>
      </w:r>
      <w:r w:rsidR="002E62A9">
        <w:rPr>
          <w:rFonts w:eastAsia="Times New Roman" w:cs="Segoe UI"/>
          <w:lang w:eastAsia="en-AU"/>
        </w:rPr>
        <w:br w:type="page"/>
      </w:r>
    </w:p>
    <w:p w14:paraId="0A7AD300" w14:textId="4EC1DD7C" w:rsidR="00020546" w:rsidRPr="00020546" w:rsidRDefault="002C2AC6" w:rsidP="002C2AC6">
      <w:pPr>
        <w:pStyle w:val="Caption"/>
        <w:rPr>
          <w:rFonts w:cs="Segoe UI"/>
          <w:b w:val="0"/>
          <w:bCs w:val="0"/>
          <w:lang w:eastAsia="en-AU"/>
        </w:rPr>
      </w:pPr>
      <w:bookmarkStart w:id="8" w:name="_Ref163547690"/>
      <w:r>
        <w:lastRenderedPageBreak/>
        <w:t xml:space="preserve">Table </w:t>
      </w:r>
      <w:r w:rsidR="00341CAB">
        <w:fldChar w:fldCharType="begin"/>
      </w:r>
      <w:r w:rsidR="00341CAB">
        <w:instrText xml:space="preserve"> SEQ Table \* ARABIC </w:instrText>
      </w:r>
      <w:r w:rsidR="00341CAB">
        <w:fldChar w:fldCharType="separate"/>
      </w:r>
      <w:r w:rsidR="00935FE6">
        <w:rPr>
          <w:noProof/>
        </w:rPr>
        <w:t>2</w:t>
      </w:r>
      <w:r w:rsidR="00341CAB">
        <w:rPr>
          <w:noProof/>
        </w:rPr>
        <w:fldChar w:fldCharType="end"/>
      </w:r>
      <w:bookmarkEnd w:id="8"/>
      <w:r w:rsidR="00020546" w:rsidRPr="00020546">
        <w:rPr>
          <w:rFonts w:cs="Calibri"/>
          <w:lang w:eastAsia="en-AU"/>
        </w:rPr>
        <w:t xml:space="preserve"> Proposed amendments to MBS items </w:t>
      </w:r>
      <w:r w:rsidR="00020546" w:rsidRPr="00C23BCC">
        <w:rPr>
          <w:rFonts w:cs="Calibri"/>
          <w:lang w:eastAsia="en-AU"/>
        </w:rPr>
        <w:t xml:space="preserve">73303 and </w:t>
      </w:r>
      <w:proofErr w:type="gramStart"/>
      <w:r w:rsidR="00020546" w:rsidRPr="00C23BCC">
        <w:rPr>
          <w:rFonts w:cs="Calibri"/>
          <w:lang w:eastAsia="en-AU"/>
        </w:rPr>
        <w:t>73304 </w:t>
      </w:r>
      <w:r w:rsidR="00D12A71" w:rsidRPr="00C23BCC">
        <w:rPr>
          <w:rFonts w:cs="Calibri"/>
          <w:lang w:eastAsia="en-AU"/>
        </w:rPr>
        <w:t xml:space="preserve"> in</w:t>
      </w:r>
      <w:proofErr w:type="gramEnd"/>
      <w:r w:rsidR="00D12A71" w:rsidRPr="00C23BCC">
        <w:rPr>
          <w:rFonts w:cs="Calibri"/>
          <w:lang w:eastAsia="en-AU"/>
        </w:rPr>
        <w:t xml:space="preserve"> the application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020546" w:rsidRPr="00020546" w14:paraId="28A6F36C" w14:textId="77777777" w:rsidTr="000A6C17">
        <w:trPr>
          <w:trHeight w:val="360"/>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FD68B7" w14:textId="77777777" w:rsidR="00020546" w:rsidRPr="00020546" w:rsidRDefault="00020546" w:rsidP="000A6C17">
            <w:pPr>
              <w:spacing w:before="0" w:after="0" w:line="240" w:lineRule="auto"/>
              <w:textAlignment w:val="baseline"/>
              <w:divId w:val="1032876431"/>
              <w:rPr>
                <w:rFonts w:ascii="Arial Narrow" w:eastAsia="Times New Roman" w:hAnsi="Arial Narrow" w:cs="Times New Roman"/>
                <w:sz w:val="20"/>
                <w:szCs w:val="20"/>
                <w:lang w:eastAsia="en-AU"/>
              </w:rPr>
            </w:pPr>
            <w:bookmarkStart w:id="9" w:name="_Hlk163547366"/>
            <w:r w:rsidRPr="00020546">
              <w:rPr>
                <w:rFonts w:ascii="Arial Narrow" w:eastAsia="Times New Roman" w:hAnsi="Arial Narrow" w:cs="Segoe UI"/>
                <w:b/>
                <w:bCs/>
                <w:sz w:val="20"/>
                <w:szCs w:val="20"/>
                <w:lang w:eastAsia="en-AU"/>
              </w:rPr>
              <w:t>73303</w:t>
            </w:r>
            <w:r w:rsidRPr="00020546">
              <w:rPr>
                <w:rFonts w:ascii="Arial Narrow" w:eastAsia="Times New Roman" w:hAnsi="Arial Narrow" w:cs="Segoe UI"/>
                <w:sz w:val="20"/>
                <w:szCs w:val="20"/>
                <w:lang w:eastAsia="en-AU"/>
              </w:rPr>
              <w:t> </w:t>
            </w:r>
          </w:p>
        </w:tc>
      </w:tr>
      <w:tr w:rsidR="00020546" w:rsidRPr="00020546" w14:paraId="5F2BF82C" w14:textId="77777777" w:rsidTr="000A6C17">
        <w:trPr>
          <w:trHeight w:val="360"/>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D53FE4" w14:textId="22E051E2" w:rsidR="00020546" w:rsidRPr="00020546" w:rsidRDefault="00020546" w:rsidP="000A6C17">
            <w:pPr>
              <w:spacing w:before="0" w:after="0" w:line="240" w:lineRule="auto"/>
              <w:textAlignment w:val="baseline"/>
              <w:rPr>
                <w:rFonts w:ascii="Arial Narrow" w:eastAsia="Times New Roman" w:hAnsi="Arial Narrow" w:cs="Times New Roman"/>
                <w:sz w:val="20"/>
                <w:szCs w:val="20"/>
                <w:lang w:eastAsia="en-AU"/>
              </w:rPr>
            </w:pPr>
            <w:r w:rsidRPr="00020546">
              <w:rPr>
                <w:rFonts w:ascii="Arial Narrow" w:eastAsia="Times New Roman" w:hAnsi="Arial Narrow" w:cs="Segoe UI"/>
                <w:sz w:val="20"/>
                <w:szCs w:val="20"/>
                <w:lang w:eastAsia="en-AU"/>
              </w:rPr>
              <w:t xml:space="preserve">A test of tumour tissue from a patient with metastatic castration-resistant prostate cancer, including subsequent characterisation of germline gene variants should tumour tissue testing undertaken during the same service be inconclusive, requested by a specialist or consultant physician, to determine eligibility relating to BRCA status for access to </w:t>
            </w:r>
            <w:r w:rsidR="00390F72" w:rsidRPr="00D12A71">
              <w:rPr>
                <w:rFonts w:ascii="Arial Narrow" w:eastAsia="Times New Roman" w:hAnsi="Arial Narrow" w:cs="Segoe UI"/>
                <w:sz w:val="20"/>
                <w:szCs w:val="20"/>
                <w:lang w:eastAsia="en-AU"/>
              </w:rPr>
              <w:t>olaparib</w:t>
            </w:r>
            <w:r w:rsidR="00390F72">
              <w:rPr>
                <w:rFonts w:ascii="Arial Narrow" w:eastAsia="Times New Roman" w:hAnsi="Arial Narrow" w:cs="Segoe UI"/>
                <w:sz w:val="20"/>
                <w:szCs w:val="20"/>
                <w:lang w:eastAsia="en-AU"/>
              </w:rPr>
              <w:t xml:space="preserve"> </w:t>
            </w:r>
            <w:r w:rsidR="00D12A71">
              <w:rPr>
                <w:rFonts w:ascii="Arial Narrow" w:eastAsia="Times New Roman" w:hAnsi="Arial Narrow" w:cs="Segoe UI"/>
                <w:i/>
                <w:iCs/>
                <w:sz w:val="20"/>
                <w:szCs w:val="20"/>
                <w:lang w:eastAsia="en-AU"/>
              </w:rPr>
              <w:t>or talazoparib</w:t>
            </w:r>
            <w:r w:rsidR="00621B48">
              <w:rPr>
                <w:rFonts w:ascii="Arial Narrow" w:eastAsia="Times New Roman" w:hAnsi="Arial Narrow"/>
                <w:sz w:val="20"/>
                <w:szCs w:val="20"/>
                <w:lang w:eastAsia="en-AU"/>
              </w:rPr>
              <w:t xml:space="preserve"> </w:t>
            </w:r>
            <w:r w:rsidRPr="00020546">
              <w:rPr>
                <w:rFonts w:ascii="Arial Narrow" w:eastAsia="Times New Roman" w:hAnsi="Arial Narrow" w:cs="Segoe UI"/>
                <w:sz w:val="20"/>
                <w:szCs w:val="20"/>
                <w:lang w:eastAsia="en-AU"/>
              </w:rPr>
              <w:t>under the Pharmaceutical Benefits Scheme. </w:t>
            </w:r>
          </w:p>
          <w:p w14:paraId="2A321A69" w14:textId="6974CB3C" w:rsidR="00020546" w:rsidRPr="00020546" w:rsidRDefault="00020546" w:rsidP="002E62A9">
            <w:pPr>
              <w:spacing w:after="0" w:line="240" w:lineRule="auto"/>
              <w:textAlignment w:val="baseline"/>
              <w:rPr>
                <w:rFonts w:ascii="Arial Narrow" w:eastAsia="Times New Roman" w:hAnsi="Arial Narrow" w:cs="Times New Roman"/>
                <w:sz w:val="20"/>
                <w:szCs w:val="20"/>
                <w:lang w:eastAsia="en-AU"/>
              </w:rPr>
            </w:pPr>
            <w:r w:rsidRPr="00020546">
              <w:rPr>
                <w:rFonts w:ascii="Arial Narrow" w:eastAsia="Times New Roman" w:hAnsi="Arial Narrow" w:cs="Segoe UI"/>
                <w:sz w:val="20"/>
                <w:szCs w:val="20"/>
                <w:lang w:eastAsia="en-AU"/>
              </w:rPr>
              <w:t>Applicable once per primary tumour diagnosis </w:t>
            </w:r>
          </w:p>
        </w:tc>
      </w:tr>
      <w:tr w:rsidR="00020546" w:rsidRPr="00020546" w14:paraId="0E4696CE" w14:textId="77777777" w:rsidTr="000A6C17">
        <w:trPr>
          <w:trHeight w:val="360"/>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DC9B82" w14:textId="77777777" w:rsidR="00020546" w:rsidRPr="00020546" w:rsidRDefault="00020546" w:rsidP="000A6C17">
            <w:pPr>
              <w:spacing w:before="0" w:after="0" w:line="240" w:lineRule="auto"/>
              <w:textAlignment w:val="baseline"/>
              <w:rPr>
                <w:rFonts w:ascii="Arial Narrow" w:eastAsia="Times New Roman" w:hAnsi="Arial Narrow" w:cs="Times New Roman"/>
                <w:sz w:val="20"/>
                <w:szCs w:val="20"/>
                <w:lang w:eastAsia="en-AU"/>
              </w:rPr>
            </w:pPr>
            <w:r w:rsidRPr="00020546">
              <w:rPr>
                <w:rFonts w:ascii="Arial Narrow" w:eastAsia="Times New Roman" w:hAnsi="Arial Narrow" w:cs="Segoe UI"/>
                <w:sz w:val="20"/>
                <w:szCs w:val="20"/>
                <w:lang w:eastAsia="en-AU"/>
              </w:rPr>
              <w:t>Fee: $1,000.00 Benefit: 75% = $750.00 85% = $906.80 </w:t>
            </w:r>
          </w:p>
        </w:tc>
      </w:tr>
      <w:tr w:rsidR="00020546" w:rsidRPr="00020546" w14:paraId="316BB493" w14:textId="77777777" w:rsidTr="000A6C17">
        <w:trPr>
          <w:trHeight w:val="360"/>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1428BD" w14:textId="77777777" w:rsidR="00020546" w:rsidRPr="00020546" w:rsidRDefault="00020546" w:rsidP="000A6C17">
            <w:pPr>
              <w:spacing w:before="0" w:after="0" w:line="240" w:lineRule="auto"/>
              <w:textAlignment w:val="baseline"/>
              <w:rPr>
                <w:rFonts w:ascii="Arial Narrow" w:eastAsia="Times New Roman" w:hAnsi="Arial Narrow" w:cs="Times New Roman"/>
                <w:sz w:val="20"/>
                <w:szCs w:val="20"/>
                <w:lang w:eastAsia="en-AU"/>
              </w:rPr>
            </w:pPr>
            <w:r w:rsidRPr="00020546">
              <w:rPr>
                <w:rFonts w:ascii="Arial Narrow" w:eastAsia="Times New Roman" w:hAnsi="Arial Narrow" w:cs="Segoe UI"/>
                <w:b/>
                <w:bCs/>
                <w:sz w:val="20"/>
                <w:szCs w:val="20"/>
                <w:lang w:eastAsia="en-AU"/>
              </w:rPr>
              <w:t>73304</w:t>
            </w:r>
            <w:r w:rsidRPr="00020546">
              <w:rPr>
                <w:rFonts w:ascii="Arial Narrow" w:eastAsia="Times New Roman" w:hAnsi="Arial Narrow" w:cs="Segoe UI"/>
                <w:sz w:val="20"/>
                <w:szCs w:val="20"/>
                <w:lang w:eastAsia="en-AU"/>
              </w:rPr>
              <w:t> </w:t>
            </w:r>
          </w:p>
        </w:tc>
      </w:tr>
      <w:tr w:rsidR="00020546" w:rsidRPr="00020546" w14:paraId="25830292" w14:textId="77777777" w:rsidTr="000A6C17">
        <w:trPr>
          <w:trHeight w:val="360"/>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FB440C" w14:textId="7EDAFBA0" w:rsidR="00020546" w:rsidRPr="00020546" w:rsidRDefault="00020546" w:rsidP="000A6C17">
            <w:pPr>
              <w:spacing w:before="0" w:after="0" w:line="240" w:lineRule="auto"/>
              <w:textAlignment w:val="baseline"/>
              <w:rPr>
                <w:rFonts w:ascii="Arial Narrow" w:eastAsia="Times New Roman" w:hAnsi="Arial Narrow" w:cs="Times New Roman"/>
                <w:sz w:val="20"/>
                <w:szCs w:val="20"/>
                <w:lang w:eastAsia="en-AU"/>
              </w:rPr>
            </w:pPr>
            <w:r w:rsidRPr="00020546">
              <w:rPr>
                <w:rFonts w:ascii="Arial Narrow" w:eastAsia="Times New Roman" w:hAnsi="Arial Narrow" w:cs="Segoe UI"/>
                <w:sz w:val="20"/>
                <w:szCs w:val="20"/>
                <w:lang w:eastAsia="en-AU"/>
              </w:rPr>
              <w:t>Detection of germline BRCA1 or BRCA2 pathogenic or likely pathogenic gene variants, in a patient with metastatic castration</w:t>
            </w:r>
            <w:r w:rsidRPr="00020546">
              <w:rPr>
                <w:rFonts w:ascii="Arial Narrow" w:eastAsia="Times New Roman" w:hAnsi="Arial Narrow" w:cs="Times New Roman"/>
                <w:sz w:val="20"/>
                <w:szCs w:val="20"/>
                <w:lang w:eastAsia="en-AU"/>
              </w:rPr>
              <w:noBreakHyphen/>
            </w:r>
            <w:r w:rsidRPr="00020546">
              <w:rPr>
                <w:rFonts w:ascii="Arial Narrow" w:eastAsia="Times New Roman" w:hAnsi="Arial Narrow" w:cs="Segoe UI"/>
                <w:sz w:val="20"/>
                <w:szCs w:val="20"/>
                <w:lang w:eastAsia="en-AU"/>
              </w:rPr>
              <w:t xml:space="preserve">resistant prostate cancer, for whom testing of tumour tissue is not clinically feasible, requested by a specialist or consultant physician, to determine eligibility for </w:t>
            </w:r>
            <w:r w:rsidRPr="00D12A71">
              <w:rPr>
                <w:rFonts w:ascii="Arial Narrow" w:eastAsia="Times New Roman" w:hAnsi="Arial Narrow" w:cs="Segoe UI"/>
                <w:sz w:val="20"/>
                <w:szCs w:val="20"/>
                <w:lang w:eastAsia="en-AU"/>
              </w:rPr>
              <w:t xml:space="preserve">olaparib </w:t>
            </w:r>
            <w:r w:rsidR="00D12A71">
              <w:rPr>
                <w:rFonts w:ascii="Arial Narrow" w:eastAsia="Times New Roman" w:hAnsi="Arial Narrow" w:cs="Segoe UI"/>
                <w:i/>
                <w:iCs/>
                <w:sz w:val="20"/>
                <w:szCs w:val="20"/>
                <w:lang w:eastAsia="en-AU"/>
              </w:rPr>
              <w:t>or talazoparib</w:t>
            </w:r>
            <w:r w:rsidR="001C74C1">
              <w:rPr>
                <w:rFonts w:ascii="Arial Narrow" w:eastAsia="Times New Roman" w:hAnsi="Arial Narrow" w:cs="Segoe UI"/>
                <w:i/>
                <w:iCs/>
                <w:sz w:val="20"/>
                <w:szCs w:val="20"/>
                <w:lang w:eastAsia="en-AU"/>
              </w:rPr>
              <w:t xml:space="preserve"> </w:t>
            </w:r>
            <w:r w:rsidRPr="00020546">
              <w:rPr>
                <w:rFonts w:ascii="Arial Narrow" w:eastAsia="Times New Roman" w:hAnsi="Arial Narrow" w:cs="Segoe UI"/>
                <w:sz w:val="20"/>
                <w:szCs w:val="20"/>
                <w:lang w:eastAsia="en-AU"/>
              </w:rPr>
              <w:t>under the Pharmaceutical Benefits Scheme. </w:t>
            </w:r>
          </w:p>
          <w:p w14:paraId="3B18124E" w14:textId="48EA772C" w:rsidR="00020546" w:rsidRPr="00020546" w:rsidRDefault="00020546" w:rsidP="002E62A9">
            <w:pPr>
              <w:spacing w:after="0" w:line="240" w:lineRule="auto"/>
              <w:textAlignment w:val="baseline"/>
              <w:rPr>
                <w:rFonts w:ascii="Arial Narrow" w:eastAsia="Times New Roman" w:hAnsi="Arial Narrow" w:cs="Times New Roman"/>
                <w:sz w:val="20"/>
                <w:szCs w:val="20"/>
                <w:lang w:eastAsia="en-AU"/>
              </w:rPr>
            </w:pPr>
            <w:r w:rsidRPr="00020546">
              <w:rPr>
                <w:rFonts w:ascii="Arial Narrow" w:eastAsia="Times New Roman" w:hAnsi="Arial Narrow" w:cs="Segoe UI"/>
                <w:sz w:val="20"/>
                <w:szCs w:val="20"/>
                <w:lang w:eastAsia="en-AU"/>
              </w:rPr>
              <w:t>Applicable once per lifetime </w:t>
            </w:r>
          </w:p>
        </w:tc>
      </w:tr>
      <w:tr w:rsidR="00020546" w:rsidRPr="00020546" w14:paraId="439468E6" w14:textId="77777777" w:rsidTr="000A6C17">
        <w:trPr>
          <w:trHeight w:val="360"/>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06526A" w14:textId="77777777" w:rsidR="00020546" w:rsidRPr="00020546" w:rsidRDefault="00020546" w:rsidP="000A6C17">
            <w:pPr>
              <w:spacing w:before="0" w:after="0" w:line="240" w:lineRule="auto"/>
              <w:textAlignment w:val="baseline"/>
              <w:rPr>
                <w:rFonts w:ascii="Arial Narrow" w:eastAsia="Times New Roman" w:hAnsi="Arial Narrow" w:cs="Times New Roman"/>
                <w:sz w:val="20"/>
                <w:szCs w:val="20"/>
                <w:lang w:eastAsia="en-AU"/>
              </w:rPr>
            </w:pPr>
            <w:r w:rsidRPr="00020546">
              <w:rPr>
                <w:rFonts w:ascii="Arial Narrow" w:eastAsia="Times New Roman" w:hAnsi="Arial Narrow" w:cs="Segoe UI"/>
                <w:sz w:val="20"/>
                <w:szCs w:val="20"/>
                <w:lang w:eastAsia="en-AU"/>
              </w:rPr>
              <w:t>Fee: $1,000.00 Benefit: 75% = $750.00 85% = $906.80 </w:t>
            </w:r>
          </w:p>
        </w:tc>
      </w:tr>
    </w:tbl>
    <w:bookmarkEnd w:id="9"/>
    <w:p w14:paraId="2F8928D5" w14:textId="6CE31A08" w:rsidR="00020546" w:rsidRDefault="00020546" w:rsidP="00020546">
      <w:pPr>
        <w:spacing w:before="0" w:after="0" w:line="240" w:lineRule="auto"/>
        <w:ind w:left="45"/>
        <w:jc w:val="both"/>
        <w:textAlignment w:val="baseline"/>
        <w:rPr>
          <w:rFonts w:ascii="Arial Narrow" w:eastAsia="Times New Roman" w:hAnsi="Arial Narrow" w:cs="Calibri"/>
          <w:sz w:val="18"/>
          <w:szCs w:val="18"/>
          <w:lang w:eastAsia="en-AU"/>
        </w:rPr>
      </w:pPr>
      <w:r w:rsidRPr="00020546">
        <w:rPr>
          <w:rFonts w:ascii="Arial Narrow" w:eastAsia="Times New Roman" w:hAnsi="Arial Narrow" w:cs="Calibri"/>
          <w:sz w:val="18"/>
          <w:szCs w:val="18"/>
          <w:lang w:eastAsia="en-AU"/>
        </w:rPr>
        <w:t>Source: MSAC Application 1765 – Proposed</w:t>
      </w:r>
      <w:r w:rsidR="00BE7B05">
        <w:rPr>
          <w:rFonts w:ascii="Arial Narrow" w:eastAsia="Times New Roman" w:hAnsi="Arial Narrow" w:cs="Calibri"/>
          <w:sz w:val="18"/>
          <w:szCs w:val="18"/>
          <w:lang w:eastAsia="en-AU"/>
        </w:rPr>
        <w:t xml:space="preserve"> amendment of</w:t>
      </w:r>
      <w:r w:rsidRPr="00020546">
        <w:rPr>
          <w:rFonts w:ascii="Arial Narrow" w:eastAsia="Times New Roman" w:hAnsi="Arial Narrow" w:cs="Calibri"/>
          <w:sz w:val="18"/>
          <w:szCs w:val="18"/>
          <w:lang w:eastAsia="en-AU"/>
        </w:rPr>
        <w:t xml:space="preserve"> MBS items </w:t>
      </w:r>
      <w:r w:rsidR="00BE7B05">
        <w:rPr>
          <w:rFonts w:ascii="Arial Narrow" w:eastAsia="Times New Roman" w:hAnsi="Arial Narrow" w:cs="Calibri"/>
          <w:sz w:val="18"/>
          <w:szCs w:val="18"/>
          <w:lang w:eastAsia="en-AU"/>
        </w:rPr>
        <w:t>in the application</w:t>
      </w:r>
      <w:r w:rsidR="00583E30">
        <w:rPr>
          <w:rFonts w:ascii="Arial Narrow" w:eastAsia="Times New Roman" w:hAnsi="Arial Narrow" w:cs="Calibri"/>
          <w:sz w:val="18"/>
          <w:szCs w:val="18"/>
          <w:lang w:eastAsia="en-AU"/>
        </w:rPr>
        <w:t xml:space="preserve"> (proposed addition of wording in </w:t>
      </w:r>
      <w:r w:rsidR="00583E30" w:rsidRPr="00583E30">
        <w:rPr>
          <w:rFonts w:ascii="Arial Narrow" w:eastAsia="Times New Roman" w:hAnsi="Arial Narrow" w:cs="Calibri"/>
          <w:i/>
          <w:iCs/>
          <w:sz w:val="18"/>
          <w:szCs w:val="18"/>
          <w:lang w:eastAsia="en-AU"/>
        </w:rPr>
        <w:t>italics</w:t>
      </w:r>
      <w:r w:rsidR="00583E30">
        <w:rPr>
          <w:rFonts w:ascii="Arial Narrow" w:eastAsia="Times New Roman" w:hAnsi="Arial Narrow" w:cs="Calibri"/>
          <w:sz w:val="18"/>
          <w:szCs w:val="18"/>
          <w:lang w:eastAsia="en-AU"/>
        </w:rPr>
        <w:t>).</w:t>
      </w:r>
    </w:p>
    <w:p w14:paraId="1D358CF8" w14:textId="67C2E8C8" w:rsidR="00382CC4" w:rsidRPr="00020546" w:rsidRDefault="00382CC4" w:rsidP="00382CC4">
      <w:pPr>
        <w:rPr>
          <w:lang w:eastAsia="en-AU"/>
        </w:rPr>
      </w:pPr>
      <w:r w:rsidRPr="00382CC4">
        <w:rPr>
          <w:lang w:eastAsia="en-AU"/>
        </w:rPr>
        <w:t>MSAC support</w:t>
      </w:r>
      <w:r w:rsidR="00A54BFF">
        <w:rPr>
          <w:lang w:eastAsia="en-AU"/>
        </w:rPr>
        <w:t>ed</w:t>
      </w:r>
      <w:r w:rsidRPr="00382CC4">
        <w:rPr>
          <w:lang w:eastAsia="en-AU"/>
        </w:rPr>
        <w:t xml:space="preserve"> the amendment of the MBS items to “eligibility for a relevant treatment on the PBS,” after consultation with departmental medical and policy advisors (</w:t>
      </w:r>
      <w:r w:rsidRPr="00382CC4">
        <w:rPr>
          <w:lang w:eastAsia="en-AU"/>
        </w:rPr>
        <w:fldChar w:fldCharType="begin"/>
      </w:r>
      <w:r w:rsidRPr="00382CC4">
        <w:rPr>
          <w:lang w:eastAsia="en-AU"/>
        </w:rPr>
        <w:instrText xml:space="preserve"> REF _Ref164352913 \h </w:instrText>
      </w:r>
      <w:r w:rsidRPr="00382CC4">
        <w:rPr>
          <w:lang w:eastAsia="en-AU"/>
        </w:rPr>
      </w:r>
      <w:r w:rsidRPr="00382CC4">
        <w:rPr>
          <w:lang w:eastAsia="en-AU"/>
        </w:rPr>
        <w:fldChar w:fldCharType="separate"/>
      </w:r>
      <w:r w:rsidRPr="00382CC4">
        <w:rPr>
          <w:lang w:eastAsia="en-AU"/>
        </w:rPr>
        <w:t>Table 1</w:t>
      </w:r>
      <w:r w:rsidRPr="00382CC4">
        <w:rPr>
          <w:lang w:eastAsia="en-AU"/>
        </w:rPr>
        <w:fldChar w:fldCharType="end"/>
      </w:r>
      <w:r w:rsidRPr="00382CC4">
        <w:rPr>
          <w:lang w:eastAsia="en-AU"/>
        </w:rPr>
        <w:t>).</w:t>
      </w:r>
    </w:p>
    <w:p w14:paraId="34E0B08F" w14:textId="334A31BA" w:rsidR="00772829" w:rsidRPr="00CE28E3" w:rsidRDefault="00932DE9" w:rsidP="002A18BE">
      <w:pPr>
        <w:pStyle w:val="Heading2"/>
        <w:numPr>
          <w:ilvl w:val="0"/>
          <w:numId w:val="0"/>
        </w:numPr>
      </w:pPr>
      <w:bookmarkStart w:id="10" w:name="_Toc69491419"/>
      <w:bookmarkStart w:id="11" w:name="_Ref151979562"/>
      <w:bookmarkStart w:id="12" w:name="_Ref151979574"/>
      <w:bookmarkStart w:id="13" w:name="_Ref151979598"/>
      <w:bookmarkStart w:id="14" w:name="_Ref151979628"/>
      <w:bookmarkStart w:id="15" w:name="_Ref151979652"/>
      <w:r>
        <w:t>7</w:t>
      </w:r>
      <w:r w:rsidR="00C36633">
        <w:t>.</w:t>
      </w:r>
      <w:r w:rsidR="00C36633">
        <w:tab/>
      </w:r>
      <w:r w:rsidR="00772829" w:rsidRPr="00CE28E3">
        <w:t>Population</w:t>
      </w:r>
      <w:bookmarkEnd w:id="10"/>
      <w:bookmarkEnd w:id="11"/>
      <w:bookmarkEnd w:id="12"/>
      <w:bookmarkEnd w:id="13"/>
      <w:bookmarkEnd w:id="14"/>
      <w:bookmarkEnd w:id="15"/>
      <w:r w:rsidR="00772829" w:rsidRPr="00CE28E3">
        <w:t xml:space="preserve"> </w:t>
      </w:r>
    </w:p>
    <w:p w14:paraId="7471E163" w14:textId="614D8661" w:rsidR="00AA635A" w:rsidRDefault="00AA635A" w:rsidP="00B7688A">
      <w:pPr>
        <w:rPr>
          <w:rStyle w:val="normaltextrun"/>
          <w:rFonts w:cs="Segoe UI"/>
          <w:color w:val="000000"/>
          <w:shd w:val="clear" w:color="auto" w:fill="FFFFFF"/>
        </w:rPr>
      </w:pPr>
      <w:r>
        <w:rPr>
          <w:rStyle w:val="normaltextrun"/>
          <w:rFonts w:cs="Segoe UI"/>
          <w:color w:val="000000"/>
          <w:shd w:val="clear" w:color="auto" w:fill="FFFFFF"/>
        </w:rPr>
        <w:t xml:space="preserve">The </w:t>
      </w:r>
      <w:r w:rsidR="00F773C8">
        <w:rPr>
          <w:rStyle w:val="normaltextrun"/>
          <w:rFonts w:cs="Segoe UI"/>
          <w:color w:val="000000"/>
          <w:shd w:val="clear" w:color="auto" w:fill="FFFFFF"/>
        </w:rPr>
        <w:t xml:space="preserve">applicant reported that the target </w:t>
      </w:r>
      <w:r w:rsidR="0007534A">
        <w:rPr>
          <w:rStyle w:val="normaltextrun"/>
          <w:rFonts w:cs="Segoe UI"/>
          <w:color w:val="000000"/>
          <w:shd w:val="clear" w:color="auto" w:fill="FFFFFF"/>
        </w:rPr>
        <w:t>P</w:t>
      </w:r>
      <w:r w:rsidR="002E3ED3">
        <w:rPr>
          <w:rStyle w:val="normaltextrun"/>
          <w:rFonts w:cs="Segoe UI"/>
          <w:color w:val="000000"/>
          <w:shd w:val="clear" w:color="auto" w:fill="FFFFFF"/>
        </w:rPr>
        <w:t xml:space="preserve">BS population </w:t>
      </w:r>
      <w:r w:rsidR="00C06C85">
        <w:rPr>
          <w:rStyle w:val="normaltextrun"/>
          <w:rFonts w:cs="Segoe UI"/>
          <w:color w:val="000000"/>
          <w:shd w:val="clear" w:color="auto" w:fill="FFFFFF"/>
        </w:rPr>
        <w:t xml:space="preserve">to be treated with talazoparib </w:t>
      </w:r>
      <w:r w:rsidR="002E3ED3">
        <w:rPr>
          <w:rStyle w:val="normaltextrun"/>
          <w:rFonts w:cs="Segoe UI"/>
          <w:color w:val="000000"/>
          <w:shd w:val="clear" w:color="auto" w:fill="FFFFFF"/>
        </w:rPr>
        <w:t>was a</w:t>
      </w:r>
      <w:r w:rsidRPr="00AA635A">
        <w:rPr>
          <w:rStyle w:val="normaltextrun"/>
          <w:rFonts w:cs="Segoe UI"/>
          <w:color w:val="000000"/>
          <w:shd w:val="clear" w:color="auto" w:fill="FFFFFF"/>
        </w:rPr>
        <w:t xml:space="preserve">dult patients with </w:t>
      </w:r>
      <w:proofErr w:type="spellStart"/>
      <w:r w:rsidR="002E3ED3">
        <w:rPr>
          <w:rStyle w:val="normaltextrun"/>
          <w:rFonts w:cs="Segoe UI"/>
          <w:color w:val="000000"/>
          <w:shd w:val="clear" w:color="auto" w:fill="FFFFFF"/>
        </w:rPr>
        <w:t>mCRPC</w:t>
      </w:r>
      <w:proofErr w:type="spellEnd"/>
      <w:r w:rsidRPr="00AA635A">
        <w:rPr>
          <w:rStyle w:val="normaltextrun"/>
          <w:rFonts w:cs="Segoe UI"/>
          <w:color w:val="000000"/>
          <w:shd w:val="clear" w:color="auto" w:fill="FFFFFF"/>
        </w:rPr>
        <w:t xml:space="preserve"> with evidence of </w:t>
      </w:r>
      <w:r w:rsidR="00396C47">
        <w:rPr>
          <w:rStyle w:val="normaltextrun"/>
          <w:rFonts w:cs="Segoe UI"/>
          <w:color w:val="000000"/>
          <w:shd w:val="clear" w:color="auto" w:fill="FFFFFF"/>
        </w:rPr>
        <w:t xml:space="preserve">pathogenic </w:t>
      </w:r>
      <w:r w:rsidRPr="002E3ED3">
        <w:rPr>
          <w:rStyle w:val="normaltextrun"/>
          <w:rFonts w:cs="Segoe UI"/>
          <w:i/>
          <w:iCs/>
          <w:color w:val="000000"/>
          <w:shd w:val="clear" w:color="auto" w:fill="FFFFFF"/>
        </w:rPr>
        <w:t>BRCA1/2</w:t>
      </w:r>
      <w:r w:rsidRPr="00AA635A">
        <w:rPr>
          <w:rStyle w:val="normaltextrun"/>
          <w:rFonts w:cs="Segoe UI"/>
          <w:color w:val="000000"/>
          <w:shd w:val="clear" w:color="auto" w:fill="FFFFFF"/>
        </w:rPr>
        <w:t xml:space="preserve"> gene alterations and who have not been previously treated with a</w:t>
      </w:r>
      <w:r w:rsidR="0007534A">
        <w:rPr>
          <w:rStyle w:val="normaltextrun"/>
          <w:rFonts w:cs="Segoe UI"/>
          <w:color w:val="000000"/>
          <w:shd w:val="clear" w:color="auto" w:fill="FFFFFF"/>
        </w:rPr>
        <w:t>n NHA</w:t>
      </w:r>
      <w:r w:rsidR="00314EC3">
        <w:rPr>
          <w:rStyle w:val="normaltextrun"/>
          <w:rFonts w:cs="Segoe UI"/>
          <w:color w:val="000000"/>
          <w:shd w:val="clear" w:color="auto" w:fill="FFFFFF"/>
        </w:rPr>
        <w:t>.</w:t>
      </w:r>
      <w:r w:rsidR="00A00129">
        <w:rPr>
          <w:rStyle w:val="normaltextrun"/>
          <w:rFonts w:cs="Segoe UI"/>
          <w:color w:val="000000"/>
          <w:shd w:val="clear" w:color="auto" w:fill="FFFFFF"/>
        </w:rPr>
        <w:t xml:space="preserve"> </w:t>
      </w:r>
    </w:p>
    <w:p w14:paraId="7DF25AD7" w14:textId="2F184CA8" w:rsidR="00C04272" w:rsidRDefault="0007534A" w:rsidP="00B7688A">
      <w:pPr>
        <w:rPr>
          <w:rStyle w:val="normaltextrun"/>
          <w:rFonts w:cs="Segoe UI"/>
          <w:color w:val="000000"/>
          <w:shd w:val="clear" w:color="auto" w:fill="FFFFFF"/>
        </w:rPr>
      </w:pPr>
      <w:r>
        <w:rPr>
          <w:rStyle w:val="normaltextrun"/>
          <w:rFonts w:cs="Segoe UI"/>
          <w:color w:val="000000"/>
          <w:shd w:val="clear" w:color="auto" w:fill="FFFFFF"/>
        </w:rPr>
        <w:t xml:space="preserve">The </w:t>
      </w:r>
      <w:r w:rsidR="008526E6">
        <w:rPr>
          <w:rStyle w:val="normaltextrun"/>
          <w:rFonts w:cs="Segoe UI"/>
          <w:color w:val="000000"/>
          <w:shd w:val="clear" w:color="auto" w:fill="FFFFFF"/>
        </w:rPr>
        <w:t xml:space="preserve">minor </w:t>
      </w:r>
      <w:r w:rsidR="00C2451A">
        <w:rPr>
          <w:rStyle w:val="normaltextrun"/>
          <w:rFonts w:cs="Segoe UI"/>
          <w:color w:val="000000"/>
          <w:shd w:val="clear" w:color="auto" w:fill="FFFFFF"/>
        </w:rPr>
        <w:t xml:space="preserve">MSAC </w:t>
      </w:r>
      <w:r w:rsidR="008526E6">
        <w:rPr>
          <w:rStyle w:val="normaltextrun"/>
          <w:rFonts w:cs="Segoe UI"/>
          <w:color w:val="000000"/>
          <w:shd w:val="clear" w:color="auto" w:fill="FFFFFF"/>
        </w:rPr>
        <w:t xml:space="preserve">submission </w:t>
      </w:r>
      <w:r w:rsidR="00C2451A">
        <w:rPr>
          <w:rStyle w:val="normaltextrun"/>
          <w:rFonts w:cs="Segoe UI"/>
          <w:color w:val="000000"/>
          <w:shd w:val="clear" w:color="auto" w:fill="FFFFFF"/>
        </w:rPr>
        <w:t xml:space="preserve">did not explicitly state the </w:t>
      </w:r>
      <w:r>
        <w:rPr>
          <w:rStyle w:val="normaltextrun"/>
          <w:rFonts w:cs="Segoe UI"/>
          <w:color w:val="000000"/>
          <w:shd w:val="clear" w:color="auto" w:fill="FFFFFF"/>
        </w:rPr>
        <w:t>proposed population eligible for testing</w:t>
      </w:r>
      <w:r w:rsidR="00A03323">
        <w:rPr>
          <w:rStyle w:val="normaltextrun"/>
          <w:rFonts w:cs="Segoe UI"/>
          <w:color w:val="000000"/>
          <w:shd w:val="clear" w:color="auto" w:fill="FFFFFF"/>
        </w:rPr>
        <w:t xml:space="preserve"> although provid</w:t>
      </w:r>
      <w:r w:rsidR="00C24845">
        <w:rPr>
          <w:rStyle w:val="normaltextrun"/>
          <w:rFonts w:cs="Segoe UI"/>
          <w:color w:val="000000"/>
          <w:shd w:val="clear" w:color="auto" w:fill="FFFFFF"/>
        </w:rPr>
        <w:t>ed</w:t>
      </w:r>
      <w:r w:rsidR="00A03323">
        <w:rPr>
          <w:rStyle w:val="normaltextrun"/>
          <w:rFonts w:cs="Segoe UI"/>
          <w:color w:val="000000"/>
          <w:shd w:val="clear" w:color="auto" w:fill="FFFFFF"/>
        </w:rPr>
        <w:t xml:space="preserve"> </w:t>
      </w:r>
      <w:r w:rsidR="006764EF">
        <w:rPr>
          <w:rStyle w:val="normaltextrun"/>
          <w:rFonts w:cs="Segoe UI"/>
          <w:color w:val="000000"/>
          <w:shd w:val="clear" w:color="auto" w:fill="FFFFFF"/>
        </w:rPr>
        <w:t xml:space="preserve">eligible patient estimates based on the number of </w:t>
      </w:r>
      <w:r w:rsidR="008179E2">
        <w:rPr>
          <w:rStyle w:val="normaltextrun"/>
          <w:rFonts w:cs="Segoe UI"/>
          <w:color w:val="000000"/>
          <w:shd w:val="clear" w:color="auto" w:fill="FFFFFF"/>
        </w:rPr>
        <w:t xml:space="preserve">new diagnoses of </w:t>
      </w:r>
      <w:proofErr w:type="spellStart"/>
      <w:r w:rsidR="0062178A">
        <w:rPr>
          <w:rStyle w:val="normaltextrun"/>
          <w:rFonts w:cs="Segoe UI"/>
          <w:color w:val="000000"/>
          <w:shd w:val="clear" w:color="auto" w:fill="FFFFFF"/>
        </w:rPr>
        <w:t>mCRPC</w:t>
      </w:r>
      <w:proofErr w:type="spellEnd"/>
      <w:r w:rsidR="0062178A">
        <w:rPr>
          <w:rStyle w:val="normaltextrun"/>
          <w:rFonts w:cs="Segoe UI"/>
          <w:color w:val="000000"/>
          <w:shd w:val="clear" w:color="auto" w:fill="FFFFFF"/>
        </w:rPr>
        <w:t xml:space="preserve"> </w:t>
      </w:r>
      <w:r w:rsidR="008179E2">
        <w:rPr>
          <w:rStyle w:val="normaltextrun"/>
          <w:rFonts w:cs="Segoe UI"/>
          <w:color w:val="000000"/>
          <w:shd w:val="clear" w:color="auto" w:fill="FFFFFF"/>
        </w:rPr>
        <w:t>(</w:t>
      </w:r>
      <w:r w:rsidR="00873281">
        <w:rPr>
          <w:rStyle w:val="normaltextrun"/>
          <w:rFonts w:cs="Segoe UI"/>
          <w:color w:val="000000"/>
          <w:shd w:val="clear" w:color="auto" w:fill="FFFFFF"/>
        </w:rPr>
        <w:fldChar w:fldCharType="begin"/>
      </w:r>
      <w:r w:rsidR="00873281">
        <w:rPr>
          <w:rStyle w:val="normaltextrun"/>
          <w:rFonts w:cs="Segoe UI"/>
          <w:color w:val="000000"/>
          <w:shd w:val="clear" w:color="auto" w:fill="FFFFFF"/>
        </w:rPr>
        <w:instrText xml:space="preserve"> REF _Ref164367516 \h </w:instrText>
      </w:r>
      <w:r w:rsidR="00873281">
        <w:rPr>
          <w:rStyle w:val="normaltextrun"/>
          <w:rFonts w:cs="Segoe UI"/>
          <w:color w:val="000000"/>
          <w:shd w:val="clear" w:color="auto" w:fill="FFFFFF"/>
        </w:rPr>
      </w:r>
      <w:r w:rsidR="00873281">
        <w:rPr>
          <w:rStyle w:val="normaltextrun"/>
          <w:rFonts w:cs="Segoe UI"/>
          <w:color w:val="000000"/>
          <w:shd w:val="clear" w:color="auto" w:fill="FFFFFF"/>
        </w:rPr>
        <w:fldChar w:fldCharType="separate"/>
      </w:r>
      <w:r w:rsidR="0096078A">
        <w:t xml:space="preserve">Table </w:t>
      </w:r>
      <w:r w:rsidR="0096078A">
        <w:rPr>
          <w:noProof/>
        </w:rPr>
        <w:t>5</w:t>
      </w:r>
      <w:r w:rsidR="00873281">
        <w:rPr>
          <w:rStyle w:val="normaltextrun"/>
          <w:rFonts w:cs="Segoe UI"/>
          <w:color w:val="000000"/>
          <w:shd w:val="clear" w:color="auto" w:fill="FFFFFF"/>
        </w:rPr>
        <w:fldChar w:fldCharType="end"/>
      </w:r>
      <w:r w:rsidR="008179E2">
        <w:rPr>
          <w:rStyle w:val="normaltextrun"/>
          <w:rFonts w:cs="Segoe UI"/>
          <w:color w:val="000000"/>
          <w:shd w:val="clear" w:color="auto" w:fill="FFFFFF"/>
        </w:rPr>
        <w:t>).</w:t>
      </w:r>
      <w:r w:rsidR="00C04272" w:rsidRPr="00C04272">
        <w:t xml:space="preserve"> </w:t>
      </w:r>
      <w:r w:rsidR="00C04272" w:rsidRPr="00C04272">
        <w:rPr>
          <w:rStyle w:val="normaltextrun"/>
          <w:rFonts w:cs="Segoe UI"/>
          <w:color w:val="000000"/>
          <w:shd w:val="clear" w:color="auto" w:fill="FFFFFF"/>
        </w:rPr>
        <w:t xml:space="preserve">The </w:t>
      </w:r>
      <w:r w:rsidR="005312AE">
        <w:rPr>
          <w:rStyle w:val="normaltextrun"/>
          <w:rFonts w:cs="Segoe UI"/>
          <w:color w:val="000000"/>
          <w:shd w:val="clear" w:color="auto" w:fill="FFFFFF"/>
        </w:rPr>
        <w:t xml:space="preserve">submission </w:t>
      </w:r>
      <w:r w:rsidR="002E71A9">
        <w:rPr>
          <w:rStyle w:val="normaltextrun"/>
          <w:rFonts w:cs="Segoe UI"/>
          <w:color w:val="000000"/>
          <w:shd w:val="clear" w:color="auto" w:fill="FFFFFF"/>
        </w:rPr>
        <w:t xml:space="preserve">also reported that </w:t>
      </w:r>
      <w:proofErr w:type="spellStart"/>
      <w:r w:rsidR="00C04272" w:rsidRPr="00C04272">
        <w:rPr>
          <w:rStyle w:val="normaltextrun"/>
          <w:rFonts w:cs="Segoe UI"/>
          <w:color w:val="000000"/>
          <w:shd w:val="clear" w:color="auto" w:fill="FFFFFF"/>
        </w:rPr>
        <w:t>eviQ</w:t>
      </w:r>
      <w:proofErr w:type="spellEnd"/>
      <w:r w:rsidR="00C04272" w:rsidRPr="00C04272">
        <w:rPr>
          <w:rStyle w:val="normaltextrun"/>
          <w:rFonts w:cs="Segoe UI"/>
          <w:color w:val="000000"/>
          <w:shd w:val="clear" w:color="auto" w:fill="FFFFFF"/>
        </w:rPr>
        <w:t xml:space="preserve"> consensus statement for prostate cancer panel testing recommend </w:t>
      </w:r>
      <w:r w:rsidR="00C04272" w:rsidRPr="002E71A9">
        <w:rPr>
          <w:rStyle w:val="normaltextrun"/>
          <w:rFonts w:cs="Segoe UI"/>
          <w:i/>
          <w:iCs/>
          <w:color w:val="000000"/>
          <w:shd w:val="clear" w:color="auto" w:fill="FFFFFF"/>
        </w:rPr>
        <w:t>BRCA</w:t>
      </w:r>
      <w:r w:rsidR="00C04272" w:rsidRPr="00C04272">
        <w:rPr>
          <w:rStyle w:val="normaltextrun"/>
          <w:rFonts w:cs="Segoe UI"/>
          <w:color w:val="000000"/>
          <w:shd w:val="clear" w:color="auto" w:fill="FFFFFF"/>
        </w:rPr>
        <w:t xml:space="preserve"> testing in patients with prostate cancer and ≥ 10% probability of detecting a </w:t>
      </w:r>
      <w:r w:rsidR="00C04272" w:rsidRPr="005312AE">
        <w:rPr>
          <w:rStyle w:val="normaltextrun"/>
          <w:rFonts w:cs="Segoe UI"/>
          <w:i/>
          <w:iCs/>
          <w:color w:val="000000"/>
          <w:shd w:val="clear" w:color="auto" w:fill="FFFFFF"/>
        </w:rPr>
        <w:t>BRCA1</w:t>
      </w:r>
      <w:r w:rsidR="00C04272" w:rsidRPr="00C04272">
        <w:rPr>
          <w:rStyle w:val="normaltextrun"/>
          <w:rFonts w:cs="Segoe UI"/>
          <w:color w:val="000000"/>
          <w:shd w:val="clear" w:color="auto" w:fill="FFFFFF"/>
        </w:rPr>
        <w:t xml:space="preserve"> or </w:t>
      </w:r>
      <w:r w:rsidR="00C04272" w:rsidRPr="005312AE">
        <w:rPr>
          <w:rStyle w:val="normaltextrun"/>
          <w:rFonts w:cs="Segoe UI"/>
          <w:i/>
          <w:iCs/>
          <w:color w:val="000000"/>
          <w:shd w:val="clear" w:color="auto" w:fill="FFFFFF"/>
        </w:rPr>
        <w:t>BRCA2</w:t>
      </w:r>
      <w:r w:rsidR="00C04272" w:rsidRPr="00C04272">
        <w:rPr>
          <w:rStyle w:val="normaltextrun"/>
          <w:rFonts w:cs="Segoe UI"/>
          <w:color w:val="000000"/>
          <w:shd w:val="clear" w:color="auto" w:fill="FFFFFF"/>
        </w:rPr>
        <w:t xml:space="preserve"> gene variant using a validated pathogenic variant prediction tool</w:t>
      </w:r>
      <w:r w:rsidR="00C92F27">
        <w:rPr>
          <w:rStyle w:val="normaltextrun"/>
          <w:rFonts w:cs="Segoe UI"/>
          <w:color w:val="000000"/>
          <w:shd w:val="clear" w:color="auto" w:fill="FFFFFF"/>
        </w:rPr>
        <w:t>.</w:t>
      </w:r>
    </w:p>
    <w:p w14:paraId="66BDFCC1" w14:textId="1ABD8A81" w:rsidR="00772829" w:rsidRDefault="00932DE9" w:rsidP="002A18BE">
      <w:pPr>
        <w:pStyle w:val="Heading2"/>
        <w:numPr>
          <w:ilvl w:val="0"/>
          <w:numId w:val="0"/>
        </w:numPr>
      </w:pPr>
      <w:bookmarkStart w:id="16" w:name="_Toc69491420"/>
      <w:r>
        <w:t>8</w:t>
      </w:r>
      <w:r w:rsidR="00C36633" w:rsidRPr="003D1053">
        <w:t>.</w:t>
      </w:r>
      <w:r w:rsidR="00C36633" w:rsidRPr="003D1053">
        <w:tab/>
      </w:r>
      <w:r w:rsidR="00772829" w:rsidRPr="003D1053">
        <w:t>Comparator</w:t>
      </w:r>
      <w:bookmarkEnd w:id="16"/>
    </w:p>
    <w:p w14:paraId="1BE37270" w14:textId="0B670F67" w:rsidR="00A54D32" w:rsidRPr="00A54D32" w:rsidRDefault="00F93538" w:rsidP="00A54D32">
      <w:r>
        <w:t xml:space="preserve">This minor MSAC submission did not nominate any comparator </w:t>
      </w:r>
      <w:r w:rsidR="009E03B1">
        <w:t xml:space="preserve">for the proposed testing </w:t>
      </w:r>
      <w:r>
        <w:t xml:space="preserve">but reported that the </w:t>
      </w:r>
      <w:r w:rsidR="00551D1A">
        <w:t>PBAC submission nominated enzalutamide as the main comparator for talazoparib + enzalutamide combination therapy.</w:t>
      </w:r>
    </w:p>
    <w:p w14:paraId="1F09CA74" w14:textId="77777777" w:rsidR="00932DE9" w:rsidRDefault="00932DE9" w:rsidP="00932DE9">
      <w:pPr>
        <w:pStyle w:val="Heading2"/>
        <w:numPr>
          <w:ilvl w:val="0"/>
          <w:numId w:val="0"/>
        </w:numPr>
      </w:pPr>
      <w:bookmarkStart w:id="17" w:name="_Toc69491422"/>
      <w:r>
        <w:t>9.</w:t>
      </w:r>
      <w:r>
        <w:tab/>
      </w:r>
      <w:r w:rsidRPr="00CE28E3">
        <w:t xml:space="preserve">Summary of public consultation </w:t>
      </w:r>
      <w:r>
        <w:t>input</w:t>
      </w:r>
    </w:p>
    <w:p w14:paraId="548ACD3B" w14:textId="77777777" w:rsidR="00A54D32" w:rsidRPr="00A54D32" w:rsidRDefault="00A54D32" w:rsidP="00A54D32">
      <w:pPr>
        <w:pStyle w:val="paragraph"/>
        <w:spacing w:before="0" w:beforeAutospacing="0" w:after="0" w:afterAutospacing="0"/>
        <w:textAlignment w:val="baseline"/>
        <w:rPr>
          <w:rFonts w:ascii="Franklin Gothic Book" w:hAnsi="Franklin Gothic Book" w:cs="Calibri"/>
          <w:sz w:val="22"/>
          <w:szCs w:val="22"/>
        </w:rPr>
      </w:pPr>
      <w:r w:rsidRPr="00A54D32">
        <w:rPr>
          <w:rStyle w:val="normaltextrun"/>
          <w:rFonts w:ascii="Franklin Gothic Book" w:hAnsi="Franklin Gothic Book" w:cs="Calibri"/>
          <w:sz w:val="22"/>
          <w:szCs w:val="22"/>
        </w:rPr>
        <w:t>MSAC noted and welcomed consultation input from three (3) professional organisations.</w:t>
      </w:r>
      <w:r w:rsidRPr="00A54D32">
        <w:rPr>
          <w:rStyle w:val="eop"/>
          <w:rFonts w:ascii="Franklin Gothic Book" w:hAnsi="Franklin Gothic Book" w:cs="Calibri"/>
          <w:sz w:val="22"/>
          <w:szCs w:val="22"/>
        </w:rPr>
        <w:t> </w:t>
      </w:r>
    </w:p>
    <w:p w14:paraId="6BF03296" w14:textId="77777777" w:rsidR="00A54D32" w:rsidRPr="00A54D32" w:rsidRDefault="00A54D32" w:rsidP="00A54D32">
      <w:pPr>
        <w:pStyle w:val="paragraph"/>
        <w:numPr>
          <w:ilvl w:val="0"/>
          <w:numId w:val="13"/>
        </w:numPr>
        <w:spacing w:before="0" w:beforeAutospacing="0" w:after="0" w:afterAutospacing="0"/>
        <w:textAlignment w:val="baseline"/>
        <w:rPr>
          <w:rFonts w:ascii="Franklin Gothic Book" w:hAnsi="Franklin Gothic Book" w:cs="Calibri"/>
          <w:sz w:val="22"/>
          <w:szCs w:val="22"/>
        </w:rPr>
      </w:pPr>
      <w:r w:rsidRPr="00A54D32">
        <w:rPr>
          <w:rStyle w:val="normaltextrun"/>
          <w:rFonts w:ascii="Franklin Gothic Book" w:hAnsi="Franklin Gothic Book" w:cs="Calibri"/>
          <w:sz w:val="22"/>
          <w:szCs w:val="22"/>
        </w:rPr>
        <w:t>Public Pathology Australia </w:t>
      </w:r>
      <w:r w:rsidRPr="00A54D32">
        <w:rPr>
          <w:rStyle w:val="eop"/>
          <w:rFonts w:ascii="Franklin Gothic Book" w:hAnsi="Franklin Gothic Book" w:cs="Calibri"/>
          <w:sz w:val="22"/>
          <w:szCs w:val="22"/>
        </w:rPr>
        <w:t> </w:t>
      </w:r>
    </w:p>
    <w:p w14:paraId="78D1A2BE" w14:textId="77777777" w:rsidR="00A54D32" w:rsidRPr="00A54D32" w:rsidRDefault="00A54D32" w:rsidP="00A54D32">
      <w:pPr>
        <w:pStyle w:val="paragraph"/>
        <w:numPr>
          <w:ilvl w:val="0"/>
          <w:numId w:val="13"/>
        </w:numPr>
        <w:spacing w:before="0" w:beforeAutospacing="0" w:after="0" w:afterAutospacing="0"/>
        <w:textAlignment w:val="baseline"/>
        <w:rPr>
          <w:rFonts w:ascii="Franklin Gothic Book" w:hAnsi="Franklin Gothic Book" w:cs="Calibri"/>
          <w:sz w:val="22"/>
          <w:szCs w:val="22"/>
        </w:rPr>
      </w:pPr>
      <w:r w:rsidRPr="00A54D32">
        <w:rPr>
          <w:rStyle w:val="normaltextrun"/>
          <w:rFonts w:ascii="Franklin Gothic Book" w:hAnsi="Franklin Gothic Book" w:cs="Calibri"/>
          <w:sz w:val="22"/>
          <w:szCs w:val="22"/>
        </w:rPr>
        <w:t>Urological Society of Australia and New Zealand</w:t>
      </w:r>
      <w:r w:rsidRPr="00A54D32">
        <w:rPr>
          <w:rStyle w:val="eop"/>
          <w:rFonts w:ascii="Franklin Gothic Book" w:hAnsi="Franklin Gothic Book" w:cs="Calibri"/>
          <w:sz w:val="22"/>
          <w:szCs w:val="22"/>
        </w:rPr>
        <w:t> </w:t>
      </w:r>
    </w:p>
    <w:p w14:paraId="20B0656C" w14:textId="6D85C75D" w:rsidR="00A54D32" w:rsidRPr="00A54D32" w:rsidRDefault="00A54D32" w:rsidP="00A54D32">
      <w:pPr>
        <w:pStyle w:val="paragraph"/>
        <w:numPr>
          <w:ilvl w:val="0"/>
          <w:numId w:val="13"/>
        </w:numPr>
        <w:spacing w:before="0" w:beforeAutospacing="0" w:after="0" w:afterAutospacing="0"/>
        <w:textAlignment w:val="baseline"/>
        <w:rPr>
          <w:rFonts w:ascii="Franklin Gothic Book" w:hAnsi="Franklin Gothic Book" w:cs="Calibri"/>
          <w:sz w:val="22"/>
          <w:szCs w:val="22"/>
        </w:rPr>
      </w:pPr>
      <w:r w:rsidRPr="00A54D32">
        <w:rPr>
          <w:rStyle w:val="normaltextrun"/>
          <w:rFonts w:ascii="Franklin Gothic Book" w:hAnsi="Franklin Gothic Book" w:cs="Calibri"/>
          <w:sz w:val="22"/>
          <w:szCs w:val="22"/>
        </w:rPr>
        <w:t>Australian Genomics</w:t>
      </w:r>
      <w:r w:rsidRPr="00A54D32">
        <w:rPr>
          <w:rStyle w:val="eop"/>
          <w:rFonts w:ascii="Franklin Gothic Book" w:hAnsi="Franklin Gothic Book" w:cs="Calibri"/>
          <w:sz w:val="22"/>
          <w:szCs w:val="22"/>
        </w:rPr>
        <w:t> </w:t>
      </w:r>
    </w:p>
    <w:p w14:paraId="2A2FA791" w14:textId="77777777" w:rsidR="00A54D32" w:rsidRPr="00A54D32" w:rsidRDefault="00A54D32" w:rsidP="00A54D32">
      <w:pPr>
        <w:pStyle w:val="paragraph"/>
        <w:spacing w:before="240" w:beforeAutospacing="0" w:after="0" w:afterAutospacing="0"/>
        <w:textAlignment w:val="baseline"/>
        <w:rPr>
          <w:rFonts w:ascii="Franklin Gothic Book" w:hAnsi="Franklin Gothic Book" w:cs="Calibri"/>
          <w:sz w:val="22"/>
          <w:szCs w:val="22"/>
        </w:rPr>
      </w:pPr>
      <w:r w:rsidRPr="00A54D32">
        <w:rPr>
          <w:rStyle w:val="normaltextrun"/>
          <w:rFonts w:ascii="Franklin Gothic Book" w:hAnsi="Franklin Gothic Book" w:cs="Calibri"/>
          <w:b/>
          <w:bCs/>
          <w:sz w:val="22"/>
          <w:szCs w:val="22"/>
        </w:rPr>
        <w:t>Benefits </w:t>
      </w:r>
      <w:r w:rsidRPr="00A54D32">
        <w:rPr>
          <w:rStyle w:val="eop"/>
          <w:rFonts w:ascii="Franklin Gothic Book" w:hAnsi="Franklin Gothic Book" w:cs="Calibri"/>
          <w:sz w:val="22"/>
          <w:szCs w:val="22"/>
        </w:rPr>
        <w:t> </w:t>
      </w:r>
    </w:p>
    <w:p w14:paraId="013C3C86" w14:textId="77777777" w:rsidR="00A54D32" w:rsidRPr="00A54D32" w:rsidRDefault="00A54D32" w:rsidP="00A54D32">
      <w:pPr>
        <w:pStyle w:val="paragraph"/>
        <w:numPr>
          <w:ilvl w:val="0"/>
          <w:numId w:val="14"/>
        </w:numPr>
        <w:spacing w:before="0" w:beforeAutospacing="0" w:after="0" w:afterAutospacing="0"/>
        <w:textAlignment w:val="baseline"/>
        <w:rPr>
          <w:rFonts w:ascii="Franklin Gothic Book" w:hAnsi="Franklin Gothic Book" w:cs="Calibri"/>
          <w:sz w:val="22"/>
          <w:szCs w:val="22"/>
        </w:rPr>
      </w:pPr>
      <w:r w:rsidRPr="00A54D32">
        <w:rPr>
          <w:rStyle w:val="normaltextrun"/>
          <w:rFonts w:ascii="Franklin Gothic Book" w:hAnsi="Franklin Gothic Book" w:cs="Calibri"/>
          <w:sz w:val="22"/>
          <w:szCs w:val="22"/>
        </w:rPr>
        <w:t>The proposed combination therapy (talazoparib + enzalutamide) would significantly improve the oncologic outcomes of patients and take an important step towards personalising therapies by selecting those who would benefit the most.</w:t>
      </w:r>
      <w:r w:rsidRPr="00A54D32">
        <w:rPr>
          <w:rStyle w:val="eop"/>
          <w:rFonts w:ascii="Franklin Gothic Book" w:hAnsi="Franklin Gothic Book" w:cs="Calibri"/>
          <w:sz w:val="22"/>
          <w:szCs w:val="22"/>
        </w:rPr>
        <w:t> </w:t>
      </w:r>
    </w:p>
    <w:p w14:paraId="7EEA81CB" w14:textId="455FCED5" w:rsidR="00A54D32" w:rsidRPr="00A54D32" w:rsidRDefault="00A54D32" w:rsidP="00A54D32">
      <w:pPr>
        <w:pStyle w:val="paragraph"/>
        <w:numPr>
          <w:ilvl w:val="0"/>
          <w:numId w:val="14"/>
        </w:numPr>
        <w:spacing w:before="0" w:beforeAutospacing="0" w:after="0" w:afterAutospacing="0"/>
        <w:textAlignment w:val="baseline"/>
        <w:rPr>
          <w:rFonts w:ascii="Franklin Gothic Book" w:hAnsi="Franklin Gothic Book" w:cs="Calibri"/>
          <w:sz w:val="22"/>
          <w:szCs w:val="22"/>
        </w:rPr>
      </w:pPr>
      <w:r w:rsidRPr="00A54D32">
        <w:rPr>
          <w:rStyle w:val="normaltextrun"/>
          <w:rFonts w:ascii="Franklin Gothic Book" w:hAnsi="Franklin Gothic Book" w:cs="Calibri"/>
          <w:sz w:val="22"/>
          <w:szCs w:val="22"/>
        </w:rPr>
        <w:lastRenderedPageBreak/>
        <w:t xml:space="preserve">Provides an alternative PARP inhibitor treatment option for patients with </w:t>
      </w:r>
      <w:proofErr w:type="spellStart"/>
      <w:r w:rsidRPr="00A54D32">
        <w:rPr>
          <w:rStyle w:val="normaltextrun"/>
          <w:rFonts w:ascii="Franklin Gothic Book" w:hAnsi="Franklin Gothic Book" w:cs="Calibri"/>
          <w:sz w:val="22"/>
          <w:szCs w:val="22"/>
        </w:rPr>
        <w:t>mCRPC</w:t>
      </w:r>
      <w:proofErr w:type="spellEnd"/>
      <w:r w:rsidRPr="00A54D32">
        <w:rPr>
          <w:rStyle w:val="normaltextrun"/>
          <w:rFonts w:ascii="Franklin Gothic Book" w:hAnsi="Franklin Gothic Book" w:cs="Calibri"/>
          <w:sz w:val="22"/>
          <w:szCs w:val="22"/>
        </w:rPr>
        <w:t>, noting the effectiveness of PARP inhibitors may vary with dosing and homologous recombination repair gene status. </w:t>
      </w:r>
      <w:r w:rsidRPr="00A54D32">
        <w:rPr>
          <w:rStyle w:val="eop"/>
          <w:rFonts w:ascii="Franklin Gothic Book" w:hAnsi="Franklin Gothic Book" w:cs="Calibri"/>
          <w:sz w:val="22"/>
          <w:szCs w:val="22"/>
        </w:rPr>
        <w:t> </w:t>
      </w:r>
    </w:p>
    <w:p w14:paraId="058253E5" w14:textId="77777777" w:rsidR="00A54D32" w:rsidRPr="00A54D32" w:rsidRDefault="00A54D32" w:rsidP="00A54D32">
      <w:pPr>
        <w:pStyle w:val="paragraph"/>
        <w:numPr>
          <w:ilvl w:val="0"/>
          <w:numId w:val="14"/>
        </w:numPr>
        <w:spacing w:before="0" w:beforeAutospacing="0" w:after="0" w:afterAutospacing="0"/>
        <w:textAlignment w:val="baseline"/>
        <w:rPr>
          <w:rFonts w:ascii="Franklin Gothic Book" w:hAnsi="Franklin Gothic Book" w:cs="Calibri"/>
          <w:sz w:val="22"/>
          <w:szCs w:val="22"/>
        </w:rPr>
      </w:pPr>
      <w:r w:rsidRPr="00A54D32">
        <w:rPr>
          <w:rStyle w:val="normaltextrun"/>
          <w:rFonts w:ascii="Franklin Gothic Book" w:hAnsi="Franklin Gothic Book" w:cs="Calibri"/>
          <w:sz w:val="22"/>
          <w:szCs w:val="22"/>
        </w:rPr>
        <w:t>Improves quality of life, with clinical trial data showing talazoparib treatment lengthens progression-free survival.</w:t>
      </w:r>
      <w:r w:rsidRPr="00A54D32">
        <w:rPr>
          <w:rStyle w:val="eop"/>
          <w:rFonts w:ascii="Franklin Gothic Book" w:hAnsi="Franklin Gothic Book" w:cs="Calibri"/>
          <w:sz w:val="22"/>
          <w:szCs w:val="22"/>
        </w:rPr>
        <w:t> </w:t>
      </w:r>
    </w:p>
    <w:p w14:paraId="73D91CAE" w14:textId="77777777" w:rsidR="00A54D32" w:rsidRPr="00A54D32" w:rsidRDefault="00A54D32" w:rsidP="00A54D32">
      <w:pPr>
        <w:pStyle w:val="paragraph"/>
        <w:numPr>
          <w:ilvl w:val="0"/>
          <w:numId w:val="14"/>
        </w:numPr>
        <w:spacing w:before="0" w:beforeAutospacing="0" w:after="0" w:afterAutospacing="0"/>
        <w:textAlignment w:val="baseline"/>
        <w:rPr>
          <w:rFonts w:ascii="Franklin Gothic Book" w:hAnsi="Franklin Gothic Book" w:cs="Calibri"/>
          <w:sz w:val="22"/>
          <w:szCs w:val="22"/>
        </w:rPr>
      </w:pPr>
      <w:r w:rsidRPr="00A54D32">
        <w:rPr>
          <w:rStyle w:val="normaltextrun"/>
          <w:rFonts w:ascii="Franklin Gothic Book" w:hAnsi="Franklin Gothic Book" w:cs="Calibri"/>
          <w:sz w:val="22"/>
          <w:szCs w:val="22"/>
        </w:rPr>
        <w:t>Potential overall reduction of costs of health services. </w:t>
      </w:r>
      <w:r w:rsidRPr="00A54D32">
        <w:rPr>
          <w:rStyle w:val="eop"/>
          <w:rFonts w:ascii="Franklin Gothic Book" w:hAnsi="Franklin Gothic Book" w:cs="Calibri"/>
          <w:sz w:val="22"/>
          <w:szCs w:val="22"/>
        </w:rPr>
        <w:t> </w:t>
      </w:r>
    </w:p>
    <w:p w14:paraId="65275B27" w14:textId="6E0C9AC4" w:rsidR="00A54D32" w:rsidRPr="00A54D32" w:rsidRDefault="00A54D32" w:rsidP="00A54D32">
      <w:pPr>
        <w:pStyle w:val="paragraph"/>
        <w:numPr>
          <w:ilvl w:val="0"/>
          <w:numId w:val="14"/>
        </w:numPr>
        <w:spacing w:before="0" w:beforeAutospacing="0" w:after="0" w:afterAutospacing="0"/>
        <w:textAlignment w:val="baseline"/>
        <w:rPr>
          <w:rFonts w:ascii="Franklin Gothic Book" w:hAnsi="Franklin Gothic Book" w:cs="Calibri"/>
          <w:sz w:val="22"/>
          <w:szCs w:val="22"/>
        </w:rPr>
      </w:pPr>
      <w:r w:rsidRPr="00A54D32">
        <w:rPr>
          <w:rStyle w:val="normaltextrun"/>
          <w:rFonts w:ascii="Franklin Gothic Book" w:hAnsi="Franklin Gothic Book" w:cs="Calibri"/>
          <w:sz w:val="22"/>
          <w:szCs w:val="22"/>
        </w:rPr>
        <w:t>Equity of access for all patients to have the best standard of care for this condition and reduces the financial burden to patients.</w:t>
      </w:r>
      <w:r w:rsidRPr="00A54D32">
        <w:rPr>
          <w:rStyle w:val="eop"/>
          <w:rFonts w:ascii="Franklin Gothic Book" w:hAnsi="Franklin Gothic Book" w:cs="Calibri"/>
          <w:sz w:val="22"/>
          <w:szCs w:val="22"/>
        </w:rPr>
        <w:t> </w:t>
      </w:r>
    </w:p>
    <w:p w14:paraId="31E0C534" w14:textId="77777777" w:rsidR="00A54D32" w:rsidRPr="00A54D32" w:rsidRDefault="00A54D32" w:rsidP="00A54D32">
      <w:pPr>
        <w:pStyle w:val="paragraph"/>
        <w:spacing w:before="240" w:beforeAutospacing="0" w:after="0" w:afterAutospacing="0"/>
        <w:textAlignment w:val="baseline"/>
        <w:rPr>
          <w:rFonts w:ascii="Franklin Gothic Book" w:hAnsi="Franklin Gothic Book" w:cs="Calibri"/>
          <w:sz w:val="22"/>
          <w:szCs w:val="22"/>
        </w:rPr>
      </w:pPr>
      <w:r w:rsidRPr="00A54D32">
        <w:rPr>
          <w:rStyle w:val="normaltextrun"/>
          <w:rFonts w:ascii="Franklin Gothic Book" w:hAnsi="Franklin Gothic Book" w:cs="Calibri"/>
          <w:b/>
          <w:bCs/>
          <w:sz w:val="22"/>
          <w:szCs w:val="22"/>
        </w:rPr>
        <w:t>Disadvantages </w:t>
      </w:r>
      <w:r w:rsidRPr="00A54D32">
        <w:rPr>
          <w:rStyle w:val="eop"/>
          <w:rFonts w:ascii="Franklin Gothic Book" w:hAnsi="Franklin Gothic Book" w:cs="Calibri"/>
          <w:sz w:val="22"/>
          <w:szCs w:val="22"/>
        </w:rPr>
        <w:t> </w:t>
      </w:r>
    </w:p>
    <w:p w14:paraId="16FA3429" w14:textId="77777777" w:rsidR="00A54D32" w:rsidRPr="007D56EF" w:rsidRDefault="00A54D32" w:rsidP="00A54D32">
      <w:pPr>
        <w:pStyle w:val="paragraph"/>
        <w:numPr>
          <w:ilvl w:val="0"/>
          <w:numId w:val="15"/>
        </w:numPr>
        <w:spacing w:before="0" w:beforeAutospacing="0" w:after="0" w:afterAutospacing="0"/>
        <w:textAlignment w:val="baseline"/>
        <w:rPr>
          <w:rFonts w:ascii="Franklin Gothic Book" w:hAnsi="Franklin Gothic Book" w:cs="Calibri"/>
          <w:sz w:val="22"/>
          <w:szCs w:val="22"/>
        </w:rPr>
      </w:pPr>
      <w:r w:rsidRPr="00A54D32">
        <w:rPr>
          <w:rStyle w:val="normaltextrun"/>
          <w:rFonts w:ascii="Franklin Gothic Book" w:hAnsi="Franklin Gothic Book" w:cs="Calibri"/>
          <w:sz w:val="22"/>
          <w:szCs w:val="22"/>
        </w:rPr>
        <w:t xml:space="preserve">Potential side effects </w:t>
      </w:r>
      <w:r w:rsidRPr="007D56EF">
        <w:rPr>
          <w:rStyle w:val="normaltextrun"/>
          <w:rFonts w:ascii="Franklin Gothic Book" w:hAnsi="Franklin Gothic Book" w:cs="Calibri"/>
          <w:sz w:val="22"/>
          <w:szCs w:val="22"/>
        </w:rPr>
        <w:t xml:space="preserve">included anaemia, </w:t>
      </w:r>
      <w:proofErr w:type="gramStart"/>
      <w:r w:rsidRPr="007D56EF">
        <w:rPr>
          <w:rStyle w:val="normaltextrun"/>
          <w:rFonts w:ascii="Franklin Gothic Book" w:hAnsi="Franklin Gothic Book" w:cs="Calibri"/>
          <w:sz w:val="22"/>
          <w:szCs w:val="22"/>
        </w:rPr>
        <w:t>neutropenia</w:t>
      </w:r>
      <w:proofErr w:type="gramEnd"/>
      <w:r w:rsidRPr="007D56EF">
        <w:rPr>
          <w:rStyle w:val="normaltextrun"/>
          <w:rFonts w:ascii="Franklin Gothic Book" w:hAnsi="Franklin Gothic Book" w:cs="Calibri"/>
          <w:sz w:val="22"/>
          <w:szCs w:val="22"/>
        </w:rPr>
        <w:t xml:space="preserve"> and fatigue.</w:t>
      </w:r>
      <w:r w:rsidRPr="007D56EF">
        <w:rPr>
          <w:rStyle w:val="eop"/>
          <w:rFonts w:ascii="Franklin Gothic Book" w:hAnsi="Franklin Gothic Book" w:cs="Calibri"/>
          <w:sz w:val="22"/>
          <w:szCs w:val="22"/>
        </w:rPr>
        <w:t> </w:t>
      </w:r>
    </w:p>
    <w:p w14:paraId="4BB21BFE" w14:textId="1D3749EF" w:rsidR="00A54D32" w:rsidRPr="007D56EF" w:rsidRDefault="00A54D32" w:rsidP="00A54D32">
      <w:pPr>
        <w:pStyle w:val="paragraph"/>
        <w:numPr>
          <w:ilvl w:val="0"/>
          <w:numId w:val="15"/>
        </w:numPr>
        <w:spacing w:before="0" w:beforeAutospacing="0" w:after="0" w:afterAutospacing="0"/>
        <w:textAlignment w:val="baseline"/>
        <w:rPr>
          <w:rFonts w:ascii="Franklin Gothic Book" w:hAnsi="Franklin Gothic Book" w:cs="Calibri"/>
          <w:sz w:val="22"/>
          <w:szCs w:val="22"/>
        </w:rPr>
      </w:pPr>
      <w:r w:rsidRPr="007D56EF">
        <w:rPr>
          <w:rStyle w:val="normaltextrun"/>
          <w:rFonts w:ascii="Franklin Gothic Book" w:hAnsi="Franklin Gothic Book" w:cs="Calibri"/>
          <w:sz w:val="22"/>
          <w:szCs w:val="22"/>
        </w:rPr>
        <w:t>Tolerability to PARP inhibitor and enzalutamide may vary in individual patients necessitating a dose reduction.</w:t>
      </w:r>
      <w:r w:rsidRPr="007D56EF">
        <w:rPr>
          <w:rStyle w:val="eop"/>
          <w:rFonts w:ascii="Franklin Gothic Book" w:hAnsi="Franklin Gothic Book" w:cs="Calibri"/>
          <w:sz w:val="22"/>
          <w:szCs w:val="22"/>
        </w:rPr>
        <w:t> </w:t>
      </w:r>
    </w:p>
    <w:p w14:paraId="0AE8CBFF" w14:textId="77777777" w:rsidR="00A54D32" w:rsidRPr="007D56EF" w:rsidRDefault="00A54D32" w:rsidP="00A54D32">
      <w:pPr>
        <w:pStyle w:val="paragraph"/>
        <w:spacing w:before="240" w:beforeAutospacing="0" w:after="0" w:afterAutospacing="0"/>
        <w:textAlignment w:val="baseline"/>
        <w:rPr>
          <w:rFonts w:ascii="Franklin Gothic Book" w:hAnsi="Franklin Gothic Book" w:cs="Calibri"/>
          <w:sz w:val="22"/>
          <w:szCs w:val="22"/>
        </w:rPr>
      </w:pPr>
      <w:r w:rsidRPr="007D56EF">
        <w:rPr>
          <w:rStyle w:val="normaltextrun"/>
          <w:rFonts w:ascii="Franklin Gothic Book" w:hAnsi="Franklin Gothic Book" w:cs="Calibri"/>
          <w:b/>
          <w:bCs/>
          <w:sz w:val="22"/>
          <w:szCs w:val="22"/>
        </w:rPr>
        <w:t>Regarding utilisation</w:t>
      </w:r>
      <w:r w:rsidRPr="007D56EF">
        <w:rPr>
          <w:rStyle w:val="eop"/>
          <w:rFonts w:ascii="Franklin Gothic Book" w:hAnsi="Franklin Gothic Book" w:cs="Calibri"/>
          <w:sz w:val="22"/>
          <w:szCs w:val="22"/>
        </w:rPr>
        <w:t> </w:t>
      </w:r>
    </w:p>
    <w:p w14:paraId="1FE6BE9F" w14:textId="77777777" w:rsidR="00A54D32" w:rsidRPr="007D56EF" w:rsidRDefault="00A54D32" w:rsidP="00A54D32">
      <w:pPr>
        <w:pStyle w:val="paragraph"/>
        <w:numPr>
          <w:ilvl w:val="0"/>
          <w:numId w:val="16"/>
        </w:numPr>
        <w:spacing w:before="0" w:beforeAutospacing="0" w:after="0" w:afterAutospacing="0"/>
        <w:textAlignment w:val="baseline"/>
        <w:rPr>
          <w:rFonts w:ascii="Franklin Gothic Book" w:hAnsi="Franklin Gothic Book" w:cs="Calibri"/>
          <w:sz w:val="22"/>
          <w:szCs w:val="22"/>
        </w:rPr>
      </w:pPr>
      <w:r w:rsidRPr="007D56EF">
        <w:rPr>
          <w:rStyle w:val="normaltextrun"/>
          <w:rFonts w:ascii="Franklin Gothic Book" w:hAnsi="Franklin Gothic Book" w:cs="Calibri"/>
          <w:sz w:val="22"/>
          <w:szCs w:val="22"/>
        </w:rPr>
        <w:t>There will be increased laboratory panel/gene testing, including increase in referrals to genetic services for further germline and family testing.</w:t>
      </w:r>
      <w:r w:rsidRPr="007D56EF">
        <w:rPr>
          <w:rStyle w:val="eop"/>
          <w:rFonts w:ascii="Franklin Gothic Book" w:hAnsi="Franklin Gothic Book" w:cs="Calibri"/>
          <w:sz w:val="22"/>
          <w:szCs w:val="22"/>
        </w:rPr>
        <w:t> </w:t>
      </w:r>
    </w:p>
    <w:p w14:paraId="0B5D7444" w14:textId="3D5B8DD3" w:rsidR="00A54D32" w:rsidRPr="007D56EF" w:rsidRDefault="00A54D32" w:rsidP="00A54D32">
      <w:pPr>
        <w:pStyle w:val="paragraph"/>
        <w:numPr>
          <w:ilvl w:val="0"/>
          <w:numId w:val="16"/>
        </w:numPr>
        <w:spacing w:before="0" w:beforeAutospacing="0" w:after="0" w:afterAutospacing="0"/>
        <w:textAlignment w:val="baseline"/>
        <w:rPr>
          <w:rFonts w:ascii="Franklin Gothic Book" w:hAnsi="Franklin Gothic Book" w:cs="Calibri"/>
          <w:sz w:val="22"/>
          <w:szCs w:val="22"/>
        </w:rPr>
      </w:pPr>
      <w:r w:rsidRPr="007D56EF">
        <w:rPr>
          <w:rStyle w:val="normaltextrun"/>
          <w:rFonts w:ascii="Franklin Gothic Book" w:hAnsi="Franklin Gothic Book" w:cs="Calibri"/>
          <w:sz w:val="22"/>
          <w:szCs w:val="22"/>
        </w:rPr>
        <w:t>The proposed service may be accessed by up to 4,844 patients annually (epidemiological estimates). Current utilisation of MBS 73303 and 73304 may provide more realistic estimates.</w:t>
      </w:r>
      <w:r w:rsidRPr="007D56EF">
        <w:rPr>
          <w:rStyle w:val="eop"/>
          <w:rFonts w:ascii="Franklin Gothic Book" w:hAnsi="Franklin Gothic Book" w:cs="Calibri"/>
          <w:sz w:val="22"/>
          <w:szCs w:val="22"/>
        </w:rPr>
        <w:t> </w:t>
      </w:r>
    </w:p>
    <w:p w14:paraId="1B421B5D" w14:textId="77777777" w:rsidR="00A54D32" w:rsidRPr="007D56EF" w:rsidRDefault="00A54D32" w:rsidP="00A54D32">
      <w:pPr>
        <w:pStyle w:val="paragraph"/>
        <w:spacing w:before="240" w:beforeAutospacing="0" w:after="0" w:afterAutospacing="0"/>
        <w:textAlignment w:val="baseline"/>
        <w:rPr>
          <w:rFonts w:ascii="Franklin Gothic Book" w:hAnsi="Franklin Gothic Book" w:cs="Calibri"/>
          <w:sz w:val="22"/>
          <w:szCs w:val="22"/>
        </w:rPr>
      </w:pPr>
      <w:r w:rsidRPr="007D56EF">
        <w:rPr>
          <w:rStyle w:val="normaltextrun"/>
          <w:rFonts w:ascii="Franklin Gothic Book" w:hAnsi="Franklin Gothic Book" w:cs="Calibri"/>
          <w:b/>
          <w:bCs/>
          <w:sz w:val="22"/>
          <w:szCs w:val="22"/>
        </w:rPr>
        <w:t>Regarding the proposed amendment of service descriptor to MBS 73303 and 73304: </w:t>
      </w:r>
      <w:r w:rsidRPr="007D56EF">
        <w:rPr>
          <w:rStyle w:val="eop"/>
          <w:rFonts w:ascii="Franklin Gothic Book" w:hAnsi="Franklin Gothic Book" w:cs="Calibri"/>
          <w:sz w:val="22"/>
          <w:szCs w:val="22"/>
        </w:rPr>
        <w:t> </w:t>
      </w:r>
    </w:p>
    <w:p w14:paraId="52207D46" w14:textId="77777777" w:rsidR="00A54D32" w:rsidRPr="007D56EF" w:rsidRDefault="00A54D32" w:rsidP="00A54D32">
      <w:pPr>
        <w:pStyle w:val="paragraph"/>
        <w:numPr>
          <w:ilvl w:val="0"/>
          <w:numId w:val="17"/>
        </w:numPr>
        <w:spacing w:before="0" w:beforeAutospacing="0" w:after="0" w:afterAutospacing="0"/>
        <w:textAlignment w:val="baseline"/>
        <w:rPr>
          <w:rFonts w:ascii="Franklin Gothic Book" w:hAnsi="Franklin Gothic Book" w:cs="Calibri"/>
          <w:sz w:val="22"/>
          <w:szCs w:val="22"/>
        </w:rPr>
      </w:pPr>
      <w:r w:rsidRPr="007D56EF">
        <w:rPr>
          <w:rStyle w:val="normaltextrun"/>
          <w:rFonts w:ascii="Franklin Gothic Book" w:hAnsi="Franklin Gothic Book" w:cs="Calibri"/>
          <w:sz w:val="22"/>
          <w:szCs w:val="22"/>
        </w:rPr>
        <w:t>Novel hormone agents are increasingly being used in the metastatic setting and becoming the standard of care and provision should be made for allowing the use of novel hormone agents in the metastatic hormone-sensitive prostate cancer setting. </w:t>
      </w:r>
      <w:r w:rsidRPr="007D56EF">
        <w:rPr>
          <w:rStyle w:val="eop"/>
          <w:rFonts w:ascii="Franklin Gothic Book" w:hAnsi="Franklin Gothic Book" w:cs="Calibri"/>
          <w:sz w:val="22"/>
          <w:szCs w:val="22"/>
        </w:rPr>
        <w:t> </w:t>
      </w:r>
    </w:p>
    <w:p w14:paraId="4372D300" w14:textId="77777777" w:rsidR="00A54D32" w:rsidRPr="007D56EF" w:rsidRDefault="00A54D32" w:rsidP="00A54D32">
      <w:pPr>
        <w:pStyle w:val="paragraph"/>
        <w:numPr>
          <w:ilvl w:val="0"/>
          <w:numId w:val="17"/>
        </w:numPr>
        <w:spacing w:before="0" w:beforeAutospacing="0" w:after="0" w:afterAutospacing="0"/>
        <w:textAlignment w:val="baseline"/>
        <w:rPr>
          <w:rFonts w:ascii="Franklin Gothic Book" w:hAnsi="Franklin Gothic Book" w:cs="Calibri"/>
          <w:sz w:val="22"/>
          <w:szCs w:val="22"/>
        </w:rPr>
      </w:pPr>
      <w:r w:rsidRPr="007D56EF">
        <w:rPr>
          <w:rStyle w:val="normaltextrun"/>
          <w:rFonts w:ascii="Franklin Gothic Book" w:hAnsi="Franklin Gothic Book" w:cs="Calibri"/>
          <w:sz w:val="22"/>
          <w:szCs w:val="22"/>
        </w:rPr>
        <w:t>The need to do biopsies to obtain tissue samples puts a strain on the healthcare system and subjecting patients to a procedure with additional side effects. Therefore, blood germline testing should be allowed, including the use of prior tissue.</w:t>
      </w:r>
      <w:r w:rsidRPr="007D56EF">
        <w:rPr>
          <w:rStyle w:val="eop"/>
          <w:rFonts w:ascii="Franklin Gothic Book" w:hAnsi="Franklin Gothic Book" w:cs="Calibri"/>
          <w:sz w:val="22"/>
          <w:szCs w:val="22"/>
        </w:rPr>
        <w:t> </w:t>
      </w:r>
    </w:p>
    <w:p w14:paraId="27158869" w14:textId="77777777" w:rsidR="00A54D32" w:rsidRPr="007D56EF" w:rsidRDefault="00A54D32" w:rsidP="00A54D32">
      <w:pPr>
        <w:pStyle w:val="paragraph"/>
        <w:numPr>
          <w:ilvl w:val="0"/>
          <w:numId w:val="17"/>
        </w:numPr>
        <w:spacing w:before="0" w:beforeAutospacing="0" w:after="0" w:afterAutospacing="0"/>
        <w:textAlignment w:val="baseline"/>
        <w:rPr>
          <w:rFonts w:ascii="Franklin Gothic Book" w:hAnsi="Franklin Gothic Book" w:cs="Calibri"/>
          <w:sz w:val="22"/>
          <w:szCs w:val="22"/>
        </w:rPr>
      </w:pPr>
      <w:r w:rsidRPr="007D56EF">
        <w:rPr>
          <w:rStyle w:val="normaltextrun"/>
          <w:rFonts w:ascii="Franklin Gothic Book" w:hAnsi="Franklin Gothic Book" w:cs="Calibri"/>
          <w:sz w:val="22"/>
          <w:szCs w:val="22"/>
        </w:rPr>
        <w:t>Consideration to be made whether the descriptor needs to provide specific drug names. As more PARP inhibitors become available, further amendments to the relevant MBS item numbers would be required. The wording may be changed to “inform eligibility to a PBS-approved PARP inhibitor.” </w:t>
      </w:r>
      <w:r w:rsidRPr="007D56EF">
        <w:rPr>
          <w:rStyle w:val="eop"/>
          <w:rFonts w:ascii="Franklin Gothic Book" w:hAnsi="Franklin Gothic Book" w:cs="Calibri"/>
          <w:sz w:val="22"/>
          <w:szCs w:val="22"/>
        </w:rPr>
        <w:t> </w:t>
      </w:r>
    </w:p>
    <w:p w14:paraId="001EDCB8" w14:textId="77777777" w:rsidR="00A54D32" w:rsidRPr="007D56EF" w:rsidRDefault="00A54D32" w:rsidP="00A54D32">
      <w:pPr>
        <w:pStyle w:val="paragraph"/>
        <w:numPr>
          <w:ilvl w:val="0"/>
          <w:numId w:val="17"/>
        </w:numPr>
        <w:spacing w:before="0" w:beforeAutospacing="0" w:after="0" w:afterAutospacing="0"/>
        <w:textAlignment w:val="baseline"/>
        <w:rPr>
          <w:rFonts w:ascii="Franklin Gothic Book" w:hAnsi="Franklin Gothic Book" w:cs="Calibri"/>
          <w:sz w:val="22"/>
          <w:szCs w:val="22"/>
        </w:rPr>
      </w:pPr>
      <w:r w:rsidRPr="00A54D32">
        <w:rPr>
          <w:rStyle w:val="normaltextrun"/>
          <w:rFonts w:ascii="Franklin Gothic Book" w:hAnsi="Franklin Gothic Book" w:cs="Calibri"/>
          <w:sz w:val="22"/>
          <w:szCs w:val="22"/>
        </w:rPr>
        <w:t xml:space="preserve">There are several MBS items numbers associated with genetic testing for </w:t>
      </w:r>
      <w:r w:rsidRPr="00A54D32">
        <w:rPr>
          <w:rStyle w:val="normaltextrun"/>
          <w:rFonts w:ascii="Franklin Gothic Book" w:hAnsi="Franklin Gothic Book" w:cs="Calibri"/>
          <w:i/>
          <w:iCs/>
          <w:sz w:val="22"/>
          <w:szCs w:val="22"/>
        </w:rPr>
        <w:t>BRCA1/2</w:t>
      </w:r>
      <w:r w:rsidRPr="00A54D32">
        <w:rPr>
          <w:rStyle w:val="normaltextrun"/>
          <w:rFonts w:ascii="Franklin Gothic Book" w:hAnsi="Franklin Gothic Book" w:cs="Calibri"/>
          <w:sz w:val="22"/>
          <w:szCs w:val="22"/>
        </w:rPr>
        <w:t xml:space="preserve"> gene </w:t>
      </w:r>
      <w:r w:rsidRPr="007D56EF">
        <w:rPr>
          <w:rStyle w:val="normaltextrun"/>
          <w:rFonts w:ascii="Franklin Gothic Book" w:hAnsi="Franklin Gothic Book" w:cs="Calibri"/>
          <w:sz w:val="22"/>
          <w:szCs w:val="22"/>
        </w:rPr>
        <w:t>variants for different indications and for consistency of this intervention the reimbursement should be standardised for similar genetic tests. As the costs of genetic and genomic tests decrease over time, while there may be a case for applying lower rebates to new tests, there should be a mechanism to review currently available item numbers as a continuous process.</w:t>
      </w:r>
      <w:r w:rsidRPr="007D56EF">
        <w:rPr>
          <w:rStyle w:val="eop"/>
          <w:rFonts w:ascii="Franklin Gothic Book" w:hAnsi="Franklin Gothic Book" w:cs="Calibri"/>
          <w:sz w:val="22"/>
          <w:szCs w:val="22"/>
        </w:rPr>
        <w:t> </w:t>
      </w:r>
    </w:p>
    <w:p w14:paraId="3B0637A4" w14:textId="078EAD6E" w:rsidR="00A54D32" w:rsidRPr="00A54D32" w:rsidRDefault="00A54D32" w:rsidP="00A54D32">
      <w:pPr>
        <w:pStyle w:val="paragraph"/>
        <w:numPr>
          <w:ilvl w:val="0"/>
          <w:numId w:val="17"/>
        </w:numPr>
        <w:spacing w:before="0" w:beforeAutospacing="0" w:after="0" w:afterAutospacing="0"/>
        <w:textAlignment w:val="baseline"/>
        <w:rPr>
          <w:rFonts w:ascii="Franklin Gothic Book" w:hAnsi="Franklin Gothic Book" w:cs="Calibri"/>
          <w:sz w:val="22"/>
          <w:szCs w:val="22"/>
        </w:rPr>
      </w:pPr>
      <w:r w:rsidRPr="007D56EF">
        <w:rPr>
          <w:rStyle w:val="normaltextrun"/>
          <w:rFonts w:ascii="Franklin Gothic Book" w:hAnsi="Franklin Gothic Book" w:cs="Calibri"/>
          <w:sz w:val="22"/>
          <w:szCs w:val="22"/>
        </w:rPr>
        <w:t>MBS item 72860 x</w:t>
      </w:r>
      <w:r w:rsidR="00E43013">
        <w:rPr>
          <w:rStyle w:val="normaltextrun"/>
          <w:rFonts w:ascii="Franklin Gothic Book" w:hAnsi="Franklin Gothic Book" w:cs="Calibri"/>
          <w:sz w:val="22"/>
          <w:szCs w:val="22"/>
        </w:rPr>
        <w:t xml:space="preserve"> </w:t>
      </w:r>
      <w:r w:rsidRPr="007D56EF">
        <w:rPr>
          <w:rStyle w:val="normaltextrun"/>
          <w:rFonts w:ascii="Franklin Gothic Book" w:hAnsi="Franklin Gothic Book" w:cs="Calibri"/>
          <w:sz w:val="22"/>
          <w:szCs w:val="22"/>
        </w:rPr>
        <w:t xml:space="preserve">2 block retrieval costs for Anatomical Pathology would need to apply and it is difficult to easily identify previously tested </w:t>
      </w:r>
      <w:proofErr w:type="spellStart"/>
      <w:r w:rsidRPr="007D56EF">
        <w:rPr>
          <w:rStyle w:val="normaltextrun"/>
          <w:rFonts w:ascii="Franklin Gothic Book" w:hAnsi="Franklin Gothic Book" w:cs="Calibri"/>
          <w:sz w:val="22"/>
          <w:szCs w:val="22"/>
        </w:rPr>
        <w:t>mCRPC</w:t>
      </w:r>
      <w:proofErr w:type="spellEnd"/>
      <w:r w:rsidRPr="007D56EF">
        <w:rPr>
          <w:rStyle w:val="normaltextrun"/>
          <w:rFonts w:ascii="Franklin Gothic Book" w:hAnsi="Franklin Gothic Book" w:cs="Calibri"/>
          <w:sz w:val="22"/>
          <w:szCs w:val="22"/>
        </w:rPr>
        <w:t xml:space="preserve"> if done by interstate</w:t>
      </w:r>
      <w:r w:rsidRPr="00A54D32">
        <w:rPr>
          <w:rStyle w:val="normaltextrun"/>
          <w:rFonts w:ascii="Franklin Gothic Book" w:hAnsi="Franklin Gothic Book" w:cs="Calibri"/>
          <w:sz w:val="22"/>
          <w:szCs w:val="22"/>
        </w:rPr>
        <w:t xml:space="preserve"> referral laboratories.</w:t>
      </w:r>
      <w:r w:rsidRPr="00A54D32">
        <w:rPr>
          <w:rStyle w:val="eop"/>
          <w:rFonts w:ascii="Franklin Gothic Book" w:hAnsi="Franklin Gothic Book" w:cs="Calibri"/>
          <w:sz w:val="22"/>
          <w:szCs w:val="22"/>
        </w:rPr>
        <w:t> </w:t>
      </w:r>
    </w:p>
    <w:p w14:paraId="03C7A1F1" w14:textId="0402DE72" w:rsidR="00772829" w:rsidRDefault="00F36F57" w:rsidP="002A18BE">
      <w:pPr>
        <w:pStyle w:val="Heading2"/>
        <w:numPr>
          <w:ilvl w:val="0"/>
          <w:numId w:val="0"/>
        </w:numPr>
      </w:pPr>
      <w:r>
        <w:t>10</w:t>
      </w:r>
      <w:r w:rsidR="00C36633">
        <w:t>.</w:t>
      </w:r>
      <w:r w:rsidR="00C36633">
        <w:tab/>
      </w:r>
      <w:r w:rsidR="00772829" w:rsidRPr="00CE28E3">
        <w:t>Characteristics of the evidence base</w:t>
      </w:r>
      <w:bookmarkEnd w:id="17"/>
    </w:p>
    <w:p w14:paraId="5D1B1B04" w14:textId="3DC62BC0" w:rsidR="00573DF2" w:rsidRPr="00573DF2" w:rsidRDefault="00573DF2" w:rsidP="00573DF2">
      <w:pPr>
        <w:rPr>
          <w:i/>
          <w:iCs/>
        </w:rPr>
      </w:pPr>
      <w:r w:rsidRPr="00573DF2">
        <w:t>Th</w:t>
      </w:r>
      <w:r w:rsidR="00053E14">
        <w:t>is</w:t>
      </w:r>
      <w:r w:rsidRPr="00573DF2">
        <w:t xml:space="preserve"> minor MSAC submission </w:t>
      </w:r>
      <w:r w:rsidR="0025096E">
        <w:t xml:space="preserve">did not present any </w:t>
      </w:r>
      <w:r w:rsidR="0025096E" w:rsidRPr="00573DF2">
        <w:t>assessment of the analytical performance of the genetic test</w:t>
      </w:r>
      <w:r w:rsidR="00B50B7B">
        <w:t xml:space="preserve">, citing </w:t>
      </w:r>
      <w:r w:rsidRPr="00573DF2">
        <w:t>MSAC</w:t>
      </w:r>
      <w:r w:rsidR="00AE4192">
        <w:t>’s previous acceptance</w:t>
      </w:r>
      <w:r w:rsidRPr="00573DF2">
        <w:t xml:space="preserve"> </w:t>
      </w:r>
      <w:r w:rsidR="00AE4192">
        <w:t xml:space="preserve">of </w:t>
      </w:r>
      <w:r w:rsidRPr="00573DF2">
        <w:t xml:space="preserve">the comparative safety, clinical and cost-effectiveness </w:t>
      </w:r>
      <w:r w:rsidR="00617111">
        <w:t>of</w:t>
      </w:r>
      <w:r w:rsidRPr="00573DF2">
        <w:t xml:space="preserve"> the genetic testing </w:t>
      </w:r>
      <w:r w:rsidR="00B15871">
        <w:t xml:space="preserve">to determine eligibility for access to </w:t>
      </w:r>
      <w:r w:rsidR="008C41FB">
        <w:t>PBS-subsidised o</w:t>
      </w:r>
      <w:r w:rsidR="00B15871">
        <w:t xml:space="preserve">laparib </w:t>
      </w:r>
      <w:r w:rsidRPr="00573DF2">
        <w:t xml:space="preserve">in </w:t>
      </w:r>
      <w:r w:rsidR="0071266C">
        <w:t xml:space="preserve">patients with </w:t>
      </w:r>
      <w:proofErr w:type="spellStart"/>
      <w:r w:rsidRPr="00573DF2">
        <w:t>mCRPC</w:t>
      </w:r>
      <w:proofErr w:type="spellEnd"/>
      <w:r w:rsidRPr="00573DF2">
        <w:t xml:space="preserve"> </w:t>
      </w:r>
      <w:r w:rsidR="00ED465B">
        <w:t xml:space="preserve">(MSAC application 1618, </w:t>
      </w:r>
      <w:r w:rsidRPr="00573DF2">
        <w:t xml:space="preserve">March-April 2021 and November 2021 </w:t>
      </w:r>
      <w:r w:rsidR="00ED465B">
        <w:t xml:space="preserve">MSAC </w:t>
      </w:r>
      <w:r w:rsidRPr="00573DF2">
        <w:t>meetings</w:t>
      </w:r>
      <w:r w:rsidR="0071266C">
        <w:t>)</w:t>
      </w:r>
      <w:r w:rsidRPr="00573DF2">
        <w:t>.</w:t>
      </w:r>
    </w:p>
    <w:p w14:paraId="50D82FBD" w14:textId="28E9508A" w:rsidR="002A2D68" w:rsidRDefault="00573DF2" w:rsidP="00254E9B">
      <w:r w:rsidRPr="00573DF2">
        <w:t xml:space="preserve">The </w:t>
      </w:r>
      <w:r w:rsidR="00ED465B">
        <w:t>minor MSAC submission pr</w:t>
      </w:r>
      <w:r w:rsidR="000B61C3">
        <w:t xml:space="preserve">ovided </w:t>
      </w:r>
      <w:r w:rsidR="00ED465B">
        <w:t xml:space="preserve">the </w:t>
      </w:r>
      <w:r w:rsidRPr="00573DF2">
        <w:t xml:space="preserve">clinical evidence presented </w:t>
      </w:r>
      <w:r w:rsidR="000B61C3">
        <w:t xml:space="preserve">in </w:t>
      </w:r>
      <w:r w:rsidR="00627AE5">
        <w:t>the PBAC submission considered in March 2024 PBAC meeting. The p</w:t>
      </w:r>
      <w:r w:rsidR="00957049">
        <w:t xml:space="preserve">ivotal </w:t>
      </w:r>
      <w:r w:rsidR="00DB2AD8">
        <w:t xml:space="preserve">evidence was a </w:t>
      </w:r>
      <w:r w:rsidR="00BB39C8">
        <w:t xml:space="preserve">randomised, double-blind, </w:t>
      </w:r>
      <w:r w:rsidR="00193DDD">
        <w:t xml:space="preserve">multinational </w:t>
      </w:r>
      <w:r w:rsidR="00957049">
        <w:t>p</w:t>
      </w:r>
      <w:r w:rsidRPr="00573DF2">
        <w:t>hase III</w:t>
      </w:r>
      <w:r w:rsidR="002D5470">
        <w:t xml:space="preserve"> </w:t>
      </w:r>
      <w:r w:rsidRPr="00573DF2">
        <w:t xml:space="preserve">trial (TALAPRO-2) that compared talazoparib </w:t>
      </w:r>
      <w:r w:rsidR="00304FD7">
        <w:t>plus</w:t>
      </w:r>
      <w:r w:rsidRPr="00573DF2">
        <w:t xml:space="preserve"> enzalutamide versus </w:t>
      </w:r>
      <w:r w:rsidRPr="00573DF2">
        <w:lastRenderedPageBreak/>
        <w:t xml:space="preserve">placebo </w:t>
      </w:r>
      <w:r w:rsidR="00304FD7">
        <w:t xml:space="preserve">plus </w:t>
      </w:r>
      <w:r w:rsidRPr="00573DF2">
        <w:t xml:space="preserve">enzalutamide </w:t>
      </w:r>
      <w:r w:rsidR="00AD2D7B">
        <w:t xml:space="preserve">as first-line therapy in adult men with symptomatic or mildly symptomatic </w:t>
      </w:r>
      <w:proofErr w:type="spellStart"/>
      <w:r w:rsidRPr="00573DF2">
        <w:t>mCRPC</w:t>
      </w:r>
      <w:proofErr w:type="spellEnd"/>
      <w:r w:rsidR="00742841">
        <w:t xml:space="preserve"> </w:t>
      </w:r>
      <w:r w:rsidR="009B0503">
        <w:t>receiving ongoing androgen deprivation therapy.</w:t>
      </w:r>
      <w:r w:rsidR="002D5470">
        <w:t xml:space="preserve"> </w:t>
      </w:r>
    </w:p>
    <w:p w14:paraId="7FBE9016" w14:textId="77777777" w:rsidR="0069276F" w:rsidRDefault="00E55B1F" w:rsidP="0069276F">
      <w:r>
        <w:t xml:space="preserve">Patients were prospectively assessed for </w:t>
      </w:r>
      <w:r w:rsidRPr="007E6890">
        <w:t>homologous recombination repair</w:t>
      </w:r>
      <w:r>
        <w:t xml:space="preserve"> (HRR) gene alterations in tumour tissue </w:t>
      </w:r>
      <w:r w:rsidR="003B4658" w:rsidRPr="003B4658">
        <w:t xml:space="preserve">using </w:t>
      </w:r>
      <w:proofErr w:type="spellStart"/>
      <w:r w:rsidR="003B4658" w:rsidRPr="003B4658">
        <w:t>FoundationOne</w:t>
      </w:r>
      <w:proofErr w:type="spellEnd"/>
      <w:r w:rsidR="003B4658" w:rsidRPr="003B4658">
        <w:t xml:space="preserve"> </w:t>
      </w:r>
      <w:proofErr w:type="spellStart"/>
      <w:r w:rsidR="003B4658" w:rsidRPr="003B4658">
        <w:t>CDx.and</w:t>
      </w:r>
      <w:proofErr w:type="spellEnd"/>
      <w:r w:rsidR="003B4658" w:rsidRPr="003B4658">
        <w:t xml:space="preserve">/or </w:t>
      </w:r>
      <w:proofErr w:type="spellStart"/>
      <w:r w:rsidR="003B4658" w:rsidRPr="003B4658">
        <w:t>FoundationOne</w:t>
      </w:r>
      <w:proofErr w:type="spellEnd"/>
      <w:r w:rsidR="003B4658" w:rsidRPr="003B4658">
        <w:t xml:space="preserve"> Liquid </w:t>
      </w:r>
      <w:proofErr w:type="spellStart"/>
      <w:r w:rsidR="003B4658" w:rsidRPr="003B4658">
        <w:t>CDx</w:t>
      </w:r>
      <w:proofErr w:type="spellEnd"/>
      <w:r w:rsidR="003B4658" w:rsidRPr="003B4658">
        <w:t xml:space="preserve"> (Foundation Medicine) </w:t>
      </w:r>
      <w:r>
        <w:t>and randomly assigned to talazoparib or placebo, plus enzalutamide.</w:t>
      </w:r>
      <w:r w:rsidR="00E95638">
        <w:t xml:space="preserve"> </w:t>
      </w:r>
      <w:r>
        <w:t>Randomisation was stratified by HRR gene alteration status (deficient vs non-deficient or unknown) and previous</w:t>
      </w:r>
      <w:r w:rsidR="00E95638">
        <w:t xml:space="preserve"> </w:t>
      </w:r>
      <w:r>
        <w:t xml:space="preserve">treatment with life-prolonging therapy (docetaxel or abiraterone, or both: </w:t>
      </w:r>
      <w:proofErr w:type="gramStart"/>
      <w:r>
        <w:t>yes</w:t>
      </w:r>
      <w:proofErr w:type="gramEnd"/>
      <w:r>
        <w:t xml:space="preserve"> vs no) in the castration-sensitive setting.</w:t>
      </w:r>
      <w:r w:rsidR="007F3CA5">
        <w:t xml:space="preserve"> </w:t>
      </w:r>
      <w:r w:rsidR="0069276F">
        <w:t xml:space="preserve">MSAC had previously considered </w:t>
      </w:r>
      <w:proofErr w:type="spellStart"/>
      <w:r w:rsidR="0069276F">
        <w:t>FoundationOne</w:t>
      </w:r>
      <w:r w:rsidR="0069276F" w:rsidRPr="00A25FE9">
        <w:t>®CDx</w:t>
      </w:r>
      <w:proofErr w:type="spellEnd"/>
      <w:r w:rsidR="0069276F">
        <w:t xml:space="preserve"> in its consideration of application 1618 on the t</w:t>
      </w:r>
      <w:r w:rsidR="0069276F" w:rsidRPr="000C15C7">
        <w:t xml:space="preserve">esting of tumour prostate tissue to detect </w:t>
      </w:r>
      <w:r w:rsidR="0069276F" w:rsidRPr="00861B2F">
        <w:rPr>
          <w:i/>
          <w:iCs/>
        </w:rPr>
        <w:t>BRCA1/2</w:t>
      </w:r>
      <w:r w:rsidR="0069276F" w:rsidRPr="000C15C7">
        <w:t xml:space="preserve"> pathogenic gene variants in men with </w:t>
      </w:r>
      <w:proofErr w:type="spellStart"/>
      <w:r w:rsidR="0069276F">
        <w:t>mCRPC</w:t>
      </w:r>
      <w:proofErr w:type="spellEnd"/>
      <w:r w:rsidR="0069276F" w:rsidRPr="000C15C7">
        <w:t xml:space="preserve"> to help determine eligibility for PBS olaparib</w:t>
      </w:r>
      <w:r w:rsidR="0069276F">
        <w:t>.</w:t>
      </w:r>
    </w:p>
    <w:p w14:paraId="3D6C74AD" w14:textId="0C99B95E" w:rsidR="00B75C88" w:rsidRDefault="00A25FE9" w:rsidP="00254E9B">
      <w:proofErr w:type="spellStart"/>
      <w:r w:rsidRPr="00A25FE9">
        <w:t>FoundationOne®CDx</w:t>
      </w:r>
      <w:proofErr w:type="spellEnd"/>
      <w:r w:rsidRPr="00A25FE9">
        <w:t xml:space="preserve"> (F1CDx) is a qualitative next generation sequencing based </w:t>
      </w:r>
      <w:r w:rsidRPr="00F7634F">
        <w:rPr>
          <w:i/>
          <w:iCs/>
        </w:rPr>
        <w:t>in vitro</w:t>
      </w:r>
      <w:r w:rsidRPr="00A25FE9">
        <w:t xml:space="preserve"> diagnostic test that uses targeted high throughput hybridization-based capture technology for detection of substitutions, insertion and deletion alterations (indels) and copy number alterations (CNAs) in 324 genes and select gene rearrangements, as well as genomic signatures including microsatellite instability (MSI) and tumour mutational burden using DNA isolated from formalin-fixed paraffin embedded (FFPE) tumour tissue specimens. </w:t>
      </w:r>
      <w:r w:rsidR="00572A6B" w:rsidRPr="00572A6B">
        <w:t xml:space="preserve">Testing for genomic alterations included 12 HRR genes: </w:t>
      </w:r>
      <w:r w:rsidR="00572A6B" w:rsidRPr="00572A6B">
        <w:rPr>
          <w:i/>
          <w:iCs/>
        </w:rPr>
        <w:t>BRCA1, BRCA2, PALB2, ATM, ATR, CHEK2, FANCA, RAD51C, NBN, MLH1, MRE11A, CDK12</w:t>
      </w:r>
      <w:r w:rsidR="00572A6B" w:rsidRPr="00572A6B">
        <w:t xml:space="preserve">. Patients were considered HRR-deficient if they had at least 1 mutation in 1 or more of the 12 genes or if there was a discordant result between the tissue and liquid result. If prospective results from blood and tumour tissue samples were both available, a positive result from either was considered prospectively </w:t>
      </w:r>
      <w:r w:rsidR="009372C3">
        <w:t>DNA damage response</w:t>
      </w:r>
      <w:r w:rsidR="00572A6B" w:rsidRPr="00572A6B">
        <w:t xml:space="preserve"> deficient</w:t>
      </w:r>
      <w:r w:rsidR="00B75C88">
        <w:t xml:space="preserve">. </w:t>
      </w:r>
    </w:p>
    <w:p w14:paraId="3B80F579" w14:textId="2CC284C6" w:rsidR="005A39D6" w:rsidRDefault="007F3CA5" w:rsidP="00254E9B">
      <w:r>
        <w:t>The primary endpoint was radiographic progression-free survival (</w:t>
      </w:r>
      <w:proofErr w:type="spellStart"/>
      <w:r>
        <w:t>rPFS</w:t>
      </w:r>
      <w:proofErr w:type="spellEnd"/>
      <w:r>
        <w:t>) by blinded independent central review (BICR), evaluated in the intention-to-treat (ITT) population. Safety was evaluated in all patients who received at least one dose of study drug.</w:t>
      </w:r>
      <w:r w:rsidR="00CB4A51">
        <w:t xml:space="preserve"> </w:t>
      </w:r>
    </w:p>
    <w:p w14:paraId="3F7350FC" w14:textId="7C42C2E0" w:rsidR="00774BB0" w:rsidRDefault="0043386C" w:rsidP="00254E9B">
      <w:r>
        <w:t xml:space="preserve">Two cohorts were evaluated in the </w:t>
      </w:r>
      <w:r w:rsidR="00873B48">
        <w:t xml:space="preserve">TALAPRO-2 </w:t>
      </w:r>
      <w:r>
        <w:t xml:space="preserve">trial: </w:t>
      </w:r>
      <w:r w:rsidR="00661618" w:rsidRPr="00661618">
        <w:t xml:space="preserve">unselected (Cohort 1, the allcomers cohort, recruited first) and selected (Cohort 2, HRR-deficient only, which completed recruitment after completion of enrolment in Cohort 1) for DNA damage response alterations in genes directly or indirectly involved in HRR. </w:t>
      </w:r>
    </w:p>
    <w:p w14:paraId="23EABAB1" w14:textId="176435F2" w:rsidR="00774BB0" w:rsidRDefault="00774BB0" w:rsidP="00254E9B">
      <w:r w:rsidRPr="00774BB0">
        <w:t>805 patients were enrolled in Cohort 1, of which, 636</w:t>
      </w:r>
      <w:r w:rsidR="000A0096">
        <w:t xml:space="preserve"> </w:t>
      </w:r>
      <w:r w:rsidRPr="00774BB0">
        <w:t>(79.0%) were non-HRR-deficient or had unknown HRR status and 169 (21.0%) were HRR-deficient. Cohort 2 included the 169 patients from Cohort 1 who were HRR-deficient as well as an additional 230 patients enrolled directly into the cohort, for a total of 399 patients. The p</w:t>
      </w:r>
      <w:r w:rsidR="006E7F1D">
        <w:t xml:space="preserve">ost hoc </w:t>
      </w:r>
      <w:r w:rsidRPr="00774BB0">
        <w:rPr>
          <w:i/>
          <w:iCs/>
        </w:rPr>
        <w:t>BRCA1/2</w:t>
      </w:r>
      <w:r w:rsidRPr="00774BB0">
        <w:t xml:space="preserve"> subpopulation from Cohort 2 accounted for 39.6% of the overall population of Cohort 2 (HRR deficient population).</w:t>
      </w:r>
      <w:r w:rsidR="00A250A5">
        <w:t xml:space="preserve"> </w:t>
      </w:r>
      <w:r w:rsidR="00A250A5" w:rsidRPr="00A250A5">
        <w:t xml:space="preserve">The </w:t>
      </w:r>
      <w:r w:rsidR="00A250A5">
        <w:t xml:space="preserve">minor submission reported that </w:t>
      </w:r>
      <w:r w:rsidR="00A250A5" w:rsidRPr="00A250A5">
        <w:t xml:space="preserve">concordance results between </w:t>
      </w:r>
      <w:r w:rsidR="00A250A5" w:rsidRPr="00A250A5">
        <w:rPr>
          <w:i/>
          <w:iCs/>
        </w:rPr>
        <w:t>BRCA1/2</w:t>
      </w:r>
      <w:r w:rsidR="00A250A5" w:rsidRPr="00A250A5">
        <w:t xml:space="preserve"> mutation identified by blood test and </w:t>
      </w:r>
      <w:proofErr w:type="spellStart"/>
      <w:r w:rsidR="00A250A5" w:rsidRPr="00A250A5">
        <w:t>ctDNA</w:t>
      </w:r>
      <w:proofErr w:type="spellEnd"/>
      <w:r w:rsidR="00A250A5" w:rsidRPr="00A250A5">
        <w:t xml:space="preserve"> analysis </w:t>
      </w:r>
      <w:r w:rsidR="00A250A5">
        <w:t>wa</w:t>
      </w:r>
      <w:r w:rsidR="00A250A5" w:rsidRPr="00A250A5">
        <w:t xml:space="preserve">s </w:t>
      </w:r>
      <w:r w:rsidR="00444B34">
        <w:t xml:space="preserve">not </w:t>
      </w:r>
      <w:r w:rsidR="00A250A5" w:rsidRPr="00A250A5">
        <w:t xml:space="preserve">available for Cohort 2. In Cohort 1, there were 60 (7.4%) patients that had </w:t>
      </w:r>
      <w:r w:rsidR="00A250A5" w:rsidRPr="005240DF">
        <w:rPr>
          <w:i/>
          <w:iCs/>
        </w:rPr>
        <w:t>BRCA1/2</w:t>
      </w:r>
      <w:r w:rsidR="00A250A5" w:rsidRPr="00A250A5">
        <w:t xml:space="preserve"> gene alteration.</w:t>
      </w:r>
    </w:p>
    <w:p w14:paraId="3B9FC2AD" w14:textId="60EC7468" w:rsidR="00772829" w:rsidRDefault="00F36F57" w:rsidP="002A18BE">
      <w:pPr>
        <w:pStyle w:val="Heading2"/>
        <w:numPr>
          <w:ilvl w:val="0"/>
          <w:numId w:val="0"/>
        </w:numPr>
      </w:pPr>
      <w:bookmarkStart w:id="18" w:name="_Toc69491423"/>
      <w:r>
        <w:t>11</w:t>
      </w:r>
      <w:r w:rsidR="00C36633">
        <w:t>.</w:t>
      </w:r>
      <w:r w:rsidR="00C36633">
        <w:tab/>
      </w:r>
      <w:r w:rsidR="00772829" w:rsidRPr="00CE28E3">
        <w:t>Comparative safety</w:t>
      </w:r>
      <w:bookmarkEnd w:id="18"/>
    </w:p>
    <w:p w14:paraId="26D65D73" w14:textId="5156CFA5" w:rsidR="00BD273A" w:rsidRPr="00573DF2" w:rsidRDefault="00BD273A" w:rsidP="00BD273A">
      <w:pPr>
        <w:rPr>
          <w:i/>
          <w:iCs/>
        </w:rPr>
      </w:pPr>
      <w:r w:rsidRPr="00573DF2">
        <w:t>Th</w:t>
      </w:r>
      <w:r>
        <w:t>e</w:t>
      </w:r>
      <w:r w:rsidRPr="00573DF2">
        <w:t xml:space="preserve"> MSAC </w:t>
      </w:r>
      <w:r>
        <w:t xml:space="preserve">minor </w:t>
      </w:r>
      <w:r w:rsidRPr="00573DF2">
        <w:t xml:space="preserve">submission </w:t>
      </w:r>
      <w:r>
        <w:t xml:space="preserve">considered MSAC had previously accepted the comparative safety of the </w:t>
      </w:r>
      <w:r w:rsidRPr="00573DF2">
        <w:t>genetic test</w:t>
      </w:r>
      <w:r w:rsidR="00EA5EB6">
        <w:t xml:space="preserve"> </w:t>
      </w:r>
      <w:r w:rsidR="00D94B79">
        <w:t>in its consideration of application 1618 and did not present any further evidence</w:t>
      </w:r>
      <w:r w:rsidR="009C073A">
        <w:t xml:space="preserve"> on safety</w:t>
      </w:r>
      <w:r w:rsidR="00D94B79">
        <w:t xml:space="preserve">. </w:t>
      </w:r>
    </w:p>
    <w:p w14:paraId="2B52CBCB" w14:textId="2167EC39" w:rsidR="00843734" w:rsidRDefault="0027384D" w:rsidP="00843734">
      <w:r>
        <w:fldChar w:fldCharType="begin"/>
      </w:r>
      <w:r>
        <w:instrText xml:space="preserve"> REF _Ref164355465 \h </w:instrText>
      </w:r>
      <w:r>
        <w:fldChar w:fldCharType="separate"/>
      </w:r>
      <w:r w:rsidR="00360CE2">
        <w:t xml:space="preserve">Table </w:t>
      </w:r>
      <w:r w:rsidR="00360CE2">
        <w:rPr>
          <w:noProof/>
        </w:rPr>
        <w:t>3</w:t>
      </w:r>
      <w:r>
        <w:fldChar w:fldCharType="end"/>
      </w:r>
      <w:r>
        <w:t xml:space="preserve"> </w:t>
      </w:r>
      <w:r w:rsidR="000365C5">
        <w:t>presents the</w:t>
      </w:r>
      <w:r w:rsidR="009C073A">
        <w:t xml:space="preserve"> comparative safety data </w:t>
      </w:r>
      <w:r w:rsidR="000365C5">
        <w:t xml:space="preserve">from Cohort 2 of the TALAPRO-2 trial. </w:t>
      </w:r>
    </w:p>
    <w:p w14:paraId="02CFB191" w14:textId="07E07415" w:rsidR="00C35088" w:rsidRDefault="00C35088" w:rsidP="00C35088">
      <w:pPr>
        <w:pStyle w:val="Caption"/>
      </w:pPr>
      <w:bookmarkStart w:id="19" w:name="_Ref164355465"/>
      <w:r>
        <w:lastRenderedPageBreak/>
        <w:t xml:space="preserve">Table </w:t>
      </w:r>
      <w:r w:rsidR="00341CAB">
        <w:fldChar w:fldCharType="begin"/>
      </w:r>
      <w:r w:rsidR="00341CAB">
        <w:instrText xml:space="preserve"> SEQ Table \* ARABIC </w:instrText>
      </w:r>
      <w:r w:rsidR="00341CAB">
        <w:fldChar w:fldCharType="separate"/>
      </w:r>
      <w:r w:rsidR="00360CE2">
        <w:rPr>
          <w:noProof/>
        </w:rPr>
        <w:t>3</w:t>
      </w:r>
      <w:r w:rsidR="00341CAB">
        <w:rPr>
          <w:noProof/>
        </w:rPr>
        <w:fldChar w:fldCharType="end"/>
      </w:r>
      <w:bookmarkEnd w:id="19"/>
      <w:r>
        <w:tab/>
      </w:r>
      <w:r w:rsidRPr="00C35088">
        <w:t xml:space="preserve">Summary of adverse events </w:t>
      </w:r>
      <w:r w:rsidR="00363676">
        <w:t xml:space="preserve">(AEs) </w:t>
      </w:r>
      <w:r>
        <w:t xml:space="preserve">and </w:t>
      </w:r>
      <w:r w:rsidR="00363676">
        <w:t>dose modifications due to AEs in the TALAPRO</w:t>
      </w:r>
      <w:r w:rsidR="00C86228">
        <w:t xml:space="preserve">-2 trial </w:t>
      </w:r>
      <w:r w:rsidRPr="00C35088">
        <w:t>(Cohort 2 – ITT HRR deficient population)</w:t>
      </w:r>
    </w:p>
    <w:tbl>
      <w:tblPr>
        <w:tblStyle w:val="TableGrid"/>
        <w:tblW w:w="5000" w:type="pct"/>
        <w:tblLook w:val="04A0" w:firstRow="1" w:lastRow="0" w:firstColumn="1" w:lastColumn="0" w:noHBand="0" w:noVBand="1"/>
      </w:tblPr>
      <w:tblGrid>
        <w:gridCol w:w="4279"/>
        <w:gridCol w:w="2151"/>
        <w:gridCol w:w="2586"/>
      </w:tblGrid>
      <w:tr w:rsidR="00955407" w:rsidRPr="00955407" w14:paraId="618984A6" w14:textId="77777777" w:rsidTr="00D33CA3">
        <w:trPr>
          <w:trHeight w:val="244"/>
          <w:tblHeader/>
        </w:trPr>
        <w:tc>
          <w:tcPr>
            <w:tcW w:w="2373" w:type="pct"/>
            <w:tcBorders>
              <w:bottom w:val="single" w:sz="4" w:space="0" w:color="auto"/>
            </w:tcBorders>
            <w:shd w:val="clear" w:color="auto" w:fill="auto"/>
            <w:hideMark/>
          </w:tcPr>
          <w:p w14:paraId="70189B18" w14:textId="5E8BAA83" w:rsidR="00955407" w:rsidRPr="00955407" w:rsidRDefault="00955407" w:rsidP="000A6C17">
            <w:pPr>
              <w:spacing w:before="20" w:after="20"/>
              <w:rPr>
                <w:rFonts w:ascii="Arial Narrow" w:hAnsi="Arial Narrow"/>
                <w:b/>
                <w:sz w:val="20"/>
                <w:szCs w:val="20"/>
              </w:rPr>
            </w:pPr>
          </w:p>
        </w:tc>
        <w:tc>
          <w:tcPr>
            <w:tcW w:w="1193" w:type="pct"/>
            <w:tcBorders>
              <w:bottom w:val="single" w:sz="4" w:space="0" w:color="auto"/>
            </w:tcBorders>
            <w:shd w:val="clear" w:color="auto" w:fill="auto"/>
            <w:hideMark/>
          </w:tcPr>
          <w:p w14:paraId="7B02C886" w14:textId="77777777" w:rsidR="00955407" w:rsidRPr="00955407" w:rsidRDefault="00955407" w:rsidP="000A6C17">
            <w:pPr>
              <w:spacing w:before="20" w:after="20"/>
              <w:jc w:val="center"/>
              <w:rPr>
                <w:rFonts w:ascii="Arial Narrow" w:hAnsi="Arial Narrow"/>
                <w:sz w:val="20"/>
                <w:szCs w:val="20"/>
              </w:rPr>
            </w:pPr>
            <w:r w:rsidRPr="00955407">
              <w:rPr>
                <w:rFonts w:ascii="Arial Narrow" w:hAnsi="Arial Narrow"/>
                <w:b/>
                <w:sz w:val="20"/>
                <w:szCs w:val="20"/>
              </w:rPr>
              <w:t>TAL + ENZ</w:t>
            </w:r>
          </w:p>
          <w:p w14:paraId="34D3B098" w14:textId="77777777" w:rsidR="00955407" w:rsidRPr="00955407" w:rsidRDefault="00955407" w:rsidP="000A6C17">
            <w:pPr>
              <w:spacing w:before="20" w:after="20"/>
              <w:jc w:val="center"/>
              <w:rPr>
                <w:rFonts w:ascii="Arial Narrow" w:hAnsi="Arial Narrow"/>
                <w:b/>
                <w:sz w:val="20"/>
                <w:szCs w:val="20"/>
              </w:rPr>
            </w:pPr>
            <w:r w:rsidRPr="00955407">
              <w:rPr>
                <w:rFonts w:ascii="Arial Narrow" w:hAnsi="Arial Narrow"/>
                <w:b/>
                <w:sz w:val="20"/>
                <w:szCs w:val="20"/>
              </w:rPr>
              <w:t>N = 198</w:t>
            </w:r>
          </w:p>
        </w:tc>
        <w:tc>
          <w:tcPr>
            <w:tcW w:w="1434" w:type="pct"/>
            <w:tcBorders>
              <w:bottom w:val="single" w:sz="4" w:space="0" w:color="auto"/>
            </w:tcBorders>
            <w:shd w:val="clear" w:color="auto" w:fill="auto"/>
            <w:hideMark/>
          </w:tcPr>
          <w:p w14:paraId="382A910F" w14:textId="77777777" w:rsidR="00955407" w:rsidRPr="00955407" w:rsidRDefault="00955407" w:rsidP="000A6C17">
            <w:pPr>
              <w:spacing w:before="20" w:after="20"/>
              <w:jc w:val="center"/>
              <w:rPr>
                <w:rFonts w:ascii="Arial Narrow" w:hAnsi="Arial Narrow"/>
                <w:sz w:val="20"/>
                <w:szCs w:val="20"/>
              </w:rPr>
            </w:pPr>
            <w:r w:rsidRPr="00955407">
              <w:rPr>
                <w:rFonts w:ascii="Arial Narrow" w:hAnsi="Arial Narrow"/>
                <w:b/>
                <w:sz w:val="20"/>
                <w:szCs w:val="20"/>
              </w:rPr>
              <w:t>PBO + ENZ</w:t>
            </w:r>
          </w:p>
          <w:p w14:paraId="540BBE1F" w14:textId="77777777" w:rsidR="00955407" w:rsidRPr="00955407" w:rsidRDefault="00955407" w:rsidP="000A6C17">
            <w:pPr>
              <w:spacing w:before="20" w:after="20"/>
              <w:jc w:val="center"/>
              <w:rPr>
                <w:rFonts w:ascii="Arial Narrow" w:hAnsi="Arial Narrow"/>
                <w:b/>
                <w:sz w:val="20"/>
                <w:szCs w:val="20"/>
              </w:rPr>
            </w:pPr>
            <w:r w:rsidRPr="00955407">
              <w:rPr>
                <w:rFonts w:ascii="Arial Narrow" w:hAnsi="Arial Narrow"/>
                <w:b/>
                <w:sz w:val="20"/>
                <w:szCs w:val="20"/>
              </w:rPr>
              <w:t>N = 199</w:t>
            </w:r>
          </w:p>
        </w:tc>
      </w:tr>
      <w:tr w:rsidR="00D33CA3" w:rsidRPr="00955407" w14:paraId="7EB53F55" w14:textId="77777777" w:rsidTr="00D33CA3">
        <w:trPr>
          <w:trHeight w:val="244"/>
        </w:trPr>
        <w:tc>
          <w:tcPr>
            <w:tcW w:w="2373" w:type="pct"/>
            <w:tcBorders>
              <w:right w:val="nil"/>
            </w:tcBorders>
            <w:shd w:val="clear" w:color="auto" w:fill="auto"/>
          </w:tcPr>
          <w:p w14:paraId="52B97ED6" w14:textId="2F195B7A" w:rsidR="00D33CA3" w:rsidRPr="00955407" w:rsidRDefault="00D33CA3" w:rsidP="000A6C17">
            <w:pPr>
              <w:spacing w:before="20" w:after="20"/>
              <w:rPr>
                <w:rFonts w:ascii="Arial Narrow" w:hAnsi="Arial Narrow"/>
                <w:sz w:val="20"/>
                <w:szCs w:val="20"/>
              </w:rPr>
            </w:pPr>
            <w:r w:rsidRPr="00955407">
              <w:rPr>
                <w:rFonts w:ascii="Arial Narrow" w:hAnsi="Arial Narrow"/>
                <w:b/>
                <w:sz w:val="20"/>
                <w:szCs w:val="20"/>
              </w:rPr>
              <w:t>Adverse events, n (%)</w:t>
            </w:r>
          </w:p>
        </w:tc>
        <w:tc>
          <w:tcPr>
            <w:tcW w:w="1193" w:type="pct"/>
            <w:tcBorders>
              <w:left w:val="nil"/>
              <w:right w:val="nil"/>
            </w:tcBorders>
            <w:shd w:val="clear" w:color="auto" w:fill="auto"/>
          </w:tcPr>
          <w:p w14:paraId="3143B76D" w14:textId="77777777" w:rsidR="00D33CA3" w:rsidRPr="00955407" w:rsidRDefault="00D33CA3" w:rsidP="000A6C17">
            <w:pPr>
              <w:spacing w:before="20" w:after="20"/>
              <w:jc w:val="center"/>
              <w:rPr>
                <w:rFonts w:ascii="Arial Narrow" w:hAnsi="Arial Narrow"/>
                <w:sz w:val="20"/>
                <w:szCs w:val="20"/>
              </w:rPr>
            </w:pPr>
          </w:p>
        </w:tc>
        <w:tc>
          <w:tcPr>
            <w:tcW w:w="1434" w:type="pct"/>
            <w:tcBorders>
              <w:left w:val="nil"/>
            </w:tcBorders>
            <w:shd w:val="clear" w:color="auto" w:fill="auto"/>
          </w:tcPr>
          <w:p w14:paraId="0DE0A8B7" w14:textId="77777777" w:rsidR="00D33CA3" w:rsidRPr="00955407" w:rsidRDefault="00D33CA3" w:rsidP="000A6C17">
            <w:pPr>
              <w:spacing w:before="20" w:after="20"/>
              <w:jc w:val="center"/>
              <w:rPr>
                <w:rFonts w:ascii="Arial Narrow" w:hAnsi="Arial Narrow"/>
                <w:sz w:val="20"/>
                <w:szCs w:val="20"/>
              </w:rPr>
            </w:pPr>
          </w:p>
        </w:tc>
      </w:tr>
      <w:tr w:rsidR="00955407" w:rsidRPr="00955407" w14:paraId="0EA54296" w14:textId="77777777" w:rsidTr="00401846">
        <w:trPr>
          <w:trHeight w:val="244"/>
        </w:trPr>
        <w:tc>
          <w:tcPr>
            <w:tcW w:w="2373" w:type="pct"/>
            <w:shd w:val="clear" w:color="auto" w:fill="auto"/>
            <w:hideMark/>
          </w:tcPr>
          <w:p w14:paraId="73B2C8E4" w14:textId="77777777" w:rsidR="00955407" w:rsidRPr="00955407" w:rsidRDefault="00955407" w:rsidP="000A6C17">
            <w:pPr>
              <w:spacing w:before="20" w:after="20"/>
              <w:rPr>
                <w:rFonts w:ascii="Arial Narrow" w:hAnsi="Arial Narrow"/>
                <w:sz w:val="20"/>
                <w:szCs w:val="20"/>
              </w:rPr>
            </w:pPr>
            <w:r w:rsidRPr="00955407">
              <w:rPr>
                <w:rFonts w:ascii="Arial Narrow" w:hAnsi="Arial Narrow"/>
                <w:sz w:val="20"/>
                <w:szCs w:val="20"/>
              </w:rPr>
              <w:t>Any adverse event</w:t>
            </w:r>
          </w:p>
        </w:tc>
        <w:tc>
          <w:tcPr>
            <w:tcW w:w="1193" w:type="pct"/>
            <w:shd w:val="clear" w:color="auto" w:fill="auto"/>
            <w:hideMark/>
          </w:tcPr>
          <w:p w14:paraId="2CD1C4F2" w14:textId="77777777" w:rsidR="00955407" w:rsidRPr="00955407" w:rsidRDefault="00955407" w:rsidP="000A6C17">
            <w:pPr>
              <w:spacing w:before="20" w:after="20"/>
              <w:jc w:val="center"/>
              <w:rPr>
                <w:rFonts w:ascii="Arial Narrow" w:hAnsi="Arial Narrow"/>
                <w:sz w:val="20"/>
                <w:szCs w:val="20"/>
              </w:rPr>
            </w:pPr>
            <w:r w:rsidRPr="00955407">
              <w:rPr>
                <w:rFonts w:ascii="Arial Narrow" w:hAnsi="Arial Narrow"/>
                <w:sz w:val="20"/>
                <w:szCs w:val="20"/>
              </w:rPr>
              <w:t>182 (91.9)</w:t>
            </w:r>
          </w:p>
        </w:tc>
        <w:tc>
          <w:tcPr>
            <w:tcW w:w="1434" w:type="pct"/>
            <w:shd w:val="clear" w:color="auto" w:fill="auto"/>
            <w:hideMark/>
          </w:tcPr>
          <w:p w14:paraId="067D43F8" w14:textId="77777777" w:rsidR="00955407" w:rsidRPr="00955407" w:rsidRDefault="00955407" w:rsidP="000A6C17">
            <w:pPr>
              <w:spacing w:before="20" w:after="20"/>
              <w:jc w:val="center"/>
              <w:rPr>
                <w:rFonts w:ascii="Arial Narrow" w:hAnsi="Arial Narrow"/>
                <w:sz w:val="20"/>
                <w:szCs w:val="20"/>
              </w:rPr>
            </w:pPr>
            <w:r w:rsidRPr="00955407">
              <w:rPr>
                <w:rFonts w:ascii="Arial Narrow" w:hAnsi="Arial Narrow"/>
                <w:sz w:val="20"/>
                <w:szCs w:val="20"/>
              </w:rPr>
              <w:t>111 (56.1)</w:t>
            </w:r>
          </w:p>
        </w:tc>
      </w:tr>
      <w:tr w:rsidR="00955407" w:rsidRPr="00955407" w14:paraId="701849F8" w14:textId="77777777" w:rsidTr="00401846">
        <w:trPr>
          <w:trHeight w:val="244"/>
        </w:trPr>
        <w:tc>
          <w:tcPr>
            <w:tcW w:w="2373" w:type="pct"/>
            <w:shd w:val="clear" w:color="auto" w:fill="auto"/>
          </w:tcPr>
          <w:p w14:paraId="74F81E86" w14:textId="77777777" w:rsidR="00955407" w:rsidRPr="00955407" w:rsidRDefault="00955407" w:rsidP="000A6C17">
            <w:pPr>
              <w:spacing w:before="20" w:after="20"/>
              <w:rPr>
                <w:rFonts w:ascii="Arial Narrow" w:hAnsi="Arial Narrow"/>
                <w:sz w:val="20"/>
                <w:szCs w:val="20"/>
              </w:rPr>
            </w:pPr>
            <w:r w:rsidRPr="00955407">
              <w:rPr>
                <w:rFonts w:ascii="Arial Narrow" w:hAnsi="Arial Narrow"/>
                <w:sz w:val="20"/>
                <w:szCs w:val="20"/>
              </w:rPr>
              <w:t>Serious TEAE</w:t>
            </w:r>
          </w:p>
        </w:tc>
        <w:tc>
          <w:tcPr>
            <w:tcW w:w="1193" w:type="pct"/>
            <w:shd w:val="clear" w:color="auto" w:fill="auto"/>
          </w:tcPr>
          <w:p w14:paraId="6DB7F70F" w14:textId="77777777" w:rsidR="00955407" w:rsidRPr="00955407" w:rsidRDefault="00955407" w:rsidP="000A6C17">
            <w:pPr>
              <w:spacing w:before="20" w:after="20"/>
              <w:jc w:val="center"/>
              <w:rPr>
                <w:rFonts w:ascii="Arial Narrow" w:hAnsi="Arial Narrow"/>
                <w:sz w:val="20"/>
                <w:szCs w:val="20"/>
              </w:rPr>
            </w:pPr>
            <w:r w:rsidRPr="00955407">
              <w:rPr>
                <w:rFonts w:ascii="Arial Narrow" w:hAnsi="Arial Narrow"/>
                <w:sz w:val="20"/>
                <w:szCs w:val="20"/>
              </w:rPr>
              <w:t>60 (30.3)</w:t>
            </w:r>
          </w:p>
        </w:tc>
        <w:tc>
          <w:tcPr>
            <w:tcW w:w="1434" w:type="pct"/>
            <w:shd w:val="clear" w:color="auto" w:fill="auto"/>
          </w:tcPr>
          <w:p w14:paraId="458DE85E" w14:textId="77777777" w:rsidR="00955407" w:rsidRPr="00955407" w:rsidRDefault="00955407" w:rsidP="000A6C17">
            <w:pPr>
              <w:spacing w:before="20" w:after="20"/>
              <w:jc w:val="center"/>
              <w:rPr>
                <w:rFonts w:ascii="Arial Narrow" w:hAnsi="Arial Narrow"/>
                <w:sz w:val="20"/>
                <w:szCs w:val="20"/>
              </w:rPr>
            </w:pPr>
            <w:r w:rsidRPr="00955407">
              <w:rPr>
                <w:rFonts w:ascii="Arial Narrow" w:hAnsi="Arial Narrow"/>
                <w:sz w:val="20"/>
                <w:szCs w:val="20"/>
              </w:rPr>
              <w:t>40 (20.1)</w:t>
            </w:r>
          </w:p>
        </w:tc>
      </w:tr>
      <w:tr w:rsidR="00955407" w:rsidRPr="00955407" w14:paraId="2C1A6B76" w14:textId="77777777" w:rsidTr="00401846">
        <w:trPr>
          <w:trHeight w:val="244"/>
        </w:trPr>
        <w:tc>
          <w:tcPr>
            <w:tcW w:w="2373" w:type="pct"/>
            <w:shd w:val="clear" w:color="auto" w:fill="auto"/>
          </w:tcPr>
          <w:p w14:paraId="6EDA978B" w14:textId="77777777" w:rsidR="00955407" w:rsidRPr="00955407" w:rsidRDefault="00955407" w:rsidP="000A6C17">
            <w:pPr>
              <w:spacing w:before="20" w:after="20"/>
              <w:rPr>
                <w:rFonts w:ascii="Arial Narrow" w:hAnsi="Arial Narrow"/>
                <w:sz w:val="20"/>
                <w:szCs w:val="20"/>
              </w:rPr>
            </w:pPr>
            <w:r w:rsidRPr="00955407">
              <w:rPr>
                <w:rFonts w:ascii="Arial Narrow" w:hAnsi="Arial Narrow"/>
                <w:sz w:val="20"/>
                <w:szCs w:val="20"/>
              </w:rPr>
              <w:t>TEAE grade 3 or 4, n (%)</w:t>
            </w:r>
          </w:p>
        </w:tc>
        <w:tc>
          <w:tcPr>
            <w:tcW w:w="1193" w:type="pct"/>
            <w:shd w:val="clear" w:color="auto" w:fill="auto"/>
          </w:tcPr>
          <w:p w14:paraId="52F4916D" w14:textId="77777777" w:rsidR="00955407" w:rsidRPr="00955407" w:rsidRDefault="00955407" w:rsidP="000A6C17">
            <w:pPr>
              <w:spacing w:before="20" w:after="20"/>
              <w:jc w:val="center"/>
              <w:rPr>
                <w:rFonts w:ascii="Arial Narrow" w:hAnsi="Arial Narrow"/>
                <w:sz w:val="20"/>
                <w:szCs w:val="20"/>
              </w:rPr>
            </w:pPr>
            <w:r w:rsidRPr="00955407">
              <w:rPr>
                <w:rFonts w:ascii="Arial Narrow" w:hAnsi="Arial Narrow"/>
                <w:sz w:val="20"/>
                <w:szCs w:val="20"/>
              </w:rPr>
              <w:t>131 (66.2)</w:t>
            </w:r>
          </w:p>
        </w:tc>
        <w:tc>
          <w:tcPr>
            <w:tcW w:w="1434" w:type="pct"/>
            <w:shd w:val="clear" w:color="auto" w:fill="auto"/>
          </w:tcPr>
          <w:p w14:paraId="0B7BEC06" w14:textId="77777777" w:rsidR="00955407" w:rsidRPr="00955407" w:rsidRDefault="00955407" w:rsidP="000A6C17">
            <w:pPr>
              <w:spacing w:before="20" w:after="20"/>
              <w:jc w:val="center"/>
              <w:rPr>
                <w:rFonts w:ascii="Arial Narrow" w:hAnsi="Arial Narrow"/>
                <w:sz w:val="20"/>
                <w:szCs w:val="20"/>
              </w:rPr>
            </w:pPr>
            <w:r w:rsidRPr="00955407">
              <w:rPr>
                <w:rFonts w:ascii="Arial Narrow" w:hAnsi="Arial Narrow"/>
                <w:sz w:val="20"/>
                <w:szCs w:val="20"/>
              </w:rPr>
              <w:t>74 (37.2)</w:t>
            </w:r>
          </w:p>
        </w:tc>
      </w:tr>
      <w:tr w:rsidR="00955407" w:rsidRPr="00955407" w14:paraId="0C1FA54F" w14:textId="77777777" w:rsidTr="00D47BBA">
        <w:trPr>
          <w:trHeight w:val="244"/>
        </w:trPr>
        <w:tc>
          <w:tcPr>
            <w:tcW w:w="2373" w:type="pct"/>
            <w:tcBorders>
              <w:bottom w:val="single" w:sz="4" w:space="0" w:color="auto"/>
            </w:tcBorders>
            <w:shd w:val="clear" w:color="auto" w:fill="auto"/>
          </w:tcPr>
          <w:p w14:paraId="0C995A13" w14:textId="77777777" w:rsidR="00955407" w:rsidRPr="00955407" w:rsidRDefault="00955407" w:rsidP="000A6C17">
            <w:pPr>
              <w:spacing w:before="20" w:after="20"/>
              <w:rPr>
                <w:rFonts w:ascii="Arial Narrow" w:hAnsi="Arial Narrow"/>
                <w:sz w:val="20"/>
                <w:szCs w:val="20"/>
              </w:rPr>
            </w:pPr>
            <w:r w:rsidRPr="00955407">
              <w:rPr>
                <w:rFonts w:ascii="Arial Narrow" w:hAnsi="Arial Narrow"/>
                <w:sz w:val="20"/>
                <w:szCs w:val="20"/>
              </w:rPr>
              <w:t>Grade 5 TEAE</w:t>
            </w:r>
          </w:p>
        </w:tc>
        <w:tc>
          <w:tcPr>
            <w:tcW w:w="1193" w:type="pct"/>
            <w:tcBorders>
              <w:bottom w:val="single" w:sz="4" w:space="0" w:color="auto"/>
            </w:tcBorders>
            <w:shd w:val="clear" w:color="auto" w:fill="auto"/>
          </w:tcPr>
          <w:p w14:paraId="722133F6" w14:textId="77777777" w:rsidR="00955407" w:rsidRPr="00955407" w:rsidRDefault="00955407" w:rsidP="000A6C17">
            <w:pPr>
              <w:spacing w:before="20" w:after="20"/>
              <w:jc w:val="center"/>
              <w:rPr>
                <w:rFonts w:ascii="Arial Narrow" w:hAnsi="Arial Narrow"/>
                <w:sz w:val="20"/>
                <w:szCs w:val="20"/>
              </w:rPr>
            </w:pPr>
            <w:r w:rsidRPr="00955407">
              <w:rPr>
                <w:rFonts w:ascii="Arial Narrow" w:hAnsi="Arial Narrow"/>
                <w:sz w:val="20"/>
                <w:szCs w:val="20"/>
              </w:rPr>
              <w:t>3 (1.5)</w:t>
            </w:r>
          </w:p>
        </w:tc>
        <w:tc>
          <w:tcPr>
            <w:tcW w:w="1434" w:type="pct"/>
            <w:tcBorders>
              <w:bottom w:val="single" w:sz="4" w:space="0" w:color="auto"/>
            </w:tcBorders>
            <w:shd w:val="clear" w:color="auto" w:fill="auto"/>
          </w:tcPr>
          <w:p w14:paraId="7ED352E2" w14:textId="77777777" w:rsidR="00955407" w:rsidRPr="00955407" w:rsidRDefault="00955407" w:rsidP="000A6C17">
            <w:pPr>
              <w:spacing w:before="20" w:after="20"/>
              <w:jc w:val="center"/>
              <w:rPr>
                <w:rFonts w:ascii="Arial Narrow" w:hAnsi="Arial Narrow"/>
                <w:sz w:val="20"/>
                <w:szCs w:val="20"/>
              </w:rPr>
            </w:pPr>
            <w:r w:rsidRPr="00955407">
              <w:rPr>
                <w:rFonts w:ascii="Arial Narrow" w:hAnsi="Arial Narrow"/>
                <w:sz w:val="20"/>
                <w:szCs w:val="20"/>
              </w:rPr>
              <w:t>5 (2.5)</w:t>
            </w:r>
          </w:p>
        </w:tc>
      </w:tr>
      <w:tr w:rsidR="00401846" w:rsidRPr="00D86B89" w14:paraId="18C3825B" w14:textId="77777777" w:rsidTr="00D47BBA">
        <w:trPr>
          <w:trHeight w:val="244"/>
        </w:trPr>
        <w:tc>
          <w:tcPr>
            <w:tcW w:w="2373" w:type="pct"/>
            <w:tcBorders>
              <w:right w:val="nil"/>
            </w:tcBorders>
            <w:shd w:val="clear" w:color="auto" w:fill="auto"/>
          </w:tcPr>
          <w:p w14:paraId="67423670" w14:textId="2C7BF635" w:rsidR="00401846" w:rsidRPr="00D86B89" w:rsidRDefault="00D86B89" w:rsidP="000A6C17">
            <w:pPr>
              <w:spacing w:before="20" w:after="20"/>
              <w:rPr>
                <w:rFonts w:ascii="Arial Narrow" w:hAnsi="Arial Narrow"/>
                <w:b/>
                <w:bCs/>
                <w:sz w:val="20"/>
                <w:szCs w:val="20"/>
              </w:rPr>
            </w:pPr>
            <w:r w:rsidRPr="00D86B89">
              <w:rPr>
                <w:rFonts w:ascii="Arial Narrow" w:hAnsi="Arial Narrow"/>
                <w:b/>
                <w:bCs/>
                <w:sz w:val="20"/>
                <w:szCs w:val="20"/>
              </w:rPr>
              <w:t>Dose modifications</w:t>
            </w:r>
          </w:p>
        </w:tc>
        <w:tc>
          <w:tcPr>
            <w:tcW w:w="1193" w:type="pct"/>
            <w:tcBorders>
              <w:left w:val="nil"/>
              <w:right w:val="nil"/>
            </w:tcBorders>
            <w:shd w:val="clear" w:color="auto" w:fill="auto"/>
          </w:tcPr>
          <w:p w14:paraId="722F5E58" w14:textId="77777777" w:rsidR="00401846" w:rsidRPr="00D86B89" w:rsidRDefault="00401846" w:rsidP="000A6C17">
            <w:pPr>
              <w:spacing w:before="20" w:after="20"/>
              <w:jc w:val="center"/>
              <w:rPr>
                <w:rFonts w:ascii="Arial Narrow" w:hAnsi="Arial Narrow"/>
                <w:b/>
                <w:bCs/>
                <w:sz w:val="20"/>
                <w:szCs w:val="20"/>
              </w:rPr>
            </w:pPr>
          </w:p>
        </w:tc>
        <w:tc>
          <w:tcPr>
            <w:tcW w:w="1434" w:type="pct"/>
            <w:tcBorders>
              <w:left w:val="nil"/>
            </w:tcBorders>
            <w:shd w:val="clear" w:color="auto" w:fill="auto"/>
          </w:tcPr>
          <w:p w14:paraId="1E43593F" w14:textId="77777777" w:rsidR="00401846" w:rsidRPr="00D86B89" w:rsidRDefault="00401846" w:rsidP="000A6C17">
            <w:pPr>
              <w:spacing w:before="20" w:after="20"/>
              <w:jc w:val="center"/>
              <w:rPr>
                <w:rFonts w:ascii="Arial Narrow" w:hAnsi="Arial Narrow"/>
                <w:b/>
                <w:bCs/>
                <w:sz w:val="20"/>
                <w:szCs w:val="20"/>
              </w:rPr>
            </w:pPr>
          </w:p>
        </w:tc>
      </w:tr>
      <w:tr w:rsidR="00D47BBA" w:rsidRPr="00955407" w14:paraId="1D077F82" w14:textId="77777777" w:rsidTr="00C53D12">
        <w:trPr>
          <w:trHeight w:val="244"/>
        </w:trPr>
        <w:tc>
          <w:tcPr>
            <w:tcW w:w="2373" w:type="pct"/>
            <w:shd w:val="clear" w:color="auto" w:fill="auto"/>
            <w:vAlign w:val="center"/>
          </w:tcPr>
          <w:p w14:paraId="449364BC" w14:textId="2C6EE105" w:rsidR="00D47BBA" w:rsidRPr="00955407" w:rsidRDefault="00D47BBA" w:rsidP="000A6C17">
            <w:pPr>
              <w:spacing w:before="20" w:after="20"/>
              <w:rPr>
                <w:rFonts w:ascii="Arial Narrow" w:hAnsi="Arial Narrow"/>
                <w:sz w:val="20"/>
                <w:szCs w:val="20"/>
              </w:rPr>
            </w:pPr>
            <w:r w:rsidRPr="00D47BBA">
              <w:rPr>
                <w:rFonts w:ascii="Arial Narrow" w:hAnsi="Arial Narrow"/>
                <w:sz w:val="20"/>
                <w:szCs w:val="20"/>
              </w:rPr>
              <w:t>Dose interruption due to AEs</w:t>
            </w:r>
          </w:p>
        </w:tc>
        <w:tc>
          <w:tcPr>
            <w:tcW w:w="1193" w:type="pct"/>
            <w:shd w:val="clear" w:color="auto" w:fill="auto"/>
            <w:vAlign w:val="center"/>
          </w:tcPr>
          <w:p w14:paraId="658C4DB2" w14:textId="34BB53CF" w:rsidR="00D47BBA" w:rsidRPr="00955407" w:rsidRDefault="00D47BBA" w:rsidP="000A6C17">
            <w:pPr>
              <w:spacing w:before="20" w:after="20"/>
              <w:jc w:val="center"/>
              <w:rPr>
                <w:rFonts w:ascii="Arial Narrow" w:hAnsi="Arial Narrow"/>
                <w:sz w:val="20"/>
                <w:szCs w:val="20"/>
              </w:rPr>
            </w:pPr>
            <w:r w:rsidRPr="00D47BBA">
              <w:rPr>
                <w:rFonts w:ascii="Arial Narrow" w:hAnsi="Arial Narrow"/>
                <w:sz w:val="20"/>
                <w:szCs w:val="20"/>
              </w:rPr>
              <w:t>114 (57.6%)</w:t>
            </w:r>
          </w:p>
        </w:tc>
        <w:tc>
          <w:tcPr>
            <w:tcW w:w="1434" w:type="pct"/>
            <w:shd w:val="clear" w:color="auto" w:fill="auto"/>
            <w:vAlign w:val="center"/>
          </w:tcPr>
          <w:p w14:paraId="528D97DB" w14:textId="118B019F" w:rsidR="00D47BBA" w:rsidRPr="00955407" w:rsidRDefault="00D47BBA" w:rsidP="000A6C17">
            <w:pPr>
              <w:spacing w:before="20" w:after="20"/>
              <w:jc w:val="center"/>
              <w:rPr>
                <w:rFonts w:ascii="Arial Narrow" w:hAnsi="Arial Narrow"/>
                <w:sz w:val="20"/>
                <w:szCs w:val="20"/>
              </w:rPr>
            </w:pPr>
            <w:r w:rsidRPr="00D47BBA">
              <w:rPr>
                <w:rFonts w:ascii="Arial Narrow" w:hAnsi="Arial Narrow"/>
                <w:sz w:val="20"/>
                <w:szCs w:val="20"/>
              </w:rPr>
              <w:t>31 (15.6%)</w:t>
            </w:r>
          </w:p>
        </w:tc>
      </w:tr>
      <w:tr w:rsidR="00D47BBA" w:rsidRPr="00955407" w14:paraId="26C55282" w14:textId="77777777" w:rsidTr="00C53D12">
        <w:trPr>
          <w:trHeight w:val="244"/>
        </w:trPr>
        <w:tc>
          <w:tcPr>
            <w:tcW w:w="2373" w:type="pct"/>
            <w:shd w:val="clear" w:color="auto" w:fill="auto"/>
            <w:vAlign w:val="center"/>
          </w:tcPr>
          <w:p w14:paraId="7E4AF9FE" w14:textId="1CC9E6F0" w:rsidR="00D47BBA" w:rsidRPr="00955407" w:rsidRDefault="00D47BBA" w:rsidP="000A6C17">
            <w:pPr>
              <w:spacing w:before="20" w:after="20"/>
              <w:rPr>
                <w:rFonts w:ascii="Arial Narrow" w:hAnsi="Arial Narrow"/>
                <w:sz w:val="20"/>
                <w:szCs w:val="20"/>
              </w:rPr>
            </w:pPr>
            <w:r w:rsidRPr="00D47BBA">
              <w:rPr>
                <w:rFonts w:ascii="Arial Narrow" w:hAnsi="Arial Narrow"/>
                <w:sz w:val="20"/>
                <w:szCs w:val="20"/>
              </w:rPr>
              <w:t>Dose reduction due to AEs</w:t>
            </w:r>
          </w:p>
        </w:tc>
        <w:tc>
          <w:tcPr>
            <w:tcW w:w="1193" w:type="pct"/>
            <w:shd w:val="clear" w:color="auto" w:fill="auto"/>
            <w:vAlign w:val="center"/>
          </w:tcPr>
          <w:p w14:paraId="1D6588ED" w14:textId="08AD452E" w:rsidR="00D47BBA" w:rsidRPr="00955407" w:rsidRDefault="00D47BBA" w:rsidP="000A6C17">
            <w:pPr>
              <w:spacing w:before="20" w:after="20"/>
              <w:jc w:val="center"/>
              <w:rPr>
                <w:rFonts w:ascii="Arial Narrow" w:hAnsi="Arial Narrow"/>
                <w:sz w:val="20"/>
                <w:szCs w:val="20"/>
              </w:rPr>
            </w:pPr>
            <w:r w:rsidRPr="00D47BBA">
              <w:rPr>
                <w:rFonts w:ascii="Arial Narrow" w:hAnsi="Arial Narrow"/>
                <w:sz w:val="20"/>
                <w:szCs w:val="20"/>
              </w:rPr>
              <w:t>103 (52.0%)</w:t>
            </w:r>
          </w:p>
        </w:tc>
        <w:tc>
          <w:tcPr>
            <w:tcW w:w="1434" w:type="pct"/>
            <w:shd w:val="clear" w:color="auto" w:fill="auto"/>
            <w:vAlign w:val="center"/>
          </w:tcPr>
          <w:p w14:paraId="5B42A51E" w14:textId="7A43ADD4" w:rsidR="00D47BBA" w:rsidRPr="00955407" w:rsidRDefault="00D47BBA" w:rsidP="000A6C17">
            <w:pPr>
              <w:spacing w:before="20" w:after="20"/>
              <w:jc w:val="center"/>
              <w:rPr>
                <w:rFonts w:ascii="Arial Narrow" w:hAnsi="Arial Narrow"/>
                <w:sz w:val="20"/>
                <w:szCs w:val="20"/>
              </w:rPr>
            </w:pPr>
            <w:r w:rsidRPr="00D47BBA">
              <w:rPr>
                <w:rFonts w:ascii="Arial Narrow" w:hAnsi="Arial Narrow"/>
                <w:sz w:val="20"/>
                <w:szCs w:val="20"/>
              </w:rPr>
              <w:t>12 (6.0%)</w:t>
            </w:r>
          </w:p>
        </w:tc>
      </w:tr>
      <w:tr w:rsidR="00D47BBA" w:rsidRPr="00955407" w14:paraId="2B04D219" w14:textId="77777777" w:rsidTr="00C53D12">
        <w:trPr>
          <w:trHeight w:val="244"/>
        </w:trPr>
        <w:tc>
          <w:tcPr>
            <w:tcW w:w="2373" w:type="pct"/>
            <w:shd w:val="clear" w:color="auto" w:fill="auto"/>
            <w:vAlign w:val="center"/>
          </w:tcPr>
          <w:p w14:paraId="73463E40" w14:textId="1170A018" w:rsidR="00D47BBA" w:rsidRPr="00955407" w:rsidRDefault="00D47BBA" w:rsidP="000A6C17">
            <w:pPr>
              <w:spacing w:before="20" w:after="20"/>
              <w:rPr>
                <w:rFonts w:ascii="Arial Narrow" w:hAnsi="Arial Narrow"/>
                <w:sz w:val="20"/>
                <w:szCs w:val="20"/>
              </w:rPr>
            </w:pPr>
            <w:r w:rsidRPr="00D47BBA">
              <w:rPr>
                <w:rFonts w:ascii="Arial Narrow" w:hAnsi="Arial Narrow"/>
                <w:sz w:val="20"/>
                <w:szCs w:val="20"/>
              </w:rPr>
              <w:t>Discontinuation due to AEs</w:t>
            </w:r>
          </w:p>
        </w:tc>
        <w:tc>
          <w:tcPr>
            <w:tcW w:w="1193" w:type="pct"/>
            <w:shd w:val="clear" w:color="auto" w:fill="auto"/>
            <w:vAlign w:val="center"/>
          </w:tcPr>
          <w:p w14:paraId="68CF2385" w14:textId="28BA78C9" w:rsidR="00D47BBA" w:rsidRPr="00955407" w:rsidRDefault="00D47BBA" w:rsidP="000A6C17">
            <w:pPr>
              <w:spacing w:before="20" w:after="20"/>
              <w:jc w:val="center"/>
              <w:rPr>
                <w:rFonts w:ascii="Arial Narrow" w:hAnsi="Arial Narrow"/>
                <w:sz w:val="20"/>
                <w:szCs w:val="20"/>
              </w:rPr>
            </w:pPr>
            <w:r w:rsidRPr="00D47BBA">
              <w:rPr>
                <w:rFonts w:ascii="Arial Narrow" w:hAnsi="Arial Narrow"/>
                <w:sz w:val="20"/>
                <w:szCs w:val="20"/>
              </w:rPr>
              <w:t>20 (10.1%)</w:t>
            </w:r>
          </w:p>
        </w:tc>
        <w:tc>
          <w:tcPr>
            <w:tcW w:w="1434" w:type="pct"/>
            <w:shd w:val="clear" w:color="auto" w:fill="auto"/>
            <w:vAlign w:val="center"/>
          </w:tcPr>
          <w:p w14:paraId="6D929256" w14:textId="14B8761D" w:rsidR="00D47BBA" w:rsidRPr="00955407" w:rsidRDefault="00D47BBA" w:rsidP="000A6C17">
            <w:pPr>
              <w:spacing w:before="20" w:after="20"/>
              <w:jc w:val="center"/>
              <w:rPr>
                <w:rFonts w:ascii="Arial Narrow" w:hAnsi="Arial Narrow"/>
                <w:sz w:val="20"/>
                <w:szCs w:val="20"/>
              </w:rPr>
            </w:pPr>
            <w:r w:rsidRPr="00D47BBA">
              <w:rPr>
                <w:rFonts w:ascii="Arial Narrow" w:hAnsi="Arial Narrow"/>
                <w:sz w:val="20"/>
                <w:szCs w:val="20"/>
              </w:rPr>
              <w:t>14 (7.0%)</w:t>
            </w:r>
          </w:p>
        </w:tc>
      </w:tr>
    </w:tbl>
    <w:p w14:paraId="4F6738F2" w14:textId="7107C02C" w:rsidR="00D8100A" w:rsidRDefault="00D8100A" w:rsidP="00643633">
      <w:pPr>
        <w:pStyle w:val="Tablenotes0"/>
      </w:pPr>
      <w:r>
        <w:t xml:space="preserve">Source: </w:t>
      </w:r>
      <w:r w:rsidR="00DC1523">
        <w:t>Tables 10-11, MSAC minor submission.</w:t>
      </w:r>
    </w:p>
    <w:p w14:paraId="59C66B6A" w14:textId="2A4C6263" w:rsidR="00EC03D1" w:rsidRDefault="00643633" w:rsidP="00643633">
      <w:pPr>
        <w:pStyle w:val="Tablenotes0"/>
      </w:pPr>
      <w:r w:rsidRPr="00643633">
        <w:t>AE</w:t>
      </w:r>
      <w:r>
        <w:t xml:space="preserve"> =</w:t>
      </w:r>
      <w:r w:rsidRPr="00643633">
        <w:t xml:space="preserve"> adverse event; ENZ</w:t>
      </w:r>
      <w:r w:rsidR="00D8100A">
        <w:t xml:space="preserve"> =</w:t>
      </w:r>
      <w:r w:rsidRPr="00643633">
        <w:t xml:space="preserve"> enzalutamide; PBO</w:t>
      </w:r>
      <w:r w:rsidR="00D8100A">
        <w:t xml:space="preserve"> =</w:t>
      </w:r>
      <w:r w:rsidRPr="00643633">
        <w:t xml:space="preserve"> placebo; TAL</w:t>
      </w:r>
      <w:r w:rsidR="00D8100A">
        <w:t xml:space="preserve"> =</w:t>
      </w:r>
      <w:r w:rsidRPr="00643633">
        <w:t xml:space="preserve"> talazoparib</w:t>
      </w:r>
      <w:r w:rsidR="00D8100A">
        <w:t xml:space="preserve">; </w:t>
      </w:r>
      <w:r w:rsidR="00D8100A" w:rsidRPr="00D8100A">
        <w:t>TEAE</w:t>
      </w:r>
      <w:r w:rsidR="00D8100A">
        <w:t xml:space="preserve"> =</w:t>
      </w:r>
      <w:r w:rsidR="00D8100A" w:rsidRPr="00D8100A">
        <w:t xml:space="preserve"> treatment emergent adverse event.</w:t>
      </w:r>
    </w:p>
    <w:p w14:paraId="3717AA01" w14:textId="5892C634" w:rsidR="00772829" w:rsidRDefault="00F36F57" w:rsidP="002A18BE">
      <w:pPr>
        <w:pStyle w:val="Heading2"/>
        <w:numPr>
          <w:ilvl w:val="0"/>
          <w:numId w:val="0"/>
        </w:numPr>
      </w:pPr>
      <w:bookmarkStart w:id="20" w:name="_Toc69491424"/>
      <w:r>
        <w:t>12</w:t>
      </w:r>
      <w:r w:rsidR="00C36633">
        <w:t>.</w:t>
      </w:r>
      <w:r w:rsidR="00C36633">
        <w:tab/>
      </w:r>
      <w:r w:rsidR="00772829" w:rsidRPr="00CE28E3">
        <w:t>Comparative effectiveness</w:t>
      </w:r>
      <w:bookmarkEnd w:id="20"/>
    </w:p>
    <w:p w14:paraId="025824C4" w14:textId="00A06B4E" w:rsidR="000A6C17" w:rsidRDefault="006F3754" w:rsidP="00EC69A9">
      <w:r w:rsidRPr="006F3754">
        <w:t xml:space="preserve">The MSAC minor submission considered MSAC had previously accepted the comparative </w:t>
      </w:r>
      <w:r>
        <w:t xml:space="preserve">effectiveness </w:t>
      </w:r>
      <w:r w:rsidRPr="006F3754">
        <w:t>of the genetic test in its consideration of application 1618 and present</w:t>
      </w:r>
      <w:r w:rsidR="0095671E">
        <w:t>ed</w:t>
      </w:r>
      <w:r w:rsidRPr="006F3754">
        <w:t xml:space="preserve"> </w:t>
      </w:r>
      <w:r w:rsidR="0095671E">
        <w:t>on</w:t>
      </w:r>
      <w:r w:rsidR="008D1B2C">
        <w:t>ly</w:t>
      </w:r>
      <w:r w:rsidR="0095671E">
        <w:t xml:space="preserve"> </w:t>
      </w:r>
      <w:r w:rsidRPr="006F3754">
        <w:t>evidence on</w:t>
      </w:r>
      <w:r w:rsidR="0095671E">
        <w:t xml:space="preserve"> the comparative clinical effectiveness in the TALAPRO-2 trial</w:t>
      </w:r>
      <w:r w:rsidRPr="006F3754">
        <w:t xml:space="preserve">. </w:t>
      </w:r>
      <w:r w:rsidR="006B1A67">
        <w:t xml:space="preserve">The submission reported </w:t>
      </w:r>
      <w:r w:rsidR="006B1A67" w:rsidRPr="006B1A67">
        <w:t xml:space="preserve">95% agreement between prospective tissue and </w:t>
      </w:r>
      <w:proofErr w:type="spellStart"/>
      <w:r w:rsidR="006B1A67" w:rsidRPr="006B1A67">
        <w:t>ctDNA</w:t>
      </w:r>
      <w:proofErr w:type="spellEnd"/>
      <w:r w:rsidR="006B1A67" w:rsidRPr="006B1A67">
        <w:t xml:space="preserve">-based HRR mutational status using </w:t>
      </w:r>
      <w:proofErr w:type="spellStart"/>
      <w:r w:rsidR="006B1A67" w:rsidRPr="006B1A67">
        <w:t>FoundationOne</w:t>
      </w:r>
      <w:proofErr w:type="spellEnd"/>
      <w:r w:rsidR="006B1A67" w:rsidRPr="006B1A67">
        <w:t xml:space="preserve">, consistent with </w:t>
      </w:r>
      <w:r w:rsidR="006B1A67">
        <w:t xml:space="preserve">the </w:t>
      </w:r>
      <w:r w:rsidR="006B1A67" w:rsidRPr="006B1A67">
        <w:t>results reported in the literature</w:t>
      </w:r>
      <w:r w:rsidR="006B1A67">
        <w:t>.</w:t>
      </w:r>
      <w:r w:rsidR="00F9409E">
        <w:t xml:space="preserve"> </w:t>
      </w:r>
      <w:r w:rsidR="009D34AE">
        <w:fldChar w:fldCharType="begin"/>
      </w:r>
      <w:r w:rsidR="009D34AE">
        <w:instrText xml:space="preserve"> REF _Ref164359758 \h </w:instrText>
      </w:r>
      <w:r w:rsidR="009D34AE">
        <w:fldChar w:fldCharType="separate"/>
      </w:r>
      <w:r w:rsidR="009D34AE">
        <w:t xml:space="preserve">Table </w:t>
      </w:r>
      <w:r w:rsidR="009D34AE">
        <w:rPr>
          <w:noProof/>
        </w:rPr>
        <w:t>4</w:t>
      </w:r>
      <w:r w:rsidR="009D34AE">
        <w:fldChar w:fldCharType="end"/>
      </w:r>
      <w:r w:rsidR="009D34AE">
        <w:t xml:space="preserve"> pr</w:t>
      </w:r>
      <w:r w:rsidR="00911A9F">
        <w:t xml:space="preserve">esents </w:t>
      </w:r>
      <w:r w:rsidR="009C550B">
        <w:t xml:space="preserve">the results </w:t>
      </w:r>
      <w:r w:rsidR="00911A9F">
        <w:t xml:space="preserve">of </w:t>
      </w:r>
      <w:proofErr w:type="spellStart"/>
      <w:r w:rsidR="00403D68" w:rsidRPr="00403D68">
        <w:t>rPFS</w:t>
      </w:r>
      <w:proofErr w:type="spellEnd"/>
      <w:r w:rsidR="00403D68" w:rsidRPr="00403D68">
        <w:t xml:space="preserve"> based on BICR assessment </w:t>
      </w:r>
      <w:r w:rsidR="004F1F18">
        <w:t xml:space="preserve">and </w:t>
      </w:r>
      <w:r w:rsidR="004F1F18" w:rsidRPr="004F1F18">
        <w:t xml:space="preserve">overall survival (OS) </w:t>
      </w:r>
      <w:r w:rsidR="00911A9F">
        <w:t xml:space="preserve">for Cohort 2 </w:t>
      </w:r>
      <w:r w:rsidR="004F1F18">
        <w:t xml:space="preserve">in the </w:t>
      </w:r>
      <w:r w:rsidR="007A0689">
        <w:br/>
      </w:r>
      <w:r w:rsidR="004F1F18">
        <w:t>TALAPRO-2 tr</w:t>
      </w:r>
      <w:r w:rsidR="00911A9F">
        <w:t xml:space="preserve">ial. </w:t>
      </w:r>
      <w:r w:rsidR="000A6C17">
        <w:br w:type="page"/>
      </w:r>
    </w:p>
    <w:p w14:paraId="7BFB91B6" w14:textId="152B4D17" w:rsidR="006F2A97" w:rsidRDefault="00B24F68" w:rsidP="00403D68">
      <w:pPr>
        <w:pStyle w:val="Caption"/>
      </w:pPr>
      <w:bookmarkStart w:id="21" w:name="_Ref164359758"/>
      <w:r>
        <w:lastRenderedPageBreak/>
        <w:t xml:space="preserve">Table </w:t>
      </w:r>
      <w:r w:rsidR="00341CAB">
        <w:fldChar w:fldCharType="begin"/>
      </w:r>
      <w:r w:rsidR="00341CAB">
        <w:instrText xml:space="preserve"> SEQ Table \* ARABIC </w:instrText>
      </w:r>
      <w:r w:rsidR="00341CAB">
        <w:fldChar w:fldCharType="separate"/>
      </w:r>
      <w:r w:rsidR="00935FE6">
        <w:rPr>
          <w:noProof/>
        </w:rPr>
        <w:t>4</w:t>
      </w:r>
      <w:r w:rsidR="00341CAB">
        <w:rPr>
          <w:noProof/>
        </w:rPr>
        <w:fldChar w:fldCharType="end"/>
      </w:r>
      <w:bookmarkEnd w:id="21"/>
      <w:r>
        <w:tab/>
      </w:r>
      <w:r w:rsidRPr="009E3C4C">
        <w:t xml:space="preserve">Summary of </w:t>
      </w:r>
      <w:proofErr w:type="spellStart"/>
      <w:r w:rsidRPr="009E3C4C">
        <w:t>rPFS</w:t>
      </w:r>
      <w:proofErr w:type="spellEnd"/>
      <w:r w:rsidRPr="009E3C4C">
        <w:t xml:space="preserve"> </w:t>
      </w:r>
      <w:r w:rsidR="000441E3">
        <w:t>and OS</w:t>
      </w:r>
      <w:r w:rsidR="003A42BA">
        <w:t xml:space="preserve"> in </w:t>
      </w:r>
      <w:r w:rsidR="00950DF3">
        <w:t xml:space="preserve">the </w:t>
      </w:r>
      <w:r w:rsidR="003A42BA">
        <w:t xml:space="preserve">TALAPRO-2 </w:t>
      </w:r>
      <w:proofErr w:type="gramStart"/>
      <w:r w:rsidR="00950DF3">
        <w:t>trial</w:t>
      </w:r>
      <w:proofErr w:type="gramEnd"/>
    </w:p>
    <w:tbl>
      <w:tblPr>
        <w:tblStyle w:val="TableGrid"/>
        <w:tblW w:w="5000" w:type="pct"/>
        <w:tblLook w:val="04A0" w:firstRow="1" w:lastRow="0" w:firstColumn="1" w:lastColumn="0" w:noHBand="0" w:noVBand="1"/>
      </w:tblPr>
      <w:tblGrid>
        <w:gridCol w:w="2123"/>
        <w:gridCol w:w="1134"/>
        <w:gridCol w:w="1134"/>
        <w:gridCol w:w="1134"/>
        <w:gridCol w:w="1134"/>
        <w:gridCol w:w="1134"/>
        <w:gridCol w:w="1223"/>
      </w:tblGrid>
      <w:tr w:rsidR="000D2B94" w:rsidRPr="005E16C6" w14:paraId="3200F547" w14:textId="77777777" w:rsidTr="000D2B94">
        <w:trPr>
          <w:trHeight w:val="244"/>
        </w:trPr>
        <w:tc>
          <w:tcPr>
            <w:tcW w:w="1177" w:type="pct"/>
            <w:tcBorders>
              <w:bottom w:val="nil"/>
            </w:tcBorders>
            <w:shd w:val="clear" w:color="auto" w:fill="auto"/>
            <w:vAlign w:val="center"/>
          </w:tcPr>
          <w:p w14:paraId="61AC523B" w14:textId="77777777" w:rsidR="005E16C6" w:rsidRPr="005E16C6" w:rsidRDefault="005E16C6" w:rsidP="000A6C17">
            <w:pPr>
              <w:spacing w:before="20" w:after="20"/>
              <w:rPr>
                <w:rFonts w:ascii="Arial Narrow" w:hAnsi="Arial Narrow"/>
                <w:b/>
                <w:sz w:val="20"/>
                <w:szCs w:val="20"/>
              </w:rPr>
            </w:pPr>
          </w:p>
        </w:tc>
        <w:tc>
          <w:tcPr>
            <w:tcW w:w="1258" w:type="pct"/>
            <w:gridSpan w:val="2"/>
            <w:shd w:val="clear" w:color="auto" w:fill="auto"/>
            <w:vAlign w:val="center"/>
          </w:tcPr>
          <w:p w14:paraId="2ADB9952" w14:textId="77777777" w:rsidR="005E16C6" w:rsidRPr="005E16C6" w:rsidRDefault="005E16C6" w:rsidP="000A6C17">
            <w:pPr>
              <w:spacing w:before="20" w:after="20"/>
              <w:jc w:val="center"/>
              <w:rPr>
                <w:rFonts w:ascii="Arial Narrow" w:hAnsi="Arial Narrow"/>
                <w:b/>
                <w:sz w:val="20"/>
                <w:szCs w:val="20"/>
              </w:rPr>
            </w:pPr>
            <w:r w:rsidRPr="005E16C6">
              <w:rPr>
                <w:rFonts w:ascii="Arial Narrow" w:hAnsi="Arial Narrow"/>
                <w:b/>
                <w:sz w:val="20"/>
                <w:szCs w:val="20"/>
              </w:rPr>
              <w:t>Cohort 2- ITT HRR def</w:t>
            </w:r>
          </w:p>
        </w:tc>
        <w:tc>
          <w:tcPr>
            <w:tcW w:w="1258" w:type="pct"/>
            <w:gridSpan w:val="2"/>
            <w:shd w:val="clear" w:color="auto" w:fill="auto"/>
            <w:vAlign w:val="center"/>
          </w:tcPr>
          <w:p w14:paraId="4595AA3E" w14:textId="77777777" w:rsidR="005E16C6" w:rsidRPr="005E16C6" w:rsidRDefault="005E16C6" w:rsidP="000A6C17">
            <w:pPr>
              <w:spacing w:before="20" w:after="20"/>
              <w:jc w:val="center"/>
              <w:rPr>
                <w:rFonts w:ascii="Arial Narrow" w:hAnsi="Arial Narrow"/>
                <w:b/>
                <w:sz w:val="20"/>
                <w:szCs w:val="20"/>
              </w:rPr>
            </w:pPr>
            <w:r w:rsidRPr="005E16C6">
              <w:rPr>
                <w:rFonts w:ascii="Arial Narrow" w:hAnsi="Arial Narrow"/>
                <w:b/>
                <w:sz w:val="20"/>
                <w:szCs w:val="20"/>
              </w:rPr>
              <w:t>Cohort 2 – BRCA1/2</w:t>
            </w:r>
          </w:p>
        </w:tc>
        <w:tc>
          <w:tcPr>
            <w:tcW w:w="1307" w:type="pct"/>
            <w:gridSpan w:val="2"/>
            <w:shd w:val="clear" w:color="auto" w:fill="auto"/>
          </w:tcPr>
          <w:p w14:paraId="19B0E2FE" w14:textId="77777777" w:rsidR="005E16C6" w:rsidRPr="005E16C6" w:rsidRDefault="005E16C6" w:rsidP="000A6C17">
            <w:pPr>
              <w:spacing w:before="20" w:after="20"/>
              <w:jc w:val="center"/>
              <w:rPr>
                <w:rFonts w:ascii="Arial Narrow" w:hAnsi="Arial Narrow"/>
                <w:b/>
                <w:sz w:val="20"/>
                <w:szCs w:val="20"/>
              </w:rPr>
            </w:pPr>
            <w:r w:rsidRPr="005E16C6">
              <w:rPr>
                <w:rFonts w:ascii="Arial Narrow" w:hAnsi="Arial Narrow"/>
                <w:b/>
                <w:sz w:val="20"/>
                <w:szCs w:val="20"/>
              </w:rPr>
              <w:t>Cohort 2 – non-BRCA1/2</w:t>
            </w:r>
          </w:p>
        </w:tc>
      </w:tr>
      <w:tr w:rsidR="000D2B94" w:rsidRPr="005E16C6" w14:paraId="34D2E673" w14:textId="77777777" w:rsidTr="000D2B94">
        <w:trPr>
          <w:trHeight w:val="244"/>
        </w:trPr>
        <w:tc>
          <w:tcPr>
            <w:tcW w:w="1177" w:type="pct"/>
            <w:tcBorders>
              <w:top w:val="nil"/>
            </w:tcBorders>
            <w:shd w:val="clear" w:color="auto" w:fill="auto"/>
            <w:vAlign w:val="center"/>
            <w:hideMark/>
          </w:tcPr>
          <w:p w14:paraId="69CE77D0" w14:textId="77777777" w:rsidR="005E16C6" w:rsidRPr="005E16C6" w:rsidRDefault="005E16C6" w:rsidP="000A6C17">
            <w:pPr>
              <w:spacing w:before="20" w:after="20"/>
              <w:rPr>
                <w:rFonts w:ascii="Arial Narrow" w:hAnsi="Arial Narrow"/>
                <w:b/>
                <w:sz w:val="20"/>
                <w:szCs w:val="20"/>
              </w:rPr>
            </w:pPr>
          </w:p>
        </w:tc>
        <w:tc>
          <w:tcPr>
            <w:tcW w:w="629" w:type="pct"/>
            <w:shd w:val="clear" w:color="auto" w:fill="auto"/>
            <w:vAlign w:val="center"/>
            <w:hideMark/>
          </w:tcPr>
          <w:p w14:paraId="30D74A4B" w14:textId="77777777" w:rsidR="005E16C6" w:rsidRPr="005E16C6" w:rsidRDefault="005E16C6" w:rsidP="000A6C17">
            <w:pPr>
              <w:spacing w:before="20" w:after="20"/>
              <w:rPr>
                <w:rFonts w:ascii="Arial Narrow" w:hAnsi="Arial Narrow"/>
                <w:b/>
                <w:sz w:val="20"/>
                <w:szCs w:val="20"/>
              </w:rPr>
            </w:pPr>
            <w:r w:rsidRPr="005E16C6">
              <w:rPr>
                <w:rFonts w:ascii="Arial Narrow" w:hAnsi="Arial Narrow"/>
                <w:b/>
                <w:sz w:val="20"/>
                <w:szCs w:val="20"/>
              </w:rPr>
              <w:t>TAL + ENZ</w:t>
            </w:r>
          </w:p>
          <w:p w14:paraId="4E49F005" w14:textId="77777777" w:rsidR="005E16C6" w:rsidRPr="005E16C6" w:rsidRDefault="005E16C6" w:rsidP="000A6C17">
            <w:pPr>
              <w:spacing w:before="20" w:after="20"/>
              <w:rPr>
                <w:rFonts w:ascii="Arial Narrow" w:hAnsi="Arial Narrow"/>
                <w:b/>
                <w:sz w:val="20"/>
                <w:szCs w:val="20"/>
              </w:rPr>
            </w:pPr>
            <w:r w:rsidRPr="005E16C6">
              <w:rPr>
                <w:rFonts w:ascii="Arial Narrow" w:hAnsi="Arial Narrow"/>
                <w:b/>
                <w:sz w:val="20"/>
                <w:szCs w:val="20"/>
              </w:rPr>
              <w:t>N=200</w:t>
            </w:r>
          </w:p>
        </w:tc>
        <w:tc>
          <w:tcPr>
            <w:tcW w:w="629" w:type="pct"/>
            <w:shd w:val="clear" w:color="auto" w:fill="auto"/>
            <w:vAlign w:val="center"/>
            <w:hideMark/>
          </w:tcPr>
          <w:p w14:paraId="0589C251" w14:textId="77777777" w:rsidR="005E16C6" w:rsidRPr="005E16C6" w:rsidRDefault="005E16C6" w:rsidP="000A6C17">
            <w:pPr>
              <w:spacing w:before="20" w:after="20"/>
              <w:jc w:val="center"/>
              <w:rPr>
                <w:rFonts w:ascii="Arial Narrow" w:hAnsi="Arial Narrow"/>
                <w:b/>
                <w:sz w:val="20"/>
                <w:szCs w:val="20"/>
              </w:rPr>
            </w:pPr>
            <w:r w:rsidRPr="005E16C6">
              <w:rPr>
                <w:rFonts w:ascii="Arial Narrow" w:hAnsi="Arial Narrow"/>
                <w:b/>
                <w:sz w:val="20"/>
                <w:szCs w:val="20"/>
              </w:rPr>
              <w:t>PBO + ENZ</w:t>
            </w:r>
          </w:p>
          <w:p w14:paraId="10F05061" w14:textId="77777777" w:rsidR="005E16C6" w:rsidRPr="005E16C6" w:rsidRDefault="005E16C6" w:rsidP="000A6C17">
            <w:pPr>
              <w:spacing w:before="20" w:after="20"/>
              <w:jc w:val="center"/>
              <w:rPr>
                <w:rFonts w:ascii="Arial Narrow" w:hAnsi="Arial Narrow"/>
                <w:b/>
                <w:sz w:val="20"/>
                <w:szCs w:val="20"/>
              </w:rPr>
            </w:pPr>
            <w:r w:rsidRPr="005E16C6">
              <w:rPr>
                <w:rFonts w:ascii="Arial Narrow" w:hAnsi="Arial Narrow"/>
                <w:b/>
                <w:sz w:val="20"/>
                <w:szCs w:val="20"/>
              </w:rPr>
              <w:t>N=199</w:t>
            </w:r>
          </w:p>
        </w:tc>
        <w:tc>
          <w:tcPr>
            <w:tcW w:w="629" w:type="pct"/>
            <w:shd w:val="clear" w:color="auto" w:fill="auto"/>
            <w:vAlign w:val="center"/>
            <w:hideMark/>
          </w:tcPr>
          <w:p w14:paraId="6E48607E" w14:textId="77777777" w:rsidR="005E16C6" w:rsidRPr="005E16C6" w:rsidRDefault="005E16C6" w:rsidP="000A6C17">
            <w:pPr>
              <w:spacing w:before="20" w:after="20"/>
              <w:jc w:val="center"/>
              <w:rPr>
                <w:rFonts w:ascii="Arial Narrow" w:hAnsi="Arial Narrow"/>
                <w:b/>
                <w:sz w:val="20"/>
                <w:szCs w:val="20"/>
              </w:rPr>
            </w:pPr>
            <w:r w:rsidRPr="005E16C6">
              <w:rPr>
                <w:rFonts w:ascii="Arial Narrow" w:hAnsi="Arial Narrow"/>
                <w:b/>
                <w:sz w:val="20"/>
                <w:szCs w:val="20"/>
              </w:rPr>
              <w:t>TAL + ENZ</w:t>
            </w:r>
          </w:p>
          <w:p w14:paraId="69AAB802" w14:textId="77777777" w:rsidR="005E16C6" w:rsidRPr="005E16C6" w:rsidRDefault="005E16C6" w:rsidP="000A6C17">
            <w:pPr>
              <w:spacing w:before="20" w:after="20"/>
              <w:jc w:val="center"/>
              <w:rPr>
                <w:rFonts w:ascii="Arial Narrow" w:hAnsi="Arial Narrow"/>
                <w:b/>
                <w:sz w:val="20"/>
                <w:szCs w:val="20"/>
              </w:rPr>
            </w:pPr>
            <w:r w:rsidRPr="005E16C6">
              <w:rPr>
                <w:rFonts w:ascii="Arial Narrow" w:hAnsi="Arial Narrow"/>
                <w:b/>
                <w:sz w:val="20"/>
                <w:szCs w:val="20"/>
              </w:rPr>
              <w:t>N=71</w:t>
            </w:r>
          </w:p>
        </w:tc>
        <w:tc>
          <w:tcPr>
            <w:tcW w:w="629" w:type="pct"/>
            <w:shd w:val="clear" w:color="auto" w:fill="auto"/>
            <w:vAlign w:val="center"/>
            <w:hideMark/>
          </w:tcPr>
          <w:p w14:paraId="556216D7" w14:textId="77777777" w:rsidR="005E16C6" w:rsidRPr="005E16C6" w:rsidRDefault="005E16C6" w:rsidP="000A6C17">
            <w:pPr>
              <w:spacing w:before="20" w:after="20"/>
              <w:jc w:val="center"/>
              <w:rPr>
                <w:rFonts w:ascii="Arial Narrow" w:hAnsi="Arial Narrow"/>
                <w:b/>
                <w:sz w:val="20"/>
                <w:szCs w:val="20"/>
              </w:rPr>
            </w:pPr>
            <w:r w:rsidRPr="005E16C6">
              <w:rPr>
                <w:rFonts w:ascii="Arial Narrow" w:hAnsi="Arial Narrow"/>
                <w:b/>
                <w:sz w:val="20"/>
                <w:szCs w:val="20"/>
              </w:rPr>
              <w:t>PBO + ENZ</w:t>
            </w:r>
          </w:p>
          <w:p w14:paraId="2F132873" w14:textId="77777777" w:rsidR="005E16C6" w:rsidRPr="005E16C6" w:rsidRDefault="005E16C6" w:rsidP="000A6C17">
            <w:pPr>
              <w:spacing w:before="20" w:after="20"/>
              <w:jc w:val="center"/>
              <w:rPr>
                <w:rFonts w:ascii="Arial Narrow" w:hAnsi="Arial Narrow"/>
                <w:b/>
                <w:sz w:val="20"/>
                <w:szCs w:val="20"/>
              </w:rPr>
            </w:pPr>
            <w:r w:rsidRPr="005E16C6">
              <w:rPr>
                <w:rFonts w:ascii="Arial Narrow" w:hAnsi="Arial Narrow"/>
                <w:b/>
                <w:sz w:val="20"/>
                <w:szCs w:val="20"/>
              </w:rPr>
              <w:t>N=84</w:t>
            </w:r>
          </w:p>
        </w:tc>
        <w:tc>
          <w:tcPr>
            <w:tcW w:w="629" w:type="pct"/>
            <w:shd w:val="clear" w:color="auto" w:fill="auto"/>
            <w:vAlign w:val="center"/>
          </w:tcPr>
          <w:p w14:paraId="0D037E4D" w14:textId="77777777" w:rsidR="005E16C6" w:rsidRPr="005E16C6" w:rsidRDefault="005E16C6" w:rsidP="000A6C17">
            <w:pPr>
              <w:spacing w:before="20" w:after="20"/>
              <w:jc w:val="center"/>
              <w:rPr>
                <w:rFonts w:ascii="Arial Narrow" w:hAnsi="Arial Narrow"/>
                <w:b/>
                <w:sz w:val="20"/>
                <w:szCs w:val="20"/>
              </w:rPr>
            </w:pPr>
            <w:r w:rsidRPr="005E16C6">
              <w:rPr>
                <w:rFonts w:ascii="Arial Narrow" w:hAnsi="Arial Narrow"/>
                <w:b/>
                <w:sz w:val="20"/>
                <w:szCs w:val="20"/>
              </w:rPr>
              <w:t>TAL + ENZ</w:t>
            </w:r>
          </w:p>
          <w:p w14:paraId="5A10FE21" w14:textId="77777777" w:rsidR="005E16C6" w:rsidRPr="005E16C6" w:rsidRDefault="005E16C6" w:rsidP="000A6C17">
            <w:pPr>
              <w:spacing w:before="20" w:after="20"/>
              <w:jc w:val="center"/>
              <w:rPr>
                <w:rFonts w:ascii="Arial Narrow" w:hAnsi="Arial Narrow"/>
                <w:b/>
                <w:sz w:val="20"/>
                <w:szCs w:val="20"/>
              </w:rPr>
            </w:pPr>
            <w:r w:rsidRPr="005E16C6">
              <w:rPr>
                <w:rFonts w:ascii="Arial Narrow" w:hAnsi="Arial Narrow"/>
                <w:b/>
                <w:sz w:val="20"/>
                <w:szCs w:val="20"/>
              </w:rPr>
              <w:t>N=127</w:t>
            </w:r>
          </w:p>
        </w:tc>
        <w:tc>
          <w:tcPr>
            <w:tcW w:w="678" w:type="pct"/>
            <w:shd w:val="clear" w:color="auto" w:fill="auto"/>
            <w:vAlign w:val="center"/>
          </w:tcPr>
          <w:p w14:paraId="58F20DA1" w14:textId="77777777" w:rsidR="005E16C6" w:rsidRPr="005E16C6" w:rsidRDefault="005E16C6" w:rsidP="000A6C17">
            <w:pPr>
              <w:spacing w:before="20" w:after="20"/>
              <w:jc w:val="center"/>
              <w:rPr>
                <w:rFonts w:ascii="Arial Narrow" w:hAnsi="Arial Narrow"/>
                <w:b/>
                <w:sz w:val="20"/>
                <w:szCs w:val="20"/>
              </w:rPr>
            </w:pPr>
            <w:r w:rsidRPr="005E16C6">
              <w:rPr>
                <w:rFonts w:ascii="Arial Narrow" w:hAnsi="Arial Narrow"/>
                <w:b/>
                <w:sz w:val="20"/>
                <w:szCs w:val="20"/>
              </w:rPr>
              <w:t>PBO + ENZ</w:t>
            </w:r>
          </w:p>
          <w:p w14:paraId="5901CAEE" w14:textId="77777777" w:rsidR="005E16C6" w:rsidRPr="005E16C6" w:rsidRDefault="005E16C6" w:rsidP="000A6C17">
            <w:pPr>
              <w:spacing w:before="20" w:after="20"/>
              <w:jc w:val="center"/>
              <w:rPr>
                <w:rFonts w:ascii="Arial Narrow" w:hAnsi="Arial Narrow"/>
                <w:b/>
                <w:sz w:val="20"/>
                <w:szCs w:val="20"/>
              </w:rPr>
            </w:pPr>
            <w:r w:rsidRPr="005E16C6">
              <w:rPr>
                <w:rFonts w:ascii="Arial Narrow" w:hAnsi="Arial Narrow"/>
                <w:b/>
                <w:sz w:val="20"/>
                <w:szCs w:val="20"/>
              </w:rPr>
              <w:t>N=113</w:t>
            </w:r>
          </w:p>
        </w:tc>
      </w:tr>
      <w:tr w:rsidR="005E16C6" w:rsidRPr="005E16C6" w14:paraId="34720C1D" w14:textId="77777777" w:rsidTr="005E16C6">
        <w:trPr>
          <w:trHeight w:val="244"/>
        </w:trPr>
        <w:tc>
          <w:tcPr>
            <w:tcW w:w="5000" w:type="pct"/>
            <w:gridSpan w:val="7"/>
            <w:shd w:val="clear" w:color="auto" w:fill="auto"/>
            <w:hideMark/>
          </w:tcPr>
          <w:p w14:paraId="19DFA963" w14:textId="77777777" w:rsidR="005E16C6" w:rsidRPr="005E16C6" w:rsidRDefault="005E16C6" w:rsidP="000A6C17">
            <w:pPr>
              <w:spacing w:before="20" w:after="20"/>
              <w:rPr>
                <w:rFonts w:ascii="Arial Narrow" w:hAnsi="Arial Narrow"/>
                <w:b/>
                <w:bCs/>
                <w:sz w:val="20"/>
                <w:szCs w:val="20"/>
              </w:rPr>
            </w:pPr>
            <w:bookmarkStart w:id="22" w:name="_Hlk164360223"/>
            <w:proofErr w:type="spellStart"/>
            <w:r w:rsidRPr="005E16C6">
              <w:rPr>
                <w:rFonts w:ascii="Arial Narrow" w:hAnsi="Arial Narrow"/>
                <w:b/>
                <w:bCs/>
                <w:sz w:val="20"/>
                <w:szCs w:val="20"/>
              </w:rPr>
              <w:t>rPFS</w:t>
            </w:r>
            <w:proofErr w:type="spellEnd"/>
            <w:r w:rsidRPr="005E16C6">
              <w:rPr>
                <w:rFonts w:ascii="Arial Narrow" w:hAnsi="Arial Narrow"/>
                <w:b/>
                <w:bCs/>
                <w:sz w:val="20"/>
                <w:szCs w:val="20"/>
              </w:rPr>
              <w:t xml:space="preserve"> - BICR (IA 03 October 2022)</w:t>
            </w:r>
          </w:p>
        </w:tc>
      </w:tr>
      <w:tr w:rsidR="000D2B94" w:rsidRPr="005E16C6" w14:paraId="4EDD896E" w14:textId="77777777" w:rsidTr="000D2B94">
        <w:trPr>
          <w:trHeight w:val="244"/>
        </w:trPr>
        <w:tc>
          <w:tcPr>
            <w:tcW w:w="1177" w:type="pct"/>
            <w:shd w:val="clear" w:color="auto" w:fill="auto"/>
            <w:vAlign w:val="center"/>
            <w:hideMark/>
          </w:tcPr>
          <w:p w14:paraId="16478383" w14:textId="77777777" w:rsidR="005E16C6" w:rsidRPr="005E16C6" w:rsidRDefault="005E16C6" w:rsidP="000A6C17">
            <w:pPr>
              <w:spacing w:before="20" w:after="20"/>
              <w:rPr>
                <w:rFonts w:ascii="Arial Narrow" w:hAnsi="Arial Narrow"/>
                <w:sz w:val="20"/>
                <w:szCs w:val="20"/>
              </w:rPr>
            </w:pPr>
            <w:r w:rsidRPr="005E16C6">
              <w:rPr>
                <w:rFonts w:ascii="Arial Narrow" w:hAnsi="Arial Narrow"/>
                <w:sz w:val="20"/>
                <w:szCs w:val="20"/>
              </w:rPr>
              <w:t>Events, n (%</w:t>
            </w:r>
          </w:p>
        </w:tc>
        <w:tc>
          <w:tcPr>
            <w:tcW w:w="629" w:type="pct"/>
            <w:shd w:val="clear" w:color="auto" w:fill="auto"/>
            <w:vAlign w:val="center"/>
            <w:hideMark/>
          </w:tcPr>
          <w:p w14:paraId="508CFD4C" w14:textId="77777777"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66 (33.0)</w:t>
            </w:r>
          </w:p>
        </w:tc>
        <w:tc>
          <w:tcPr>
            <w:tcW w:w="629" w:type="pct"/>
            <w:shd w:val="clear" w:color="auto" w:fill="auto"/>
            <w:vAlign w:val="center"/>
            <w:hideMark/>
          </w:tcPr>
          <w:p w14:paraId="4BDE3C1A" w14:textId="77777777"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104 (52.3)</w:t>
            </w:r>
          </w:p>
        </w:tc>
        <w:tc>
          <w:tcPr>
            <w:tcW w:w="629" w:type="pct"/>
            <w:shd w:val="clear" w:color="auto" w:fill="auto"/>
            <w:vAlign w:val="center"/>
            <w:hideMark/>
          </w:tcPr>
          <w:p w14:paraId="27B49613" w14:textId="77777777"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15 (21.1)</w:t>
            </w:r>
          </w:p>
        </w:tc>
        <w:tc>
          <w:tcPr>
            <w:tcW w:w="629" w:type="pct"/>
            <w:shd w:val="clear" w:color="auto" w:fill="auto"/>
            <w:vAlign w:val="center"/>
            <w:hideMark/>
          </w:tcPr>
          <w:p w14:paraId="55EE2E91" w14:textId="77777777"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54 (64.3)</w:t>
            </w:r>
          </w:p>
        </w:tc>
        <w:tc>
          <w:tcPr>
            <w:tcW w:w="629" w:type="pct"/>
            <w:shd w:val="clear" w:color="auto" w:fill="auto"/>
            <w:vAlign w:val="center"/>
          </w:tcPr>
          <w:p w14:paraId="2D7D5E72" w14:textId="77777777"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50 (39.4)</w:t>
            </w:r>
          </w:p>
        </w:tc>
        <w:tc>
          <w:tcPr>
            <w:tcW w:w="678" w:type="pct"/>
            <w:shd w:val="clear" w:color="auto" w:fill="auto"/>
            <w:vAlign w:val="center"/>
          </w:tcPr>
          <w:p w14:paraId="3D9D193A" w14:textId="77777777"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50 (44.2)</w:t>
            </w:r>
          </w:p>
        </w:tc>
      </w:tr>
      <w:tr w:rsidR="000D2B94" w:rsidRPr="005E16C6" w14:paraId="3D00D0F0" w14:textId="77777777" w:rsidTr="000D2B94">
        <w:trPr>
          <w:trHeight w:val="244"/>
        </w:trPr>
        <w:tc>
          <w:tcPr>
            <w:tcW w:w="1177" w:type="pct"/>
            <w:shd w:val="clear" w:color="auto" w:fill="auto"/>
            <w:vAlign w:val="center"/>
            <w:hideMark/>
          </w:tcPr>
          <w:p w14:paraId="23EE261E" w14:textId="77777777" w:rsidR="005E16C6" w:rsidRPr="005E16C6" w:rsidRDefault="005E16C6" w:rsidP="000A6C17">
            <w:pPr>
              <w:spacing w:before="20" w:after="20"/>
              <w:rPr>
                <w:rFonts w:ascii="Arial Narrow" w:hAnsi="Arial Narrow"/>
                <w:sz w:val="20"/>
                <w:szCs w:val="20"/>
              </w:rPr>
            </w:pPr>
            <w:r w:rsidRPr="005E16C6">
              <w:rPr>
                <w:rFonts w:ascii="Arial Narrow" w:hAnsi="Arial Narrow"/>
                <w:sz w:val="20"/>
                <w:szCs w:val="20"/>
              </w:rPr>
              <w:t xml:space="preserve">Median (95% CI), months </w:t>
            </w:r>
          </w:p>
        </w:tc>
        <w:tc>
          <w:tcPr>
            <w:tcW w:w="629" w:type="pct"/>
            <w:shd w:val="clear" w:color="auto" w:fill="auto"/>
            <w:vAlign w:val="center"/>
            <w:hideMark/>
          </w:tcPr>
          <w:p w14:paraId="337A15B1" w14:textId="77777777" w:rsidR="00253E41" w:rsidRDefault="005E16C6" w:rsidP="000A6C17">
            <w:pPr>
              <w:spacing w:before="20" w:after="20"/>
              <w:jc w:val="center"/>
              <w:rPr>
                <w:rFonts w:ascii="Arial Narrow" w:hAnsi="Arial Narrow"/>
                <w:sz w:val="20"/>
                <w:szCs w:val="20"/>
              </w:rPr>
            </w:pPr>
            <w:r w:rsidRPr="005E16C6">
              <w:rPr>
                <w:rFonts w:ascii="Arial Narrow" w:hAnsi="Arial Narrow"/>
                <w:sz w:val="20"/>
                <w:szCs w:val="20"/>
              </w:rPr>
              <w:t xml:space="preserve">NR </w:t>
            </w:r>
          </w:p>
          <w:p w14:paraId="0239089F" w14:textId="69105AD9"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(21.9, NR)</w:t>
            </w:r>
          </w:p>
        </w:tc>
        <w:tc>
          <w:tcPr>
            <w:tcW w:w="629" w:type="pct"/>
            <w:shd w:val="clear" w:color="auto" w:fill="auto"/>
            <w:vAlign w:val="center"/>
            <w:hideMark/>
          </w:tcPr>
          <w:p w14:paraId="6550D536" w14:textId="77777777" w:rsidR="00253E41" w:rsidRDefault="005E16C6" w:rsidP="000A6C17">
            <w:pPr>
              <w:spacing w:before="20" w:after="20"/>
              <w:jc w:val="center"/>
              <w:rPr>
                <w:rFonts w:ascii="Arial Narrow" w:hAnsi="Arial Narrow"/>
                <w:sz w:val="20"/>
                <w:szCs w:val="20"/>
              </w:rPr>
            </w:pPr>
            <w:r w:rsidRPr="005E16C6">
              <w:rPr>
                <w:rFonts w:ascii="Arial Narrow" w:hAnsi="Arial Narrow"/>
                <w:sz w:val="20"/>
                <w:szCs w:val="20"/>
              </w:rPr>
              <w:t xml:space="preserve">13.8 </w:t>
            </w:r>
          </w:p>
          <w:p w14:paraId="610C6652" w14:textId="59C49339"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(11.0, 16.7)</w:t>
            </w:r>
          </w:p>
        </w:tc>
        <w:tc>
          <w:tcPr>
            <w:tcW w:w="629" w:type="pct"/>
            <w:shd w:val="clear" w:color="auto" w:fill="auto"/>
            <w:vAlign w:val="center"/>
            <w:hideMark/>
          </w:tcPr>
          <w:p w14:paraId="06FE02F8" w14:textId="77777777" w:rsidR="00253E41" w:rsidRDefault="005E16C6" w:rsidP="000A6C17">
            <w:pPr>
              <w:spacing w:before="20" w:after="20"/>
              <w:jc w:val="center"/>
              <w:rPr>
                <w:rFonts w:ascii="Arial Narrow" w:hAnsi="Arial Narrow"/>
                <w:sz w:val="20"/>
                <w:szCs w:val="20"/>
              </w:rPr>
            </w:pPr>
            <w:r w:rsidRPr="005E16C6">
              <w:rPr>
                <w:rFonts w:ascii="Arial Narrow" w:hAnsi="Arial Narrow"/>
                <w:sz w:val="20"/>
                <w:szCs w:val="20"/>
              </w:rPr>
              <w:t xml:space="preserve">NR </w:t>
            </w:r>
          </w:p>
          <w:p w14:paraId="33BE383A" w14:textId="04C7FB3D"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(NR, NR)</w:t>
            </w:r>
          </w:p>
        </w:tc>
        <w:tc>
          <w:tcPr>
            <w:tcW w:w="629" w:type="pct"/>
            <w:shd w:val="clear" w:color="auto" w:fill="auto"/>
            <w:vAlign w:val="center"/>
            <w:hideMark/>
          </w:tcPr>
          <w:p w14:paraId="12849EAD" w14:textId="77777777" w:rsidR="00253E41" w:rsidRDefault="005E16C6" w:rsidP="000A6C17">
            <w:pPr>
              <w:spacing w:before="20" w:after="20"/>
              <w:jc w:val="center"/>
              <w:rPr>
                <w:rFonts w:ascii="Arial Narrow" w:hAnsi="Arial Narrow"/>
                <w:sz w:val="20"/>
                <w:szCs w:val="20"/>
              </w:rPr>
            </w:pPr>
            <w:r w:rsidRPr="005E16C6">
              <w:rPr>
                <w:rFonts w:ascii="Arial Narrow" w:hAnsi="Arial Narrow"/>
                <w:sz w:val="20"/>
                <w:szCs w:val="20"/>
              </w:rPr>
              <w:t xml:space="preserve">11.0 </w:t>
            </w:r>
          </w:p>
          <w:p w14:paraId="237FCAC9" w14:textId="6D5C8C70"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(8.3, 11.1)</w:t>
            </w:r>
          </w:p>
        </w:tc>
        <w:tc>
          <w:tcPr>
            <w:tcW w:w="629" w:type="pct"/>
            <w:shd w:val="clear" w:color="auto" w:fill="auto"/>
            <w:vAlign w:val="center"/>
          </w:tcPr>
          <w:p w14:paraId="0D9D28BA" w14:textId="77777777" w:rsidR="00253E41" w:rsidRDefault="005E16C6" w:rsidP="000A6C17">
            <w:pPr>
              <w:spacing w:before="20" w:after="20"/>
              <w:jc w:val="center"/>
              <w:rPr>
                <w:rFonts w:ascii="Arial Narrow" w:hAnsi="Arial Narrow"/>
                <w:sz w:val="20"/>
                <w:szCs w:val="20"/>
              </w:rPr>
            </w:pPr>
            <w:r w:rsidRPr="005E16C6">
              <w:rPr>
                <w:rFonts w:ascii="Arial Narrow" w:hAnsi="Arial Narrow"/>
                <w:sz w:val="20"/>
                <w:szCs w:val="20"/>
              </w:rPr>
              <w:t xml:space="preserve">24.7 </w:t>
            </w:r>
          </w:p>
          <w:p w14:paraId="78933FF5" w14:textId="121D6AF6"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(16.4, NR)</w:t>
            </w:r>
          </w:p>
        </w:tc>
        <w:tc>
          <w:tcPr>
            <w:tcW w:w="678" w:type="pct"/>
            <w:shd w:val="clear" w:color="auto" w:fill="auto"/>
            <w:vAlign w:val="center"/>
          </w:tcPr>
          <w:p w14:paraId="77083D1D" w14:textId="77777777" w:rsidR="00253E41" w:rsidRDefault="005E16C6" w:rsidP="000A6C17">
            <w:pPr>
              <w:spacing w:before="20" w:after="20"/>
              <w:jc w:val="center"/>
              <w:rPr>
                <w:rFonts w:ascii="Arial Narrow" w:hAnsi="Arial Narrow"/>
                <w:sz w:val="20"/>
                <w:szCs w:val="20"/>
              </w:rPr>
            </w:pPr>
            <w:r w:rsidRPr="005E16C6">
              <w:rPr>
                <w:rFonts w:ascii="Arial Narrow" w:hAnsi="Arial Narrow"/>
                <w:sz w:val="20"/>
                <w:szCs w:val="20"/>
              </w:rPr>
              <w:t xml:space="preserve">16.7 </w:t>
            </w:r>
          </w:p>
          <w:p w14:paraId="44098A06" w14:textId="09BEC7EB"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(13.8, 27.7)</w:t>
            </w:r>
          </w:p>
        </w:tc>
      </w:tr>
      <w:tr w:rsidR="000D2B94" w:rsidRPr="005E16C6" w14:paraId="667B48F7" w14:textId="77777777" w:rsidTr="000D2B94">
        <w:trPr>
          <w:trHeight w:val="253"/>
        </w:trPr>
        <w:tc>
          <w:tcPr>
            <w:tcW w:w="1177" w:type="pct"/>
            <w:shd w:val="clear" w:color="auto" w:fill="auto"/>
          </w:tcPr>
          <w:p w14:paraId="635C48F9" w14:textId="77777777" w:rsidR="005E16C6" w:rsidRPr="005E16C6" w:rsidRDefault="005E16C6" w:rsidP="000A6C17">
            <w:pPr>
              <w:spacing w:before="20" w:after="20"/>
              <w:rPr>
                <w:rFonts w:ascii="Arial Narrow" w:hAnsi="Arial Narrow"/>
                <w:sz w:val="20"/>
                <w:szCs w:val="20"/>
              </w:rPr>
            </w:pPr>
            <w:r w:rsidRPr="005E16C6">
              <w:rPr>
                <w:rFonts w:ascii="Arial Narrow" w:hAnsi="Arial Narrow"/>
                <w:sz w:val="20"/>
                <w:szCs w:val="20"/>
              </w:rPr>
              <w:t>HR (95% CI)</w:t>
            </w:r>
          </w:p>
        </w:tc>
        <w:tc>
          <w:tcPr>
            <w:tcW w:w="1258" w:type="pct"/>
            <w:gridSpan w:val="2"/>
            <w:shd w:val="clear" w:color="auto" w:fill="auto"/>
          </w:tcPr>
          <w:p w14:paraId="666864BA" w14:textId="77777777"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0.45 (0.33, 0.61)</w:t>
            </w:r>
          </w:p>
        </w:tc>
        <w:tc>
          <w:tcPr>
            <w:tcW w:w="1258" w:type="pct"/>
            <w:gridSpan w:val="2"/>
            <w:shd w:val="clear" w:color="auto" w:fill="auto"/>
          </w:tcPr>
          <w:p w14:paraId="4DED1F77" w14:textId="77777777"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0.20 (0.11, 0.36)</w:t>
            </w:r>
          </w:p>
        </w:tc>
        <w:tc>
          <w:tcPr>
            <w:tcW w:w="1307" w:type="pct"/>
            <w:gridSpan w:val="2"/>
            <w:shd w:val="clear" w:color="auto" w:fill="auto"/>
          </w:tcPr>
          <w:p w14:paraId="1CDD07A7" w14:textId="77777777"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0.69 (0.46, 1.02)</w:t>
            </w:r>
          </w:p>
        </w:tc>
      </w:tr>
      <w:tr w:rsidR="000D2B94" w:rsidRPr="005E16C6" w14:paraId="14C7787D" w14:textId="77777777" w:rsidTr="000D2B94">
        <w:trPr>
          <w:trHeight w:val="331"/>
        </w:trPr>
        <w:tc>
          <w:tcPr>
            <w:tcW w:w="1177" w:type="pct"/>
            <w:shd w:val="clear" w:color="auto" w:fill="auto"/>
          </w:tcPr>
          <w:p w14:paraId="22AB0785" w14:textId="77777777" w:rsidR="005E16C6" w:rsidRPr="005E16C6" w:rsidRDefault="005E16C6" w:rsidP="000A6C17">
            <w:pPr>
              <w:spacing w:before="20" w:after="20"/>
              <w:rPr>
                <w:rFonts w:ascii="Arial Narrow" w:hAnsi="Arial Narrow"/>
                <w:sz w:val="20"/>
                <w:szCs w:val="20"/>
              </w:rPr>
            </w:pPr>
            <w:r w:rsidRPr="005E16C6">
              <w:rPr>
                <w:rFonts w:ascii="Arial Narrow" w:hAnsi="Arial Narrow"/>
                <w:sz w:val="20"/>
                <w:szCs w:val="20"/>
              </w:rPr>
              <w:t>One sided p-value</w:t>
            </w:r>
          </w:p>
        </w:tc>
        <w:tc>
          <w:tcPr>
            <w:tcW w:w="1258" w:type="pct"/>
            <w:gridSpan w:val="2"/>
            <w:shd w:val="clear" w:color="auto" w:fill="auto"/>
          </w:tcPr>
          <w:p w14:paraId="164C405A" w14:textId="77777777"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&lt; 0.0001</w:t>
            </w:r>
          </w:p>
        </w:tc>
        <w:tc>
          <w:tcPr>
            <w:tcW w:w="1258" w:type="pct"/>
            <w:gridSpan w:val="2"/>
            <w:shd w:val="clear" w:color="auto" w:fill="auto"/>
          </w:tcPr>
          <w:p w14:paraId="064D77AB" w14:textId="77777777"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&lt; 0.0001</w:t>
            </w:r>
          </w:p>
        </w:tc>
        <w:tc>
          <w:tcPr>
            <w:tcW w:w="1307" w:type="pct"/>
            <w:gridSpan w:val="2"/>
            <w:shd w:val="clear" w:color="auto" w:fill="auto"/>
          </w:tcPr>
          <w:p w14:paraId="64F48CB9" w14:textId="77777777" w:rsidR="005E16C6" w:rsidRPr="005E16C6" w:rsidRDefault="005E16C6" w:rsidP="000A6C17">
            <w:pPr>
              <w:spacing w:before="20" w:after="20"/>
              <w:jc w:val="center"/>
              <w:rPr>
                <w:rFonts w:ascii="Arial Narrow" w:hAnsi="Arial Narrow"/>
                <w:sz w:val="20"/>
                <w:szCs w:val="20"/>
              </w:rPr>
            </w:pPr>
            <w:r w:rsidRPr="005E16C6">
              <w:rPr>
                <w:rFonts w:ascii="Arial Narrow" w:hAnsi="Arial Narrow"/>
                <w:sz w:val="20"/>
                <w:szCs w:val="20"/>
              </w:rPr>
              <w:t>0.0298</w:t>
            </w:r>
          </w:p>
        </w:tc>
      </w:tr>
      <w:tr w:rsidR="008A1592" w:rsidRPr="005E16C6" w14:paraId="29DFD70C" w14:textId="77777777" w:rsidTr="00977DF5">
        <w:trPr>
          <w:trHeight w:val="244"/>
        </w:trPr>
        <w:tc>
          <w:tcPr>
            <w:tcW w:w="5000" w:type="pct"/>
            <w:gridSpan w:val="7"/>
            <w:shd w:val="clear" w:color="auto" w:fill="auto"/>
            <w:hideMark/>
          </w:tcPr>
          <w:p w14:paraId="11FCCA0C" w14:textId="62A6210E" w:rsidR="008A1592" w:rsidRPr="005E16C6" w:rsidRDefault="008A1592" w:rsidP="000A6C17">
            <w:pPr>
              <w:spacing w:before="20" w:after="20"/>
              <w:rPr>
                <w:rFonts w:ascii="Arial Narrow" w:hAnsi="Arial Narrow"/>
                <w:b/>
                <w:bCs/>
                <w:sz w:val="20"/>
                <w:szCs w:val="20"/>
              </w:rPr>
            </w:pPr>
            <w:bookmarkStart w:id="23" w:name="_Hlk164360270"/>
            <w:bookmarkEnd w:id="22"/>
            <w:r>
              <w:rPr>
                <w:rFonts w:ascii="Arial Narrow" w:hAnsi="Arial Narrow"/>
                <w:b/>
                <w:bCs/>
                <w:sz w:val="20"/>
                <w:szCs w:val="20"/>
              </w:rPr>
              <w:t>OS</w:t>
            </w:r>
            <w:r w:rsidRPr="005E16C6">
              <w:rPr>
                <w:rFonts w:ascii="Arial Narrow" w:hAnsi="Arial Narrow"/>
                <w:b/>
                <w:bCs/>
                <w:sz w:val="20"/>
                <w:szCs w:val="20"/>
              </w:rPr>
              <w:t xml:space="preserve"> (IA 03 October 2022)</w:t>
            </w:r>
          </w:p>
        </w:tc>
      </w:tr>
      <w:tr w:rsidR="008A1592" w:rsidRPr="005E16C6" w14:paraId="6389191F" w14:textId="77777777" w:rsidTr="000D2B94">
        <w:trPr>
          <w:trHeight w:val="244"/>
        </w:trPr>
        <w:tc>
          <w:tcPr>
            <w:tcW w:w="1177" w:type="pct"/>
            <w:shd w:val="clear" w:color="auto" w:fill="auto"/>
            <w:vAlign w:val="center"/>
            <w:hideMark/>
          </w:tcPr>
          <w:p w14:paraId="0B49B30A" w14:textId="1702A078" w:rsidR="008A1592" w:rsidRPr="005E16C6" w:rsidRDefault="008A1592" w:rsidP="000A6C17">
            <w:pPr>
              <w:spacing w:before="20" w:after="20"/>
              <w:rPr>
                <w:rFonts w:ascii="Arial Narrow" w:hAnsi="Arial Narrow"/>
                <w:sz w:val="20"/>
                <w:szCs w:val="20"/>
              </w:rPr>
            </w:pPr>
            <w:r w:rsidRPr="005E16C6">
              <w:rPr>
                <w:rFonts w:ascii="Arial Narrow" w:hAnsi="Arial Narrow"/>
                <w:sz w:val="20"/>
                <w:szCs w:val="20"/>
              </w:rPr>
              <w:t>Events, n (%</w:t>
            </w:r>
            <w:r w:rsidR="00BA592B">
              <w:rPr>
                <w:rFonts w:ascii="Arial Narrow" w:hAnsi="Arial Narrow"/>
                <w:sz w:val="20"/>
                <w:szCs w:val="20"/>
              </w:rPr>
              <w:t>)</w:t>
            </w:r>
          </w:p>
        </w:tc>
        <w:tc>
          <w:tcPr>
            <w:tcW w:w="629" w:type="pct"/>
            <w:tcBorders>
              <w:top w:val="single" w:sz="4" w:space="0" w:color="auto"/>
              <w:left w:val="single" w:sz="4" w:space="0" w:color="auto"/>
              <w:bottom w:val="single" w:sz="4" w:space="0" w:color="auto"/>
              <w:right w:val="single" w:sz="4" w:space="0" w:color="auto"/>
            </w:tcBorders>
            <w:vAlign w:val="center"/>
            <w:hideMark/>
          </w:tcPr>
          <w:p w14:paraId="25664BA5" w14:textId="6C7A89D6"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43 (21.5)</w:t>
            </w:r>
          </w:p>
        </w:tc>
        <w:tc>
          <w:tcPr>
            <w:tcW w:w="629" w:type="pct"/>
            <w:tcBorders>
              <w:top w:val="single" w:sz="4" w:space="0" w:color="auto"/>
              <w:left w:val="single" w:sz="4" w:space="0" w:color="auto"/>
              <w:bottom w:val="single" w:sz="4" w:space="0" w:color="auto"/>
              <w:right w:val="single" w:sz="4" w:space="0" w:color="auto"/>
            </w:tcBorders>
            <w:vAlign w:val="center"/>
            <w:hideMark/>
          </w:tcPr>
          <w:p w14:paraId="6070B794" w14:textId="0514D7CE"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53 (26.6)</w:t>
            </w:r>
          </w:p>
        </w:tc>
        <w:tc>
          <w:tcPr>
            <w:tcW w:w="629" w:type="pct"/>
            <w:tcBorders>
              <w:top w:val="single" w:sz="4" w:space="0" w:color="auto"/>
              <w:left w:val="single" w:sz="4" w:space="0" w:color="auto"/>
              <w:bottom w:val="single" w:sz="4" w:space="0" w:color="auto"/>
              <w:right w:val="single" w:sz="4" w:space="0" w:color="auto"/>
            </w:tcBorders>
            <w:vAlign w:val="center"/>
            <w:hideMark/>
          </w:tcPr>
          <w:p w14:paraId="5F3FA346" w14:textId="386EE1BB"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13 (18.3)</w:t>
            </w:r>
          </w:p>
        </w:tc>
        <w:tc>
          <w:tcPr>
            <w:tcW w:w="629" w:type="pct"/>
            <w:tcBorders>
              <w:top w:val="single" w:sz="4" w:space="0" w:color="auto"/>
              <w:left w:val="single" w:sz="4" w:space="0" w:color="auto"/>
              <w:bottom w:val="single" w:sz="4" w:space="0" w:color="auto"/>
              <w:right w:val="single" w:sz="4" w:space="0" w:color="auto"/>
            </w:tcBorders>
            <w:vAlign w:val="center"/>
            <w:hideMark/>
          </w:tcPr>
          <w:p w14:paraId="27678D99" w14:textId="11DF2569"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21 (25.0)</w:t>
            </w:r>
          </w:p>
        </w:tc>
        <w:tc>
          <w:tcPr>
            <w:tcW w:w="629" w:type="pct"/>
            <w:tcBorders>
              <w:top w:val="single" w:sz="4" w:space="0" w:color="auto"/>
              <w:left w:val="single" w:sz="4" w:space="0" w:color="auto"/>
              <w:bottom w:val="single" w:sz="4" w:space="0" w:color="auto"/>
              <w:right w:val="single" w:sz="4" w:space="0" w:color="auto"/>
            </w:tcBorders>
            <w:vAlign w:val="center"/>
          </w:tcPr>
          <w:p w14:paraId="4AAFDFE7" w14:textId="0EF39FE0"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29 (22.8)</w:t>
            </w:r>
          </w:p>
        </w:tc>
        <w:tc>
          <w:tcPr>
            <w:tcW w:w="678" w:type="pct"/>
            <w:tcBorders>
              <w:top w:val="single" w:sz="4" w:space="0" w:color="auto"/>
              <w:left w:val="single" w:sz="4" w:space="0" w:color="auto"/>
              <w:bottom w:val="single" w:sz="4" w:space="0" w:color="auto"/>
              <w:right w:val="single" w:sz="4" w:space="0" w:color="auto"/>
            </w:tcBorders>
            <w:vAlign w:val="center"/>
          </w:tcPr>
          <w:p w14:paraId="582D7908" w14:textId="15DE4F6D"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32 (28.3)</w:t>
            </w:r>
          </w:p>
        </w:tc>
      </w:tr>
      <w:tr w:rsidR="008A1592" w:rsidRPr="005E16C6" w14:paraId="7FF699D5" w14:textId="77777777" w:rsidTr="000D2B94">
        <w:trPr>
          <w:trHeight w:val="244"/>
        </w:trPr>
        <w:tc>
          <w:tcPr>
            <w:tcW w:w="1177" w:type="pct"/>
            <w:shd w:val="clear" w:color="auto" w:fill="auto"/>
            <w:vAlign w:val="center"/>
            <w:hideMark/>
          </w:tcPr>
          <w:p w14:paraId="1D95A5B6" w14:textId="77777777" w:rsidR="008A1592" w:rsidRPr="005E16C6" w:rsidRDefault="008A1592" w:rsidP="000A6C17">
            <w:pPr>
              <w:spacing w:before="20" w:after="20"/>
              <w:rPr>
                <w:rFonts w:ascii="Arial Narrow" w:hAnsi="Arial Narrow"/>
                <w:sz w:val="20"/>
                <w:szCs w:val="20"/>
              </w:rPr>
            </w:pPr>
            <w:r w:rsidRPr="005E16C6">
              <w:rPr>
                <w:rFonts w:ascii="Arial Narrow" w:hAnsi="Arial Narrow"/>
                <w:sz w:val="20"/>
                <w:szCs w:val="20"/>
              </w:rPr>
              <w:t xml:space="preserve">Median (95% CI), months </w:t>
            </w:r>
          </w:p>
        </w:tc>
        <w:tc>
          <w:tcPr>
            <w:tcW w:w="629" w:type="pct"/>
            <w:tcBorders>
              <w:top w:val="single" w:sz="4" w:space="0" w:color="auto"/>
              <w:left w:val="single" w:sz="4" w:space="0" w:color="auto"/>
              <w:bottom w:val="single" w:sz="4" w:space="0" w:color="auto"/>
              <w:right w:val="single" w:sz="4" w:space="0" w:color="auto"/>
            </w:tcBorders>
            <w:vAlign w:val="center"/>
            <w:hideMark/>
          </w:tcPr>
          <w:p w14:paraId="04C1E92F" w14:textId="77777777" w:rsidR="008A1592" w:rsidRPr="008A1592" w:rsidRDefault="008A1592" w:rsidP="000A6C17">
            <w:pPr>
              <w:spacing w:before="20" w:after="20"/>
              <w:jc w:val="center"/>
              <w:rPr>
                <w:rFonts w:ascii="Arial Narrow" w:hAnsi="Arial Narrow"/>
                <w:sz w:val="20"/>
                <w:szCs w:val="20"/>
              </w:rPr>
            </w:pPr>
            <w:r w:rsidRPr="008A1592">
              <w:rPr>
                <w:rFonts w:ascii="Arial Narrow" w:hAnsi="Arial Narrow"/>
                <w:sz w:val="20"/>
                <w:szCs w:val="20"/>
              </w:rPr>
              <w:t>NR</w:t>
            </w:r>
          </w:p>
          <w:p w14:paraId="3AA63B98" w14:textId="1E1B6E6B"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(36.4, NR)</w:t>
            </w:r>
          </w:p>
        </w:tc>
        <w:tc>
          <w:tcPr>
            <w:tcW w:w="629" w:type="pct"/>
            <w:tcBorders>
              <w:top w:val="single" w:sz="4" w:space="0" w:color="auto"/>
              <w:left w:val="single" w:sz="4" w:space="0" w:color="auto"/>
              <w:bottom w:val="single" w:sz="4" w:space="0" w:color="auto"/>
              <w:right w:val="single" w:sz="4" w:space="0" w:color="auto"/>
            </w:tcBorders>
            <w:vAlign w:val="center"/>
            <w:hideMark/>
          </w:tcPr>
          <w:p w14:paraId="2EE9C9BA" w14:textId="77777777" w:rsidR="008A1592" w:rsidRPr="008A1592" w:rsidRDefault="008A1592" w:rsidP="000A6C17">
            <w:pPr>
              <w:spacing w:before="20" w:after="20"/>
              <w:jc w:val="center"/>
              <w:rPr>
                <w:rFonts w:ascii="Arial Narrow" w:hAnsi="Arial Narrow"/>
                <w:sz w:val="20"/>
                <w:szCs w:val="20"/>
              </w:rPr>
            </w:pPr>
            <w:r w:rsidRPr="008A1592">
              <w:rPr>
                <w:rFonts w:ascii="Arial Narrow" w:hAnsi="Arial Narrow"/>
                <w:sz w:val="20"/>
                <w:szCs w:val="20"/>
              </w:rPr>
              <w:t>33.7</w:t>
            </w:r>
          </w:p>
          <w:p w14:paraId="0BEE61A4" w14:textId="59ECC2C1"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(27.6, NR)</w:t>
            </w:r>
          </w:p>
        </w:tc>
        <w:tc>
          <w:tcPr>
            <w:tcW w:w="629" w:type="pct"/>
            <w:tcBorders>
              <w:top w:val="single" w:sz="4" w:space="0" w:color="auto"/>
              <w:left w:val="single" w:sz="4" w:space="0" w:color="auto"/>
              <w:bottom w:val="single" w:sz="4" w:space="0" w:color="auto"/>
              <w:right w:val="single" w:sz="4" w:space="0" w:color="auto"/>
            </w:tcBorders>
            <w:vAlign w:val="center"/>
            <w:hideMark/>
          </w:tcPr>
          <w:p w14:paraId="52948FF9" w14:textId="77777777" w:rsidR="008A1592" w:rsidRPr="008A1592" w:rsidRDefault="008A1592" w:rsidP="000A6C17">
            <w:pPr>
              <w:spacing w:before="20" w:after="20"/>
              <w:jc w:val="center"/>
              <w:rPr>
                <w:rFonts w:ascii="Arial Narrow" w:hAnsi="Arial Narrow"/>
                <w:sz w:val="20"/>
                <w:szCs w:val="20"/>
              </w:rPr>
            </w:pPr>
            <w:r w:rsidRPr="008A1592">
              <w:rPr>
                <w:rFonts w:ascii="Arial Narrow" w:hAnsi="Arial Narrow"/>
                <w:sz w:val="20"/>
                <w:szCs w:val="20"/>
              </w:rPr>
              <w:t>NR</w:t>
            </w:r>
          </w:p>
          <w:p w14:paraId="3D520315" w14:textId="2864277D"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(29.8, NR)</w:t>
            </w:r>
          </w:p>
        </w:tc>
        <w:tc>
          <w:tcPr>
            <w:tcW w:w="629" w:type="pct"/>
            <w:tcBorders>
              <w:top w:val="single" w:sz="4" w:space="0" w:color="auto"/>
              <w:left w:val="single" w:sz="4" w:space="0" w:color="auto"/>
              <w:bottom w:val="single" w:sz="4" w:space="0" w:color="auto"/>
              <w:right w:val="single" w:sz="4" w:space="0" w:color="auto"/>
            </w:tcBorders>
            <w:vAlign w:val="center"/>
            <w:hideMark/>
          </w:tcPr>
          <w:p w14:paraId="632CEAAD" w14:textId="77777777" w:rsidR="008A1592" w:rsidRPr="008A1592" w:rsidRDefault="008A1592" w:rsidP="000A6C17">
            <w:pPr>
              <w:spacing w:before="20" w:after="20"/>
              <w:jc w:val="center"/>
              <w:rPr>
                <w:rFonts w:ascii="Arial Narrow" w:hAnsi="Arial Narrow"/>
                <w:sz w:val="20"/>
                <w:szCs w:val="20"/>
              </w:rPr>
            </w:pPr>
            <w:r w:rsidRPr="008A1592">
              <w:rPr>
                <w:rFonts w:ascii="Arial Narrow" w:hAnsi="Arial Narrow"/>
                <w:sz w:val="20"/>
                <w:szCs w:val="20"/>
              </w:rPr>
              <w:t>NR</w:t>
            </w:r>
          </w:p>
          <w:p w14:paraId="3E63CB44" w14:textId="4D33C9A9"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(24.5, NR)</w:t>
            </w:r>
          </w:p>
        </w:tc>
        <w:tc>
          <w:tcPr>
            <w:tcW w:w="629" w:type="pct"/>
            <w:tcBorders>
              <w:top w:val="single" w:sz="4" w:space="0" w:color="auto"/>
              <w:left w:val="single" w:sz="4" w:space="0" w:color="auto"/>
              <w:bottom w:val="single" w:sz="4" w:space="0" w:color="auto"/>
              <w:right w:val="single" w:sz="4" w:space="0" w:color="auto"/>
            </w:tcBorders>
            <w:vAlign w:val="center"/>
          </w:tcPr>
          <w:p w14:paraId="4E94FC7E" w14:textId="77777777" w:rsidR="000D2B94" w:rsidRDefault="008A1592" w:rsidP="000A6C17">
            <w:pPr>
              <w:spacing w:before="20" w:after="20"/>
              <w:jc w:val="center"/>
              <w:rPr>
                <w:rFonts w:ascii="Arial Narrow" w:hAnsi="Arial Narrow"/>
                <w:sz w:val="20"/>
                <w:szCs w:val="20"/>
              </w:rPr>
            </w:pPr>
            <w:r w:rsidRPr="008A1592">
              <w:rPr>
                <w:rFonts w:ascii="Arial Narrow" w:hAnsi="Arial Narrow"/>
                <w:sz w:val="20"/>
                <w:szCs w:val="20"/>
              </w:rPr>
              <w:t xml:space="preserve">36.4 </w:t>
            </w:r>
          </w:p>
          <w:p w14:paraId="7C246BF1" w14:textId="67374668"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(36.4, NR)</w:t>
            </w:r>
          </w:p>
        </w:tc>
        <w:tc>
          <w:tcPr>
            <w:tcW w:w="678" w:type="pct"/>
            <w:tcBorders>
              <w:top w:val="single" w:sz="4" w:space="0" w:color="auto"/>
              <w:left w:val="single" w:sz="4" w:space="0" w:color="auto"/>
              <w:bottom w:val="single" w:sz="4" w:space="0" w:color="auto"/>
              <w:right w:val="single" w:sz="4" w:space="0" w:color="auto"/>
            </w:tcBorders>
            <w:vAlign w:val="center"/>
          </w:tcPr>
          <w:p w14:paraId="4184E642" w14:textId="77777777" w:rsidR="008A1592" w:rsidRPr="008A1592" w:rsidRDefault="008A1592" w:rsidP="000A6C17">
            <w:pPr>
              <w:spacing w:before="20" w:after="20"/>
              <w:jc w:val="center"/>
              <w:rPr>
                <w:rFonts w:ascii="Arial Narrow" w:hAnsi="Arial Narrow"/>
                <w:sz w:val="20"/>
                <w:szCs w:val="20"/>
              </w:rPr>
            </w:pPr>
            <w:r w:rsidRPr="008A1592">
              <w:rPr>
                <w:rFonts w:ascii="Arial Narrow" w:hAnsi="Arial Narrow"/>
                <w:sz w:val="20"/>
                <w:szCs w:val="20"/>
              </w:rPr>
              <w:t>33.7</w:t>
            </w:r>
          </w:p>
          <w:p w14:paraId="74C9E22C" w14:textId="22824599"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(27.6, NR)</w:t>
            </w:r>
          </w:p>
        </w:tc>
      </w:tr>
      <w:tr w:rsidR="000D2B94" w:rsidRPr="005E16C6" w14:paraId="72F539C9" w14:textId="77777777" w:rsidTr="000D2B94">
        <w:trPr>
          <w:trHeight w:val="253"/>
        </w:trPr>
        <w:tc>
          <w:tcPr>
            <w:tcW w:w="1177" w:type="pct"/>
            <w:shd w:val="clear" w:color="auto" w:fill="auto"/>
          </w:tcPr>
          <w:p w14:paraId="3278774B" w14:textId="77777777" w:rsidR="008A1592" w:rsidRPr="005E16C6" w:rsidRDefault="008A1592" w:rsidP="000A6C17">
            <w:pPr>
              <w:spacing w:before="20" w:after="20"/>
              <w:rPr>
                <w:rFonts w:ascii="Arial Narrow" w:hAnsi="Arial Narrow"/>
                <w:sz w:val="20"/>
                <w:szCs w:val="20"/>
              </w:rPr>
            </w:pPr>
            <w:r w:rsidRPr="005E16C6">
              <w:rPr>
                <w:rFonts w:ascii="Arial Narrow" w:hAnsi="Arial Narrow"/>
                <w:sz w:val="20"/>
                <w:szCs w:val="20"/>
              </w:rPr>
              <w:t>HR (95% CI)</w:t>
            </w:r>
          </w:p>
        </w:tc>
        <w:tc>
          <w:tcPr>
            <w:tcW w:w="1258" w:type="pct"/>
            <w:gridSpan w:val="2"/>
            <w:tcBorders>
              <w:top w:val="single" w:sz="4" w:space="0" w:color="auto"/>
              <w:left w:val="single" w:sz="4" w:space="0" w:color="auto"/>
              <w:bottom w:val="single" w:sz="4" w:space="0" w:color="auto"/>
              <w:right w:val="single" w:sz="4" w:space="0" w:color="auto"/>
            </w:tcBorders>
          </w:tcPr>
          <w:p w14:paraId="528535E9" w14:textId="05360C0D"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0.69 (0.46, 1.03)</w:t>
            </w:r>
          </w:p>
        </w:tc>
        <w:tc>
          <w:tcPr>
            <w:tcW w:w="1258" w:type="pct"/>
            <w:gridSpan w:val="2"/>
            <w:tcBorders>
              <w:left w:val="single" w:sz="4" w:space="0" w:color="auto"/>
              <w:right w:val="single" w:sz="4" w:space="0" w:color="auto"/>
            </w:tcBorders>
          </w:tcPr>
          <w:p w14:paraId="5B72184A" w14:textId="0DB53772"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0.613 (0.306, 1.230)</w:t>
            </w:r>
          </w:p>
        </w:tc>
        <w:tc>
          <w:tcPr>
            <w:tcW w:w="1307" w:type="pct"/>
            <w:gridSpan w:val="2"/>
            <w:tcBorders>
              <w:left w:val="single" w:sz="4" w:space="0" w:color="auto"/>
              <w:right w:val="single" w:sz="4" w:space="0" w:color="auto"/>
            </w:tcBorders>
          </w:tcPr>
          <w:p w14:paraId="431AB742" w14:textId="7699933D"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0.664 (0.399, 1.105)</w:t>
            </w:r>
          </w:p>
        </w:tc>
      </w:tr>
      <w:tr w:rsidR="000D2B94" w:rsidRPr="005E16C6" w14:paraId="3FA6C08E" w14:textId="77777777" w:rsidTr="000D2B94">
        <w:trPr>
          <w:trHeight w:val="331"/>
        </w:trPr>
        <w:tc>
          <w:tcPr>
            <w:tcW w:w="1177" w:type="pct"/>
            <w:shd w:val="clear" w:color="auto" w:fill="auto"/>
          </w:tcPr>
          <w:p w14:paraId="44B6D9EB" w14:textId="77777777" w:rsidR="008A1592" w:rsidRPr="005E16C6" w:rsidRDefault="008A1592" w:rsidP="000A6C17">
            <w:pPr>
              <w:spacing w:before="20" w:after="20"/>
              <w:rPr>
                <w:rFonts w:ascii="Arial Narrow" w:hAnsi="Arial Narrow"/>
                <w:sz w:val="20"/>
                <w:szCs w:val="20"/>
              </w:rPr>
            </w:pPr>
            <w:r w:rsidRPr="005E16C6">
              <w:rPr>
                <w:rFonts w:ascii="Arial Narrow" w:hAnsi="Arial Narrow"/>
                <w:sz w:val="20"/>
                <w:szCs w:val="20"/>
              </w:rPr>
              <w:t>One sided p-value</w:t>
            </w:r>
          </w:p>
        </w:tc>
        <w:tc>
          <w:tcPr>
            <w:tcW w:w="1258" w:type="pct"/>
            <w:gridSpan w:val="2"/>
            <w:tcBorders>
              <w:top w:val="single" w:sz="4" w:space="0" w:color="auto"/>
              <w:left w:val="single" w:sz="4" w:space="0" w:color="auto"/>
              <w:bottom w:val="single" w:sz="4" w:space="0" w:color="auto"/>
              <w:right w:val="single" w:sz="4" w:space="0" w:color="auto"/>
            </w:tcBorders>
          </w:tcPr>
          <w:p w14:paraId="35D2D6A0" w14:textId="674BCF88"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0.0338</w:t>
            </w:r>
          </w:p>
        </w:tc>
        <w:tc>
          <w:tcPr>
            <w:tcW w:w="1258" w:type="pct"/>
            <w:gridSpan w:val="2"/>
            <w:tcBorders>
              <w:left w:val="single" w:sz="4" w:space="0" w:color="auto"/>
              <w:right w:val="single" w:sz="4" w:space="0" w:color="auto"/>
            </w:tcBorders>
          </w:tcPr>
          <w:p w14:paraId="74809230" w14:textId="6BE68EA8"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0.0821</w:t>
            </w:r>
          </w:p>
        </w:tc>
        <w:tc>
          <w:tcPr>
            <w:tcW w:w="1307" w:type="pct"/>
            <w:gridSpan w:val="2"/>
            <w:tcBorders>
              <w:left w:val="single" w:sz="4" w:space="0" w:color="auto"/>
              <w:right w:val="single" w:sz="4" w:space="0" w:color="auto"/>
            </w:tcBorders>
          </w:tcPr>
          <w:p w14:paraId="03752205" w14:textId="7ECC1C99" w:rsidR="008A1592" w:rsidRPr="005E16C6" w:rsidRDefault="008A1592" w:rsidP="000A6C17">
            <w:pPr>
              <w:spacing w:before="20" w:after="20"/>
              <w:jc w:val="center"/>
              <w:rPr>
                <w:rFonts w:ascii="Arial Narrow" w:hAnsi="Arial Narrow"/>
                <w:sz w:val="20"/>
                <w:szCs w:val="20"/>
              </w:rPr>
            </w:pPr>
            <w:r w:rsidRPr="008A1592">
              <w:rPr>
                <w:rFonts w:ascii="Arial Narrow" w:hAnsi="Arial Narrow"/>
                <w:sz w:val="20"/>
                <w:szCs w:val="20"/>
              </w:rPr>
              <w:t>0.0560</w:t>
            </w:r>
          </w:p>
        </w:tc>
      </w:tr>
      <w:bookmarkEnd w:id="23"/>
      <w:tr w:rsidR="00BA592B" w:rsidRPr="005E16C6" w14:paraId="2E687001" w14:textId="77777777" w:rsidTr="00977DF5">
        <w:trPr>
          <w:trHeight w:val="244"/>
        </w:trPr>
        <w:tc>
          <w:tcPr>
            <w:tcW w:w="5000" w:type="pct"/>
            <w:gridSpan w:val="7"/>
            <w:shd w:val="clear" w:color="auto" w:fill="auto"/>
            <w:hideMark/>
          </w:tcPr>
          <w:p w14:paraId="5D375298" w14:textId="6430FDF8" w:rsidR="00BA592B" w:rsidRPr="005E16C6" w:rsidRDefault="00BA592B" w:rsidP="000A6C17">
            <w:pPr>
              <w:spacing w:before="20" w:after="20"/>
              <w:rPr>
                <w:rFonts w:ascii="Arial Narrow" w:hAnsi="Arial Narrow"/>
                <w:b/>
                <w:bCs/>
                <w:sz w:val="20"/>
                <w:szCs w:val="20"/>
              </w:rPr>
            </w:pPr>
            <w:r>
              <w:rPr>
                <w:rFonts w:ascii="Arial Narrow" w:hAnsi="Arial Narrow"/>
                <w:b/>
                <w:bCs/>
                <w:sz w:val="20"/>
                <w:szCs w:val="20"/>
              </w:rPr>
              <w:t>OS</w:t>
            </w:r>
            <w:r w:rsidRPr="005E16C6">
              <w:rPr>
                <w:rFonts w:ascii="Arial Narrow" w:hAnsi="Arial Narrow"/>
                <w:b/>
                <w:bCs/>
                <w:sz w:val="20"/>
                <w:szCs w:val="20"/>
              </w:rPr>
              <w:t xml:space="preserve"> (IA </w:t>
            </w:r>
            <w:r>
              <w:rPr>
                <w:rFonts w:ascii="Arial Narrow" w:hAnsi="Arial Narrow"/>
                <w:b/>
                <w:bCs/>
                <w:sz w:val="20"/>
                <w:szCs w:val="20"/>
              </w:rPr>
              <w:t>28 March</w:t>
            </w:r>
            <w:r w:rsidRPr="005E16C6">
              <w:rPr>
                <w:rFonts w:ascii="Arial Narrow" w:hAnsi="Arial Narrow"/>
                <w:b/>
                <w:bCs/>
                <w:sz w:val="20"/>
                <w:szCs w:val="20"/>
              </w:rPr>
              <w:t xml:space="preserve"> 2022)</w:t>
            </w:r>
          </w:p>
        </w:tc>
      </w:tr>
      <w:tr w:rsidR="000D2B94" w:rsidRPr="005E16C6" w14:paraId="583C19CA" w14:textId="77777777" w:rsidTr="000D2B94">
        <w:trPr>
          <w:trHeight w:val="244"/>
        </w:trPr>
        <w:tc>
          <w:tcPr>
            <w:tcW w:w="1177" w:type="pct"/>
            <w:tcBorders>
              <w:top w:val="single" w:sz="4" w:space="0" w:color="auto"/>
              <w:left w:val="single" w:sz="4" w:space="0" w:color="auto"/>
              <w:bottom w:val="single" w:sz="4" w:space="0" w:color="auto"/>
              <w:right w:val="single" w:sz="4" w:space="0" w:color="auto"/>
            </w:tcBorders>
            <w:vAlign w:val="center"/>
            <w:hideMark/>
          </w:tcPr>
          <w:p w14:paraId="779DA795" w14:textId="0161DA64" w:rsidR="00BA592B" w:rsidRPr="005E16C6" w:rsidRDefault="00BA592B" w:rsidP="000A6C17">
            <w:pPr>
              <w:spacing w:before="20" w:after="20"/>
              <w:rPr>
                <w:rFonts w:ascii="Arial Narrow" w:hAnsi="Arial Narrow"/>
                <w:sz w:val="20"/>
                <w:szCs w:val="20"/>
              </w:rPr>
            </w:pPr>
            <w:r w:rsidRPr="008A1592">
              <w:rPr>
                <w:rFonts w:ascii="Arial Narrow" w:hAnsi="Arial Narrow"/>
                <w:sz w:val="20"/>
                <w:szCs w:val="20"/>
              </w:rPr>
              <w:t>Events, n (%)</w:t>
            </w:r>
          </w:p>
        </w:tc>
        <w:tc>
          <w:tcPr>
            <w:tcW w:w="629" w:type="pct"/>
            <w:tcBorders>
              <w:top w:val="single" w:sz="4" w:space="0" w:color="auto"/>
              <w:left w:val="single" w:sz="4" w:space="0" w:color="auto"/>
              <w:right w:val="single" w:sz="4" w:space="0" w:color="auto"/>
            </w:tcBorders>
            <w:vAlign w:val="center"/>
            <w:hideMark/>
          </w:tcPr>
          <w:p w14:paraId="7632FB6F" w14:textId="0B72FC92"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60 (30.0)</w:t>
            </w:r>
          </w:p>
        </w:tc>
        <w:tc>
          <w:tcPr>
            <w:tcW w:w="629" w:type="pct"/>
            <w:tcBorders>
              <w:top w:val="single" w:sz="4" w:space="0" w:color="auto"/>
              <w:left w:val="single" w:sz="4" w:space="0" w:color="auto"/>
              <w:right w:val="single" w:sz="4" w:space="0" w:color="auto"/>
            </w:tcBorders>
            <w:vAlign w:val="center"/>
            <w:hideMark/>
          </w:tcPr>
          <w:p w14:paraId="1CE4B85A" w14:textId="7F39DB55"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76 (38.2)</w:t>
            </w:r>
          </w:p>
        </w:tc>
        <w:tc>
          <w:tcPr>
            <w:tcW w:w="629" w:type="pct"/>
            <w:tcBorders>
              <w:top w:val="single" w:sz="4" w:space="0" w:color="auto"/>
              <w:left w:val="single" w:sz="4" w:space="0" w:color="auto"/>
              <w:bottom w:val="single" w:sz="4" w:space="0" w:color="auto"/>
              <w:right w:val="single" w:sz="4" w:space="0" w:color="auto"/>
            </w:tcBorders>
            <w:vAlign w:val="center"/>
            <w:hideMark/>
          </w:tcPr>
          <w:p w14:paraId="0D81253F" w14:textId="43630C85"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18 (25.4)</w:t>
            </w:r>
          </w:p>
        </w:tc>
        <w:tc>
          <w:tcPr>
            <w:tcW w:w="629" w:type="pct"/>
            <w:tcBorders>
              <w:top w:val="single" w:sz="4" w:space="0" w:color="auto"/>
              <w:left w:val="single" w:sz="4" w:space="0" w:color="auto"/>
              <w:bottom w:val="single" w:sz="4" w:space="0" w:color="auto"/>
              <w:right w:val="single" w:sz="4" w:space="0" w:color="auto"/>
            </w:tcBorders>
            <w:vAlign w:val="center"/>
            <w:hideMark/>
          </w:tcPr>
          <w:p w14:paraId="2E7E9F7B" w14:textId="4FED0878"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34 (40.5)</w:t>
            </w:r>
          </w:p>
        </w:tc>
        <w:tc>
          <w:tcPr>
            <w:tcW w:w="629" w:type="pct"/>
            <w:tcBorders>
              <w:left w:val="single" w:sz="4" w:space="0" w:color="auto"/>
              <w:right w:val="single" w:sz="4" w:space="0" w:color="auto"/>
            </w:tcBorders>
            <w:vAlign w:val="center"/>
          </w:tcPr>
          <w:p w14:paraId="4AB8F0FF" w14:textId="4402D9B1"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42 (32.6)</w:t>
            </w:r>
          </w:p>
        </w:tc>
        <w:tc>
          <w:tcPr>
            <w:tcW w:w="678" w:type="pct"/>
            <w:tcBorders>
              <w:left w:val="single" w:sz="4" w:space="0" w:color="auto"/>
              <w:right w:val="single" w:sz="4" w:space="0" w:color="auto"/>
            </w:tcBorders>
            <w:vAlign w:val="center"/>
          </w:tcPr>
          <w:p w14:paraId="34025322" w14:textId="36202E20"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42 (36.6)</w:t>
            </w:r>
          </w:p>
        </w:tc>
      </w:tr>
      <w:tr w:rsidR="000D2B94" w:rsidRPr="005E16C6" w14:paraId="4E240899" w14:textId="77777777" w:rsidTr="000D2B94">
        <w:trPr>
          <w:trHeight w:val="244"/>
        </w:trPr>
        <w:tc>
          <w:tcPr>
            <w:tcW w:w="1177" w:type="pct"/>
            <w:tcBorders>
              <w:top w:val="single" w:sz="4" w:space="0" w:color="auto"/>
              <w:left w:val="single" w:sz="4" w:space="0" w:color="auto"/>
              <w:bottom w:val="single" w:sz="4" w:space="0" w:color="auto"/>
              <w:right w:val="single" w:sz="4" w:space="0" w:color="auto"/>
            </w:tcBorders>
            <w:vAlign w:val="center"/>
            <w:hideMark/>
          </w:tcPr>
          <w:p w14:paraId="14B63D71" w14:textId="1FCA323A" w:rsidR="00BA592B" w:rsidRPr="005E16C6" w:rsidRDefault="00BA592B" w:rsidP="000A6C17">
            <w:pPr>
              <w:spacing w:before="20" w:after="20"/>
              <w:rPr>
                <w:rFonts w:ascii="Arial Narrow" w:hAnsi="Arial Narrow"/>
                <w:sz w:val="20"/>
                <w:szCs w:val="20"/>
              </w:rPr>
            </w:pPr>
            <w:r w:rsidRPr="008A1592">
              <w:rPr>
                <w:rFonts w:ascii="Arial Narrow" w:hAnsi="Arial Narrow"/>
                <w:sz w:val="20"/>
                <w:szCs w:val="20"/>
              </w:rPr>
              <w:t xml:space="preserve">Median (95% CI), months </w:t>
            </w:r>
          </w:p>
        </w:tc>
        <w:tc>
          <w:tcPr>
            <w:tcW w:w="629" w:type="pct"/>
            <w:tcBorders>
              <w:left w:val="single" w:sz="4" w:space="0" w:color="auto"/>
              <w:right w:val="single" w:sz="4" w:space="0" w:color="auto"/>
            </w:tcBorders>
            <w:vAlign w:val="center"/>
            <w:hideMark/>
          </w:tcPr>
          <w:p w14:paraId="2C5E6085" w14:textId="018E78E9" w:rsidR="00BA592B" w:rsidRPr="008A1592" w:rsidRDefault="00BA592B" w:rsidP="000A6C17">
            <w:pPr>
              <w:spacing w:before="20" w:after="20"/>
              <w:jc w:val="center"/>
              <w:rPr>
                <w:rFonts w:ascii="Arial Narrow" w:hAnsi="Arial Narrow"/>
                <w:sz w:val="20"/>
                <w:szCs w:val="20"/>
              </w:rPr>
            </w:pPr>
            <w:r w:rsidRPr="008A1592">
              <w:rPr>
                <w:rFonts w:ascii="Arial Narrow" w:hAnsi="Arial Narrow"/>
                <w:sz w:val="20"/>
                <w:szCs w:val="20"/>
              </w:rPr>
              <w:t>41.9</w:t>
            </w:r>
          </w:p>
          <w:p w14:paraId="2CCD832E" w14:textId="3BA99E0A"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(34.5, NR)</w:t>
            </w:r>
          </w:p>
        </w:tc>
        <w:tc>
          <w:tcPr>
            <w:tcW w:w="629" w:type="pct"/>
            <w:tcBorders>
              <w:left w:val="single" w:sz="4" w:space="0" w:color="auto"/>
              <w:right w:val="single" w:sz="4" w:space="0" w:color="auto"/>
            </w:tcBorders>
            <w:vAlign w:val="center"/>
            <w:hideMark/>
          </w:tcPr>
          <w:p w14:paraId="05E5450B" w14:textId="51C14448" w:rsidR="00BA592B" w:rsidRPr="008A1592" w:rsidRDefault="00BA592B" w:rsidP="000A6C17">
            <w:pPr>
              <w:spacing w:before="20" w:after="20"/>
              <w:jc w:val="center"/>
              <w:rPr>
                <w:rFonts w:ascii="Arial Narrow" w:hAnsi="Arial Narrow"/>
                <w:sz w:val="20"/>
                <w:szCs w:val="20"/>
              </w:rPr>
            </w:pPr>
            <w:r w:rsidRPr="008A1592">
              <w:rPr>
                <w:rFonts w:ascii="Arial Narrow" w:hAnsi="Arial Narrow"/>
                <w:sz w:val="20"/>
                <w:szCs w:val="20"/>
              </w:rPr>
              <w:t>30.8</w:t>
            </w:r>
          </w:p>
          <w:p w14:paraId="02FF5AA0" w14:textId="47967928"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(26.8, 38.8)</w:t>
            </w:r>
          </w:p>
        </w:tc>
        <w:tc>
          <w:tcPr>
            <w:tcW w:w="629" w:type="pct"/>
            <w:tcBorders>
              <w:top w:val="single" w:sz="4" w:space="0" w:color="auto"/>
              <w:left w:val="single" w:sz="4" w:space="0" w:color="auto"/>
              <w:bottom w:val="single" w:sz="4" w:space="0" w:color="auto"/>
              <w:right w:val="single" w:sz="4" w:space="0" w:color="auto"/>
            </w:tcBorders>
            <w:vAlign w:val="center"/>
            <w:hideMark/>
          </w:tcPr>
          <w:p w14:paraId="52B98D72" w14:textId="7E655C7D" w:rsidR="00BA592B" w:rsidRPr="008A1592" w:rsidRDefault="00BA592B" w:rsidP="000A6C17">
            <w:pPr>
              <w:spacing w:before="20" w:after="20"/>
              <w:jc w:val="center"/>
              <w:rPr>
                <w:rFonts w:ascii="Arial Narrow" w:hAnsi="Arial Narrow"/>
                <w:sz w:val="20"/>
                <w:szCs w:val="20"/>
              </w:rPr>
            </w:pPr>
            <w:r w:rsidRPr="008A1592">
              <w:rPr>
                <w:rFonts w:ascii="Arial Narrow" w:hAnsi="Arial Narrow"/>
                <w:sz w:val="20"/>
                <w:szCs w:val="20"/>
              </w:rPr>
              <w:t>41.9</w:t>
            </w:r>
          </w:p>
          <w:p w14:paraId="6CA1C4CF" w14:textId="33743FC8"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(33.0, NR)</w:t>
            </w:r>
          </w:p>
        </w:tc>
        <w:tc>
          <w:tcPr>
            <w:tcW w:w="629" w:type="pct"/>
            <w:tcBorders>
              <w:top w:val="single" w:sz="4" w:space="0" w:color="auto"/>
              <w:left w:val="single" w:sz="4" w:space="0" w:color="auto"/>
              <w:bottom w:val="single" w:sz="4" w:space="0" w:color="auto"/>
              <w:right w:val="single" w:sz="4" w:space="0" w:color="auto"/>
            </w:tcBorders>
            <w:vAlign w:val="center"/>
            <w:hideMark/>
          </w:tcPr>
          <w:p w14:paraId="0D9D0695" w14:textId="119A2704" w:rsidR="00BA592B" w:rsidRPr="008A1592" w:rsidRDefault="00BA592B" w:rsidP="000A6C17">
            <w:pPr>
              <w:spacing w:before="20" w:after="20"/>
              <w:jc w:val="center"/>
              <w:rPr>
                <w:rFonts w:ascii="Arial Narrow" w:hAnsi="Arial Narrow"/>
                <w:sz w:val="20"/>
                <w:szCs w:val="20"/>
              </w:rPr>
            </w:pPr>
            <w:r w:rsidRPr="008A1592">
              <w:rPr>
                <w:rFonts w:ascii="Arial Narrow" w:hAnsi="Arial Narrow"/>
                <w:sz w:val="20"/>
                <w:szCs w:val="20"/>
              </w:rPr>
              <w:t>26.1</w:t>
            </w:r>
          </w:p>
          <w:p w14:paraId="779795D9" w14:textId="5C122C89"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(22.6, NR)</w:t>
            </w:r>
          </w:p>
        </w:tc>
        <w:tc>
          <w:tcPr>
            <w:tcW w:w="629" w:type="pct"/>
            <w:tcBorders>
              <w:left w:val="single" w:sz="4" w:space="0" w:color="auto"/>
              <w:right w:val="single" w:sz="4" w:space="0" w:color="auto"/>
            </w:tcBorders>
            <w:vAlign w:val="center"/>
          </w:tcPr>
          <w:p w14:paraId="031F6A22" w14:textId="77777777" w:rsidR="000D2B94" w:rsidRDefault="00BA592B" w:rsidP="000A6C17">
            <w:pPr>
              <w:spacing w:before="20" w:after="20"/>
              <w:jc w:val="center"/>
              <w:rPr>
                <w:rFonts w:ascii="Arial Narrow" w:hAnsi="Arial Narrow"/>
                <w:sz w:val="20"/>
                <w:szCs w:val="20"/>
              </w:rPr>
            </w:pPr>
            <w:r w:rsidRPr="008A1592">
              <w:rPr>
                <w:rFonts w:ascii="Arial Narrow" w:hAnsi="Arial Narrow"/>
                <w:sz w:val="20"/>
                <w:szCs w:val="20"/>
              </w:rPr>
              <w:t xml:space="preserve">37.3 </w:t>
            </w:r>
          </w:p>
          <w:p w14:paraId="0D5CA729" w14:textId="4F016228"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(34.5, NR)</w:t>
            </w:r>
          </w:p>
        </w:tc>
        <w:tc>
          <w:tcPr>
            <w:tcW w:w="678" w:type="pct"/>
            <w:tcBorders>
              <w:left w:val="single" w:sz="4" w:space="0" w:color="auto"/>
              <w:right w:val="single" w:sz="4" w:space="0" w:color="auto"/>
            </w:tcBorders>
            <w:vAlign w:val="center"/>
          </w:tcPr>
          <w:p w14:paraId="059DA3AC" w14:textId="61D784D1" w:rsidR="00BA592B" w:rsidRPr="008A1592" w:rsidRDefault="00BA592B" w:rsidP="000A6C17">
            <w:pPr>
              <w:spacing w:before="20" w:after="20"/>
              <w:jc w:val="center"/>
              <w:rPr>
                <w:rFonts w:ascii="Arial Narrow" w:hAnsi="Arial Narrow"/>
                <w:sz w:val="20"/>
                <w:szCs w:val="20"/>
              </w:rPr>
            </w:pPr>
            <w:r w:rsidRPr="008A1592">
              <w:rPr>
                <w:rFonts w:ascii="Arial Narrow" w:hAnsi="Arial Narrow"/>
                <w:sz w:val="20"/>
                <w:szCs w:val="20"/>
              </w:rPr>
              <w:t>33.7</w:t>
            </w:r>
          </w:p>
          <w:p w14:paraId="3E04830B" w14:textId="0B9CA9B2"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(29.0, NR)</w:t>
            </w:r>
          </w:p>
        </w:tc>
      </w:tr>
      <w:tr w:rsidR="00BA592B" w:rsidRPr="005E16C6" w14:paraId="5CE8F156" w14:textId="77777777" w:rsidTr="000D2B94">
        <w:trPr>
          <w:trHeight w:val="244"/>
        </w:trPr>
        <w:tc>
          <w:tcPr>
            <w:tcW w:w="1177" w:type="pct"/>
            <w:tcBorders>
              <w:top w:val="single" w:sz="4" w:space="0" w:color="auto"/>
              <w:left w:val="single" w:sz="4" w:space="0" w:color="auto"/>
              <w:bottom w:val="single" w:sz="4" w:space="0" w:color="auto"/>
              <w:right w:val="single" w:sz="4" w:space="0" w:color="auto"/>
            </w:tcBorders>
            <w:vAlign w:val="center"/>
          </w:tcPr>
          <w:p w14:paraId="352B7025" w14:textId="1426CB96" w:rsidR="00BA592B" w:rsidRPr="005E16C6" w:rsidRDefault="00BA592B" w:rsidP="000A6C17">
            <w:pPr>
              <w:spacing w:before="20" w:after="20"/>
              <w:rPr>
                <w:rFonts w:ascii="Arial Narrow" w:hAnsi="Arial Narrow"/>
                <w:sz w:val="20"/>
                <w:szCs w:val="20"/>
              </w:rPr>
            </w:pPr>
            <w:r w:rsidRPr="008A1592">
              <w:rPr>
                <w:rFonts w:ascii="Arial Narrow" w:hAnsi="Arial Narrow"/>
                <w:sz w:val="20"/>
                <w:szCs w:val="20"/>
              </w:rPr>
              <w:t>Difference in median OS, months</w:t>
            </w:r>
          </w:p>
        </w:tc>
        <w:tc>
          <w:tcPr>
            <w:tcW w:w="1258" w:type="pct"/>
            <w:gridSpan w:val="2"/>
            <w:tcBorders>
              <w:left w:val="single" w:sz="4" w:space="0" w:color="auto"/>
              <w:right w:val="single" w:sz="4" w:space="0" w:color="auto"/>
            </w:tcBorders>
            <w:vAlign w:val="center"/>
          </w:tcPr>
          <w:p w14:paraId="097020C9" w14:textId="622D6471" w:rsidR="00BA592B" w:rsidRPr="008A1592" w:rsidRDefault="00BA592B" w:rsidP="000A6C17">
            <w:pPr>
              <w:spacing w:before="20" w:after="20"/>
              <w:jc w:val="center"/>
              <w:rPr>
                <w:rFonts w:ascii="Arial Narrow" w:hAnsi="Arial Narrow"/>
                <w:sz w:val="20"/>
                <w:szCs w:val="20"/>
              </w:rPr>
            </w:pPr>
            <w:r w:rsidRPr="008A1592">
              <w:rPr>
                <w:rFonts w:ascii="Arial Narrow" w:hAnsi="Arial Narrow"/>
                <w:sz w:val="20"/>
                <w:szCs w:val="20"/>
              </w:rPr>
              <w:t>11.1</w:t>
            </w:r>
          </w:p>
        </w:tc>
        <w:tc>
          <w:tcPr>
            <w:tcW w:w="1258" w:type="pct"/>
            <w:gridSpan w:val="2"/>
            <w:tcBorders>
              <w:left w:val="single" w:sz="4" w:space="0" w:color="auto"/>
              <w:right w:val="single" w:sz="4" w:space="0" w:color="auto"/>
            </w:tcBorders>
            <w:vAlign w:val="center"/>
          </w:tcPr>
          <w:p w14:paraId="64A8CDA3" w14:textId="60F66CD7" w:rsidR="00BA592B" w:rsidRPr="008A1592" w:rsidRDefault="00BA592B" w:rsidP="000A6C17">
            <w:pPr>
              <w:spacing w:before="20" w:after="20"/>
              <w:jc w:val="center"/>
              <w:rPr>
                <w:rFonts w:ascii="Arial Narrow" w:hAnsi="Arial Narrow"/>
                <w:sz w:val="20"/>
                <w:szCs w:val="20"/>
              </w:rPr>
            </w:pPr>
            <w:r w:rsidRPr="008A1592">
              <w:rPr>
                <w:rFonts w:ascii="Arial Narrow" w:hAnsi="Arial Narrow"/>
                <w:sz w:val="20"/>
                <w:szCs w:val="20"/>
              </w:rPr>
              <w:t>15.8</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1BE5E0AC" w14:textId="1E2B9946" w:rsidR="00BA592B" w:rsidRPr="008A1592" w:rsidRDefault="00BA592B" w:rsidP="000A6C17">
            <w:pPr>
              <w:spacing w:before="20" w:after="20"/>
              <w:jc w:val="center"/>
              <w:rPr>
                <w:rFonts w:ascii="Arial Narrow" w:hAnsi="Arial Narrow"/>
                <w:sz w:val="20"/>
                <w:szCs w:val="20"/>
              </w:rPr>
            </w:pPr>
            <w:r w:rsidRPr="008A1592">
              <w:rPr>
                <w:rFonts w:ascii="Arial Narrow" w:hAnsi="Arial Narrow"/>
                <w:sz w:val="20"/>
                <w:szCs w:val="20"/>
              </w:rPr>
              <w:t>3.6</w:t>
            </w:r>
          </w:p>
        </w:tc>
      </w:tr>
      <w:tr w:rsidR="00BA592B" w:rsidRPr="005E16C6" w14:paraId="551898F9" w14:textId="77777777" w:rsidTr="000D2B94">
        <w:trPr>
          <w:trHeight w:val="253"/>
        </w:trPr>
        <w:tc>
          <w:tcPr>
            <w:tcW w:w="1177" w:type="pct"/>
            <w:tcBorders>
              <w:top w:val="single" w:sz="4" w:space="0" w:color="auto"/>
              <w:left w:val="single" w:sz="4" w:space="0" w:color="auto"/>
              <w:bottom w:val="single" w:sz="4" w:space="0" w:color="auto"/>
              <w:right w:val="single" w:sz="4" w:space="0" w:color="auto"/>
            </w:tcBorders>
          </w:tcPr>
          <w:p w14:paraId="576AB9FC" w14:textId="72D96149" w:rsidR="00BA592B" w:rsidRPr="005E16C6" w:rsidRDefault="00BA592B" w:rsidP="000A6C17">
            <w:pPr>
              <w:spacing w:before="20" w:after="20"/>
              <w:rPr>
                <w:rFonts w:ascii="Arial Narrow" w:hAnsi="Arial Narrow"/>
                <w:sz w:val="20"/>
                <w:szCs w:val="20"/>
              </w:rPr>
            </w:pPr>
            <w:r w:rsidRPr="008A1592">
              <w:rPr>
                <w:rFonts w:ascii="Arial Narrow" w:hAnsi="Arial Narrow"/>
                <w:sz w:val="20"/>
                <w:szCs w:val="20"/>
              </w:rPr>
              <w:t>HR (95% CI)</w:t>
            </w:r>
          </w:p>
        </w:tc>
        <w:tc>
          <w:tcPr>
            <w:tcW w:w="1258" w:type="pct"/>
            <w:gridSpan w:val="2"/>
            <w:tcBorders>
              <w:left w:val="single" w:sz="4" w:space="0" w:color="auto"/>
              <w:right w:val="single" w:sz="4" w:space="0" w:color="auto"/>
            </w:tcBorders>
            <w:vAlign w:val="center"/>
          </w:tcPr>
          <w:p w14:paraId="346DE1AC" w14:textId="05388CD3"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0.665 (0.473, 0.935)</w:t>
            </w:r>
          </w:p>
        </w:tc>
        <w:tc>
          <w:tcPr>
            <w:tcW w:w="1258" w:type="pct"/>
            <w:gridSpan w:val="2"/>
            <w:tcBorders>
              <w:left w:val="single" w:sz="4" w:space="0" w:color="auto"/>
              <w:right w:val="single" w:sz="4" w:space="0" w:color="auto"/>
            </w:tcBorders>
            <w:vAlign w:val="center"/>
          </w:tcPr>
          <w:p w14:paraId="76775740" w14:textId="5BC31207"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0.470 (0.262, 0.845)</w:t>
            </w:r>
          </w:p>
        </w:tc>
        <w:tc>
          <w:tcPr>
            <w:tcW w:w="1307" w:type="pct"/>
            <w:gridSpan w:val="2"/>
            <w:tcBorders>
              <w:left w:val="single" w:sz="4" w:space="0" w:color="auto"/>
              <w:right w:val="single" w:sz="4" w:space="0" w:color="auto"/>
            </w:tcBorders>
            <w:vAlign w:val="center"/>
          </w:tcPr>
          <w:p w14:paraId="5B5B354C" w14:textId="017C6636"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0.797 (0.519, 1.224)</w:t>
            </w:r>
          </w:p>
        </w:tc>
      </w:tr>
      <w:tr w:rsidR="00BA592B" w:rsidRPr="005E16C6" w14:paraId="6477FE59" w14:textId="77777777" w:rsidTr="000D2B94">
        <w:trPr>
          <w:trHeight w:val="331"/>
        </w:trPr>
        <w:tc>
          <w:tcPr>
            <w:tcW w:w="1177" w:type="pct"/>
            <w:tcBorders>
              <w:top w:val="single" w:sz="4" w:space="0" w:color="auto"/>
              <w:left w:val="single" w:sz="4" w:space="0" w:color="auto"/>
              <w:bottom w:val="single" w:sz="4" w:space="0" w:color="auto"/>
              <w:right w:val="single" w:sz="4" w:space="0" w:color="auto"/>
            </w:tcBorders>
          </w:tcPr>
          <w:p w14:paraId="2BB165AB" w14:textId="24F9510A" w:rsidR="00BA592B" w:rsidRPr="005E16C6" w:rsidRDefault="00BA592B" w:rsidP="000A6C17">
            <w:pPr>
              <w:spacing w:before="20" w:after="20"/>
              <w:rPr>
                <w:rFonts w:ascii="Arial Narrow" w:hAnsi="Arial Narrow"/>
                <w:sz w:val="20"/>
                <w:szCs w:val="20"/>
              </w:rPr>
            </w:pPr>
            <w:r w:rsidRPr="008A1592">
              <w:rPr>
                <w:rFonts w:ascii="Arial Narrow" w:hAnsi="Arial Narrow"/>
                <w:sz w:val="20"/>
                <w:szCs w:val="20"/>
              </w:rPr>
              <w:t>One sided p-value</w:t>
            </w:r>
          </w:p>
        </w:tc>
        <w:tc>
          <w:tcPr>
            <w:tcW w:w="1258" w:type="pct"/>
            <w:gridSpan w:val="2"/>
            <w:tcBorders>
              <w:left w:val="single" w:sz="4" w:space="0" w:color="auto"/>
              <w:right w:val="single" w:sz="4" w:space="0" w:color="auto"/>
            </w:tcBorders>
            <w:vAlign w:val="center"/>
          </w:tcPr>
          <w:p w14:paraId="4F962976" w14:textId="14713BBA"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0.0091</w:t>
            </w:r>
          </w:p>
        </w:tc>
        <w:tc>
          <w:tcPr>
            <w:tcW w:w="1258" w:type="pct"/>
            <w:gridSpan w:val="2"/>
            <w:tcBorders>
              <w:left w:val="single" w:sz="4" w:space="0" w:color="auto"/>
              <w:right w:val="single" w:sz="4" w:space="0" w:color="auto"/>
            </w:tcBorders>
            <w:vAlign w:val="center"/>
          </w:tcPr>
          <w:p w14:paraId="4EC173A0" w14:textId="2BB0A9F7"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0.0049</w:t>
            </w:r>
          </w:p>
        </w:tc>
        <w:tc>
          <w:tcPr>
            <w:tcW w:w="1307" w:type="pct"/>
            <w:gridSpan w:val="2"/>
            <w:tcBorders>
              <w:left w:val="single" w:sz="4" w:space="0" w:color="auto"/>
              <w:right w:val="single" w:sz="4" w:space="0" w:color="auto"/>
            </w:tcBorders>
            <w:vAlign w:val="center"/>
          </w:tcPr>
          <w:p w14:paraId="6E7DA035" w14:textId="31BBECEA" w:rsidR="00BA592B" w:rsidRPr="005E16C6" w:rsidRDefault="00BA592B" w:rsidP="000A6C17">
            <w:pPr>
              <w:spacing w:before="20" w:after="20"/>
              <w:jc w:val="center"/>
              <w:rPr>
                <w:rFonts w:ascii="Arial Narrow" w:hAnsi="Arial Narrow"/>
                <w:sz w:val="20"/>
                <w:szCs w:val="20"/>
              </w:rPr>
            </w:pPr>
            <w:r w:rsidRPr="008A1592">
              <w:rPr>
                <w:rFonts w:ascii="Arial Narrow" w:hAnsi="Arial Narrow"/>
                <w:sz w:val="20"/>
                <w:szCs w:val="20"/>
              </w:rPr>
              <w:t>0.1487</w:t>
            </w:r>
          </w:p>
        </w:tc>
      </w:tr>
    </w:tbl>
    <w:p w14:paraId="2834CD32" w14:textId="0FAD3C51" w:rsidR="00B24F68" w:rsidRDefault="00B24F68" w:rsidP="00B24F68">
      <w:pPr>
        <w:pStyle w:val="Tablenotes0"/>
      </w:pPr>
      <w:r w:rsidRPr="000D2B94">
        <w:t>Source: Table</w:t>
      </w:r>
      <w:r w:rsidR="00BA592B" w:rsidRPr="000D2B94">
        <w:t>s</w:t>
      </w:r>
      <w:r w:rsidRPr="000D2B94">
        <w:t xml:space="preserve"> </w:t>
      </w:r>
      <w:r w:rsidR="00BA592B" w:rsidRPr="000D2B94">
        <w:t>3-4</w:t>
      </w:r>
      <w:r w:rsidR="000D2B94" w:rsidRPr="000D2B94">
        <w:t>, pp8 and 11</w:t>
      </w:r>
      <w:r w:rsidR="00BA592B" w:rsidRPr="000D2B94">
        <w:t xml:space="preserve"> of the </w:t>
      </w:r>
      <w:r w:rsidR="000D2B94" w:rsidRPr="000D2B94">
        <w:t>minor MSAC submission</w:t>
      </w:r>
      <w:r w:rsidRPr="000D2B94">
        <w:t>.</w:t>
      </w:r>
    </w:p>
    <w:p w14:paraId="5A86C2B5" w14:textId="7A71D902" w:rsidR="000960F8" w:rsidRPr="000960F8" w:rsidRDefault="000960F8" w:rsidP="000960F8">
      <w:pPr>
        <w:pStyle w:val="Tablenotes0"/>
      </w:pPr>
      <w:r w:rsidRPr="000960F8">
        <w:rPr>
          <w:i/>
          <w:iCs/>
        </w:rPr>
        <w:t>BRCA</w:t>
      </w:r>
      <w:r w:rsidRPr="000960F8">
        <w:t xml:space="preserve">=breast cancer gene; CI=confidence interval; ENZ=enzalutamide; HR=hazard ratio; </w:t>
      </w:r>
      <w:r w:rsidR="0073608A" w:rsidRPr="0073608A">
        <w:t>IA</w:t>
      </w:r>
      <w:r w:rsidR="0073608A">
        <w:t>=</w:t>
      </w:r>
      <w:r w:rsidR="0073608A" w:rsidRPr="0073608A">
        <w:t>interim analysis; ITT</w:t>
      </w:r>
      <w:r w:rsidR="0073608A">
        <w:t>=</w:t>
      </w:r>
      <w:r w:rsidR="0073608A" w:rsidRPr="0073608A">
        <w:t>intention-to-treat;</w:t>
      </w:r>
      <w:r w:rsidR="0073608A">
        <w:t xml:space="preserve"> </w:t>
      </w:r>
      <w:r w:rsidRPr="000960F8">
        <w:t>NR=not re</w:t>
      </w:r>
      <w:r w:rsidR="0073608A">
        <w:t>ached</w:t>
      </w:r>
      <w:r w:rsidRPr="000960F8">
        <w:t xml:space="preserve">; OS=overall survival; PBO=placebo; </w:t>
      </w:r>
      <w:proofErr w:type="spellStart"/>
      <w:r w:rsidRPr="000960F8">
        <w:t>rPFS</w:t>
      </w:r>
      <w:proofErr w:type="spellEnd"/>
      <w:r w:rsidRPr="000960F8">
        <w:t>=radiographic progression-free survival; TAL=talazoparib.</w:t>
      </w:r>
    </w:p>
    <w:p w14:paraId="7D927054" w14:textId="33E051C7" w:rsidR="00843734" w:rsidRPr="0064072B" w:rsidRDefault="005B16DA" w:rsidP="0064072B">
      <w:r>
        <w:t xml:space="preserve">The submission concluded that </w:t>
      </w:r>
      <w:r w:rsidR="00CF2706" w:rsidRPr="00CF2706">
        <w:t xml:space="preserve">TAL + ENZ is superior </w:t>
      </w:r>
      <w:r w:rsidR="00173D53">
        <w:t xml:space="preserve">in </w:t>
      </w:r>
      <w:r w:rsidR="00173D53" w:rsidRPr="00CF2706">
        <w:t xml:space="preserve">efficacy outcomes of </w:t>
      </w:r>
      <w:proofErr w:type="spellStart"/>
      <w:r w:rsidR="00173D53" w:rsidRPr="00CF2706">
        <w:t>rPFS</w:t>
      </w:r>
      <w:proofErr w:type="spellEnd"/>
      <w:r w:rsidR="00173D53" w:rsidRPr="00CF2706">
        <w:t xml:space="preserve"> and OS </w:t>
      </w:r>
      <w:r w:rsidR="009A78D5">
        <w:t>and</w:t>
      </w:r>
      <w:r w:rsidR="00CF2706" w:rsidRPr="00CF2706">
        <w:t xml:space="preserve"> inferior </w:t>
      </w:r>
      <w:r w:rsidR="009A78D5">
        <w:t>in safety</w:t>
      </w:r>
      <w:r w:rsidR="0039521F">
        <w:t xml:space="preserve">, when compared </w:t>
      </w:r>
      <w:r w:rsidR="00CF2706" w:rsidRPr="00CF2706">
        <w:t>to PBO + ENZ</w:t>
      </w:r>
      <w:r w:rsidR="00474131">
        <w:t>, as f</w:t>
      </w:r>
      <w:r w:rsidRPr="00CF2706">
        <w:t xml:space="preserve">irst-line treatment of </w:t>
      </w:r>
      <w:proofErr w:type="spellStart"/>
      <w:r w:rsidRPr="00CF2706">
        <w:t>mCRPC</w:t>
      </w:r>
      <w:proofErr w:type="spellEnd"/>
      <w:r w:rsidRPr="00CF2706">
        <w:t xml:space="preserve"> </w:t>
      </w:r>
      <w:r w:rsidR="00474131">
        <w:t xml:space="preserve">with </w:t>
      </w:r>
      <w:r w:rsidRPr="00474131">
        <w:rPr>
          <w:i/>
          <w:iCs/>
        </w:rPr>
        <w:t>BRCA1/2</w:t>
      </w:r>
      <w:r w:rsidRPr="00CF2706">
        <w:t xml:space="preserve"> </w:t>
      </w:r>
      <w:r w:rsidR="00E922F4">
        <w:t>tumours.</w:t>
      </w:r>
    </w:p>
    <w:p w14:paraId="0D09C9E4" w14:textId="2800ACD8" w:rsidR="00772829" w:rsidRDefault="00C36633" w:rsidP="002A18BE">
      <w:pPr>
        <w:pStyle w:val="Heading2"/>
        <w:numPr>
          <w:ilvl w:val="0"/>
          <w:numId w:val="0"/>
        </w:numPr>
      </w:pPr>
      <w:bookmarkStart w:id="24" w:name="_Toc69491425"/>
      <w:r>
        <w:t>1</w:t>
      </w:r>
      <w:r w:rsidR="00F36F57">
        <w:t>3</w:t>
      </w:r>
      <w:r>
        <w:t>.</w:t>
      </w:r>
      <w:r>
        <w:tab/>
      </w:r>
      <w:r w:rsidR="00772829" w:rsidRPr="00CE28E3">
        <w:t>Economic evaluation</w:t>
      </w:r>
      <w:bookmarkEnd w:id="24"/>
    </w:p>
    <w:p w14:paraId="4A939070" w14:textId="26431234" w:rsidR="00843734" w:rsidRDefault="00780703" w:rsidP="00843734">
      <w:r>
        <w:t xml:space="preserve">The </w:t>
      </w:r>
      <w:r w:rsidR="0014270C">
        <w:t xml:space="preserve">minor </w:t>
      </w:r>
      <w:r>
        <w:t>MSAC submission did not present any economic evaluation.</w:t>
      </w:r>
      <w:r w:rsidR="00FE2CD2">
        <w:t xml:space="preserve"> MSAC noted </w:t>
      </w:r>
      <w:r w:rsidR="005B5722">
        <w:t xml:space="preserve">the PBAC submission for </w:t>
      </w:r>
      <w:r w:rsidR="00CC67A8">
        <w:t xml:space="preserve">talazoparib did not </w:t>
      </w:r>
      <w:r w:rsidR="000C4ADC">
        <w:t xml:space="preserve">incorporate </w:t>
      </w:r>
      <w:r w:rsidR="00477B03">
        <w:t xml:space="preserve">consideration of </w:t>
      </w:r>
      <w:r w:rsidR="00FE2CD2">
        <w:t xml:space="preserve">the cost of </w:t>
      </w:r>
      <w:r w:rsidR="00712440">
        <w:t xml:space="preserve">genetic </w:t>
      </w:r>
      <w:r w:rsidR="000C4ADC">
        <w:t>testing</w:t>
      </w:r>
      <w:r w:rsidR="00617381">
        <w:t xml:space="preserve"> in </w:t>
      </w:r>
      <w:r w:rsidR="00372AC0">
        <w:t>its economic evaluation or financial estimates.</w:t>
      </w:r>
    </w:p>
    <w:p w14:paraId="25AE2BAC" w14:textId="678503FB" w:rsidR="00772829" w:rsidRDefault="00C36633" w:rsidP="002A18BE">
      <w:pPr>
        <w:pStyle w:val="Heading2"/>
        <w:numPr>
          <w:ilvl w:val="0"/>
          <w:numId w:val="0"/>
        </w:numPr>
      </w:pPr>
      <w:bookmarkStart w:id="25" w:name="_Toc69491426"/>
      <w:r>
        <w:t>1</w:t>
      </w:r>
      <w:r w:rsidR="00F36F57">
        <w:t>4</w:t>
      </w:r>
      <w:r>
        <w:t>.</w:t>
      </w:r>
      <w:r>
        <w:tab/>
      </w:r>
      <w:r w:rsidR="00772829" w:rsidRPr="00CE28E3">
        <w:t>Financial/budgetary impacts</w:t>
      </w:r>
      <w:bookmarkEnd w:id="25"/>
    </w:p>
    <w:p w14:paraId="06C744E7" w14:textId="5047151B" w:rsidR="00BE78A3" w:rsidRDefault="00310655" w:rsidP="007153C0">
      <w:r w:rsidRPr="00310655">
        <w:t xml:space="preserve">The minor MSAC submission reported that testing for </w:t>
      </w:r>
      <w:r w:rsidRPr="00310655">
        <w:rPr>
          <w:i/>
          <w:iCs/>
        </w:rPr>
        <w:t>BRCA1</w:t>
      </w:r>
      <w:r w:rsidRPr="00310655">
        <w:t xml:space="preserve"> or </w:t>
      </w:r>
      <w:r w:rsidRPr="00310655">
        <w:rPr>
          <w:i/>
          <w:iCs/>
        </w:rPr>
        <w:t>BRCA2</w:t>
      </w:r>
      <w:r w:rsidRPr="00310655">
        <w:t xml:space="preserve"> in patients with </w:t>
      </w:r>
      <w:proofErr w:type="spellStart"/>
      <w:r w:rsidRPr="00310655">
        <w:t>mCRPC</w:t>
      </w:r>
      <w:proofErr w:type="spellEnd"/>
      <w:r w:rsidRPr="00310655">
        <w:t xml:space="preserve"> for access to PBS-listed olaparib is established clinical practice in Australia. Therefore, the proposed amendment of the MBS items 73303 and 73304 would not alter the cost or the utilisation of these two services, and there </w:t>
      </w:r>
      <w:r w:rsidR="0014270C">
        <w:t xml:space="preserve">would </w:t>
      </w:r>
      <w:r w:rsidRPr="00310655">
        <w:t>be no net financial impact to the MBS (p21 of the minor MSAC submission).</w:t>
      </w:r>
    </w:p>
    <w:p w14:paraId="2F36CBA1" w14:textId="6686A399" w:rsidR="00BE78A3" w:rsidRDefault="00EA6A4F" w:rsidP="007153C0">
      <w:r>
        <w:fldChar w:fldCharType="begin"/>
      </w:r>
      <w:r>
        <w:instrText xml:space="preserve"> REF _Ref164367516 \h </w:instrText>
      </w:r>
      <w:r>
        <w:fldChar w:fldCharType="separate"/>
      </w:r>
      <w:r>
        <w:t xml:space="preserve">Table </w:t>
      </w:r>
      <w:r>
        <w:rPr>
          <w:noProof/>
        </w:rPr>
        <w:t>5</w:t>
      </w:r>
      <w:r>
        <w:fldChar w:fldCharType="end"/>
      </w:r>
      <w:r>
        <w:t xml:space="preserve"> presents the estimated utilisation</w:t>
      </w:r>
      <w:r w:rsidR="00A966CF">
        <w:t xml:space="preserve"> in the submission</w:t>
      </w:r>
      <w:r w:rsidR="00011B24">
        <w:t xml:space="preserve">: </w:t>
      </w:r>
      <w:r w:rsidR="00A966CF">
        <w:t xml:space="preserve">approximately 2,278 newly diagnosed patients with </w:t>
      </w:r>
      <w:proofErr w:type="spellStart"/>
      <w:r w:rsidR="00A966CF">
        <w:t>mCRPC</w:t>
      </w:r>
      <w:proofErr w:type="spellEnd"/>
      <w:r w:rsidR="00A966CF">
        <w:t xml:space="preserve"> </w:t>
      </w:r>
      <w:r w:rsidR="00374F41">
        <w:t xml:space="preserve">could be eligible for the test in 2024, based on 11.2% of </w:t>
      </w:r>
      <w:r w:rsidR="00200637">
        <w:t xml:space="preserve">patients diagnosed with prostate cancer are CRPC </w:t>
      </w:r>
      <w:r w:rsidR="00664446">
        <w:t>and 84% were metastatic disease.</w:t>
      </w:r>
      <w:r w:rsidR="00124508">
        <w:t xml:space="preserve"> The </w:t>
      </w:r>
      <w:r w:rsidR="00011B24">
        <w:t>applicant indicated that it is unlikely that all eligible patients would take up testing</w:t>
      </w:r>
      <w:r w:rsidR="00094B2F">
        <w:t xml:space="preserve">, </w:t>
      </w:r>
      <w:r w:rsidR="00094B2F" w:rsidRPr="00094B2F">
        <w:t xml:space="preserve">there would </w:t>
      </w:r>
      <w:r w:rsidR="00094B2F" w:rsidRPr="00094B2F">
        <w:lastRenderedPageBreak/>
        <w:t>not be any supply or demand issues</w:t>
      </w:r>
      <w:r w:rsidR="00056658">
        <w:t xml:space="preserve"> and the requested testing would be manageable even if the number of laboratories conducting testing does not increase. The applicant </w:t>
      </w:r>
      <w:r w:rsidR="00245CC2">
        <w:t>anticipate</w:t>
      </w:r>
      <w:r w:rsidR="000444E2">
        <w:t>d</w:t>
      </w:r>
      <w:r w:rsidR="00245CC2">
        <w:t xml:space="preserve"> a low risk of leakage given the specific details of the proposed item descriptor.</w:t>
      </w:r>
    </w:p>
    <w:p w14:paraId="5041B94D" w14:textId="4CFCFE95" w:rsidR="00935FE6" w:rsidRDefault="00935FE6" w:rsidP="00935FE6">
      <w:pPr>
        <w:pStyle w:val="Caption"/>
      </w:pPr>
      <w:bookmarkStart w:id="26" w:name="_Ref164367516"/>
      <w:r>
        <w:t xml:space="preserve">Table </w:t>
      </w:r>
      <w:r w:rsidR="00341CAB">
        <w:fldChar w:fldCharType="begin"/>
      </w:r>
      <w:r w:rsidR="00341CAB">
        <w:instrText xml:space="preserve"> SEQ Table \* ARABIC </w:instrText>
      </w:r>
      <w:r w:rsidR="00341CAB">
        <w:fldChar w:fldCharType="separate"/>
      </w:r>
      <w:r>
        <w:rPr>
          <w:noProof/>
        </w:rPr>
        <w:t>5</w:t>
      </w:r>
      <w:r w:rsidR="00341CAB">
        <w:rPr>
          <w:noProof/>
        </w:rPr>
        <w:fldChar w:fldCharType="end"/>
      </w:r>
      <w:bookmarkEnd w:id="26"/>
      <w:r w:rsidR="00E661C1">
        <w:tab/>
        <w:t xml:space="preserve">Estimated </w:t>
      </w:r>
      <w:r w:rsidR="00A27882">
        <w:t xml:space="preserve">utilisation in the MSAC minor </w:t>
      </w:r>
      <w:proofErr w:type="gramStart"/>
      <w:r w:rsidR="00A27882">
        <w:t>submission</w:t>
      </w:r>
      <w:proofErr w:type="gramEnd"/>
    </w:p>
    <w:tbl>
      <w:tblPr>
        <w:tblStyle w:val="TableGrid"/>
        <w:tblW w:w="5000" w:type="pct"/>
        <w:tblLayout w:type="fixed"/>
        <w:tblLook w:val="04A0" w:firstRow="1" w:lastRow="0" w:firstColumn="1" w:lastColumn="0" w:noHBand="0" w:noVBand="1"/>
      </w:tblPr>
      <w:tblGrid>
        <w:gridCol w:w="3397"/>
        <w:gridCol w:w="992"/>
        <w:gridCol w:w="4627"/>
      </w:tblGrid>
      <w:tr w:rsidR="00157A65" w:rsidRPr="00A36062" w14:paraId="5E4928F4" w14:textId="77777777" w:rsidTr="00B954D4">
        <w:trPr>
          <w:trHeight w:val="337"/>
          <w:tblHeader/>
        </w:trPr>
        <w:tc>
          <w:tcPr>
            <w:tcW w:w="1884" w:type="pct"/>
            <w:shd w:val="clear" w:color="auto" w:fill="auto"/>
          </w:tcPr>
          <w:p w14:paraId="3E998E0B" w14:textId="77777777" w:rsidR="00A36062" w:rsidRPr="00A36062" w:rsidRDefault="00A36062" w:rsidP="00D139E0">
            <w:pPr>
              <w:spacing w:before="20" w:after="20"/>
              <w:rPr>
                <w:rFonts w:ascii="Arial Narrow" w:hAnsi="Arial Narrow"/>
                <w:b/>
                <w:bCs/>
                <w:sz w:val="20"/>
                <w:szCs w:val="20"/>
              </w:rPr>
            </w:pPr>
          </w:p>
        </w:tc>
        <w:tc>
          <w:tcPr>
            <w:tcW w:w="550" w:type="pct"/>
            <w:shd w:val="clear" w:color="auto" w:fill="auto"/>
          </w:tcPr>
          <w:p w14:paraId="23EB0A26" w14:textId="77777777" w:rsidR="00A36062" w:rsidRPr="00A36062" w:rsidRDefault="00A36062" w:rsidP="00D139E0">
            <w:pPr>
              <w:spacing w:before="20" w:after="20"/>
              <w:jc w:val="center"/>
              <w:rPr>
                <w:rFonts w:ascii="Arial Narrow" w:hAnsi="Arial Narrow"/>
                <w:b/>
                <w:bCs/>
                <w:sz w:val="20"/>
                <w:szCs w:val="20"/>
              </w:rPr>
            </w:pPr>
            <w:r w:rsidRPr="00A36062">
              <w:rPr>
                <w:rFonts w:ascii="Arial Narrow" w:hAnsi="Arial Narrow"/>
                <w:b/>
                <w:bCs/>
                <w:sz w:val="20"/>
                <w:szCs w:val="20"/>
              </w:rPr>
              <w:t>2024</w:t>
            </w:r>
          </w:p>
        </w:tc>
        <w:tc>
          <w:tcPr>
            <w:tcW w:w="2566" w:type="pct"/>
            <w:shd w:val="clear" w:color="auto" w:fill="auto"/>
          </w:tcPr>
          <w:p w14:paraId="0AF11898" w14:textId="77777777" w:rsidR="00A36062" w:rsidRPr="00A36062" w:rsidRDefault="00A36062" w:rsidP="00D139E0">
            <w:pPr>
              <w:spacing w:before="20" w:after="20"/>
              <w:rPr>
                <w:rFonts w:ascii="Arial Narrow" w:hAnsi="Arial Narrow"/>
                <w:b/>
                <w:bCs/>
                <w:sz w:val="20"/>
                <w:szCs w:val="20"/>
              </w:rPr>
            </w:pPr>
            <w:r w:rsidRPr="00A36062">
              <w:rPr>
                <w:rFonts w:ascii="Arial Narrow" w:hAnsi="Arial Narrow"/>
                <w:b/>
                <w:bCs/>
                <w:sz w:val="20"/>
                <w:szCs w:val="20"/>
              </w:rPr>
              <w:t>Reference / Source</w:t>
            </w:r>
          </w:p>
        </w:tc>
      </w:tr>
      <w:tr w:rsidR="00157A65" w:rsidRPr="00A36062" w14:paraId="0F0EF20D" w14:textId="77777777" w:rsidTr="00B954D4">
        <w:tc>
          <w:tcPr>
            <w:tcW w:w="1884" w:type="pct"/>
            <w:shd w:val="clear" w:color="auto" w:fill="auto"/>
          </w:tcPr>
          <w:p w14:paraId="37B4F926" w14:textId="7891EA8F"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Estimated number of patients diagnosed with prostate cancer</w:t>
            </w:r>
            <w:r w:rsidR="00A27882">
              <w:rPr>
                <w:rFonts w:ascii="Arial Narrow" w:hAnsi="Arial Narrow"/>
                <w:sz w:val="20"/>
                <w:szCs w:val="20"/>
              </w:rPr>
              <w:t xml:space="preserve"> [A]</w:t>
            </w:r>
          </w:p>
        </w:tc>
        <w:tc>
          <w:tcPr>
            <w:tcW w:w="550" w:type="pct"/>
            <w:shd w:val="clear" w:color="auto" w:fill="auto"/>
          </w:tcPr>
          <w:p w14:paraId="34C6FED9" w14:textId="77777777" w:rsidR="00A36062" w:rsidRPr="00A36062" w:rsidRDefault="00A36062" w:rsidP="00D139E0">
            <w:pPr>
              <w:spacing w:before="20" w:after="20"/>
              <w:jc w:val="center"/>
              <w:rPr>
                <w:rFonts w:ascii="Arial Narrow" w:hAnsi="Arial Narrow"/>
                <w:sz w:val="20"/>
                <w:szCs w:val="20"/>
              </w:rPr>
            </w:pPr>
            <w:r w:rsidRPr="00A36062">
              <w:rPr>
                <w:rFonts w:ascii="Arial Narrow" w:hAnsi="Arial Narrow"/>
                <w:sz w:val="20"/>
                <w:szCs w:val="20"/>
              </w:rPr>
              <w:t>24,217</w:t>
            </w:r>
          </w:p>
        </w:tc>
        <w:tc>
          <w:tcPr>
            <w:tcW w:w="2566" w:type="pct"/>
            <w:shd w:val="clear" w:color="auto" w:fill="auto"/>
          </w:tcPr>
          <w:p w14:paraId="512B8EB7" w14:textId="7777777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 xml:space="preserve">AIHW Available at: </w:t>
            </w:r>
            <w:hyperlink r:id="rId10" w:history="1">
              <w:r w:rsidRPr="00A36062">
                <w:rPr>
                  <w:rStyle w:val="Hyperlink"/>
                  <w:rFonts w:ascii="Arial Narrow" w:hAnsi="Arial Narrow"/>
                  <w:sz w:val="20"/>
                  <w:szCs w:val="20"/>
                </w:rPr>
                <w:t>https://www.aihw.gov.au/reports/cancer/cancer-data-in-australia/contents/cancer-summary-data-visualisation</w:t>
              </w:r>
            </w:hyperlink>
            <w:r w:rsidRPr="00A36062">
              <w:rPr>
                <w:rFonts w:ascii="Arial Narrow" w:hAnsi="Arial Narrow"/>
                <w:sz w:val="20"/>
                <w:szCs w:val="20"/>
              </w:rPr>
              <w:t xml:space="preserve"> (Accessed 28 September 2023)</w:t>
            </w:r>
          </w:p>
        </w:tc>
      </w:tr>
      <w:tr w:rsidR="00157A65" w:rsidRPr="00A36062" w14:paraId="4B8F24A7" w14:textId="77777777" w:rsidTr="00B954D4">
        <w:tc>
          <w:tcPr>
            <w:tcW w:w="1884" w:type="pct"/>
            <w:shd w:val="clear" w:color="auto" w:fill="auto"/>
          </w:tcPr>
          <w:p w14:paraId="4B68A1F5" w14:textId="44FD102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 xml:space="preserve">Proportion of patients with CRPC </w:t>
            </w:r>
            <w:r w:rsidR="00A27882">
              <w:rPr>
                <w:rFonts w:ascii="Arial Narrow" w:hAnsi="Arial Narrow"/>
                <w:sz w:val="20"/>
                <w:szCs w:val="20"/>
              </w:rPr>
              <w:t>[B]</w:t>
            </w:r>
          </w:p>
        </w:tc>
        <w:tc>
          <w:tcPr>
            <w:tcW w:w="550" w:type="pct"/>
            <w:shd w:val="clear" w:color="auto" w:fill="auto"/>
          </w:tcPr>
          <w:p w14:paraId="081A078D" w14:textId="77777777" w:rsidR="00A36062" w:rsidRPr="00A36062" w:rsidRDefault="00A36062" w:rsidP="00D139E0">
            <w:pPr>
              <w:spacing w:before="20" w:after="20"/>
              <w:jc w:val="center"/>
              <w:rPr>
                <w:rFonts w:ascii="Arial Narrow" w:hAnsi="Arial Narrow"/>
                <w:sz w:val="20"/>
                <w:szCs w:val="20"/>
              </w:rPr>
            </w:pPr>
            <w:r w:rsidRPr="00A36062">
              <w:rPr>
                <w:rFonts w:ascii="Arial Narrow" w:hAnsi="Arial Narrow"/>
                <w:sz w:val="20"/>
                <w:szCs w:val="20"/>
              </w:rPr>
              <w:t>11.2%</w:t>
            </w:r>
          </w:p>
        </w:tc>
        <w:tc>
          <w:tcPr>
            <w:tcW w:w="2566" w:type="pct"/>
            <w:shd w:val="clear" w:color="auto" w:fill="auto"/>
          </w:tcPr>
          <w:p w14:paraId="69A07400" w14:textId="7777777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 xml:space="preserve">Kirby et al 2011 Characterising the castration-resistant prostate cancer population: a systematic review. </w:t>
            </w:r>
            <w:r w:rsidRPr="00A36062">
              <w:rPr>
                <w:rFonts w:ascii="Arial Narrow" w:hAnsi="Arial Narrow"/>
                <w:i/>
                <w:iCs/>
                <w:sz w:val="20"/>
                <w:szCs w:val="20"/>
              </w:rPr>
              <w:t xml:space="preserve">J Clin </w:t>
            </w:r>
            <w:proofErr w:type="spellStart"/>
            <w:r w:rsidRPr="00A36062">
              <w:rPr>
                <w:rFonts w:ascii="Arial Narrow" w:hAnsi="Arial Narrow"/>
                <w:i/>
                <w:iCs/>
                <w:sz w:val="20"/>
                <w:szCs w:val="20"/>
              </w:rPr>
              <w:t>Pract</w:t>
            </w:r>
            <w:proofErr w:type="spellEnd"/>
            <w:r w:rsidRPr="00A36062">
              <w:rPr>
                <w:rFonts w:ascii="Arial Narrow" w:hAnsi="Arial Narrow"/>
                <w:sz w:val="20"/>
                <w:szCs w:val="20"/>
              </w:rPr>
              <w:t>, 65(11), 1180-1192</w:t>
            </w:r>
          </w:p>
        </w:tc>
      </w:tr>
      <w:tr w:rsidR="00157A65" w:rsidRPr="00A36062" w14:paraId="1006D585" w14:textId="77777777" w:rsidTr="00B954D4">
        <w:tc>
          <w:tcPr>
            <w:tcW w:w="1884" w:type="pct"/>
            <w:shd w:val="clear" w:color="auto" w:fill="auto"/>
          </w:tcPr>
          <w:p w14:paraId="4D7DEFC9" w14:textId="61F9510D"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Estimated number of patients diagnosed with CRPC</w:t>
            </w:r>
            <w:r w:rsidR="00A27882">
              <w:rPr>
                <w:rFonts w:ascii="Arial Narrow" w:hAnsi="Arial Narrow"/>
                <w:sz w:val="20"/>
                <w:szCs w:val="20"/>
              </w:rPr>
              <w:t xml:space="preserve"> [C = A x B]</w:t>
            </w:r>
          </w:p>
        </w:tc>
        <w:tc>
          <w:tcPr>
            <w:tcW w:w="550" w:type="pct"/>
            <w:shd w:val="clear" w:color="auto" w:fill="auto"/>
          </w:tcPr>
          <w:p w14:paraId="7364D90B" w14:textId="77777777" w:rsidR="00A36062" w:rsidRPr="00A36062" w:rsidRDefault="00A36062" w:rsidP="00D139E0">
            <w:pPr>
              <w:spacing w:before="20" w:after="20"/>
              <w:jc w:val="center"/>
              <w:rPr>
                <w:rFonts w:ascii="Arial Narrow" w:hAnsi="Arial Narrow"/>
                <w:sz w:val="20"/>
                <w:szCs w:val="20"/>
              </w:rPr>
            </w:pPr>
            <w:r w:rsidRPr="00A36062">
              <w:rPr>
                <w:rFonts w:ascii="Arial Narrow" w:hAnsi="Arial Narrow"/>
                <w:sz w:val="20"/>
                <w:szCs w:val="20"/>
              </w:rPr>
              <w:t>2,712</w:t>
            </w:r>
          </w:p>
        </w:tc>
        <w:tc>
          <w:tcPr>
            <w:tcW w:w="2566" w:type="pct"/>
            <w:shd w:val="clear" w:color="auto" w:fill="auto"/>
          </w:tcPr>
          <w:p w14:paraId="7EE771D4" w14:textId="7777777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Calculated</w:t>
            </w:r>
          </w:p>
        </w:tc>
      </w:tr>
      <w:tr w:rsidR="00157A65" w:rsidRPr="00A36062" w14:paraId="3E718A99" w14:textId="77777777" w:rsidTr="00B954D4">
        <w:tc>
          <w:tcPr>
            <w:tcW w:w="1884" w:type="pct"/>
            <w:shd w:val="clear" w:color="auto" w:fill="auto"/>
          </w:tcPr>
          <w:p w14:paraId="7139FA66" w14:textId="2AA9EA0D"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Proportion of CRPC patients with metastatic disease</w:t>
            </w:r>
            <w:r w:rsidR="00A27882">
              <w:rPr>
                <w:rFonts w:ascii="Arial Narrow" w:hAnsi="Arial Narrow"/>
                <w:sz w:val="20"/>
                <w:szCs w:val="20"/>
              </w:rPr>
              <w:t xml:space="preserve"> [D]</w:t>
            </w:r>
          </w:p>
        </w:tc>
        <w:tc>
          <w:tcPr>
            <w:tcW w:w="550" w:type="pct"/>
            <w:shd w:val="clear" w:color="auto" w:fill="auto"/>
          </w:tcPr>
          <w:p w14:paraId="584805E7" w14:textId="77777777" w:rsidR="00A36062" w:rsidRPr="00A36062" w:rsidRDefault="00A36062" w:rsidP="00D139E0">
            <w:pPr>
              <w:spacing w:before="20" w:after="20"/>
              <w:jc w:val="center"/>
              <w:rPr>
                <w:rFonts w:ascii="Arial Narrow" w:hAnsi="Arial Narrow"/>
                <w:sz w:val="20"/>
                <w:szCs w:val="20"/>
              </w:rPr>
            </w:pPr>
            <w:r w:rsidRPr="00A36062">
              <w:rPr>
                <w:rFonts w:ascii="Arial Narrow" w:hAnsi="Arial Narrow"/>
                <w:sz w:val="20"/>
                <w:szCs w:val="20"/>
              </w:rPr>
              <w:t>84%</w:t>
            </w:r>
          </w:p>
        </w:tc>
        <w:tc>
          <w:tcPr>
            <w:tcW w:w="2566" w:type="pct"/>
            <w:shd w:val="clear" w:color="auto" w:fill="auto"/>
          </w:tcPr>
          <w:p w14:paraId="5E1749A8" w14:textId="7777777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 xml:space="preserve">Wade et al 2018. Profiling Prostate Cancer Therapeutic Resistance. </w:t>
            </w:r>
            <w:r w:rsidRPr="00A36062">
              <w:rPr>
                <w:rFonts w:ascii="Arial Narrow" w:hAnsi="Arial Narrow"/>
                <w:i/>
                <w:iCs/>
                <w:sz w:val="20"/>
                <w:szCs w:val="20"/>
              </w:rPr>
              <w:t>International Journal of Molecular Sciences</w:t>
            </w:r>
            <w:r w:rsidRPr="00A36062">
              <w:rPr>
                <w:rFonts w:ascii="Arial Narrow" w:hAnsi="Arial Narrow"/>
                <w:sz w:val="20"/>
                <w:szCs w:val="20"/>
              </w:rPr>
              <w:t>. 2018; 19(3):904. https://doi.org/10.3390/ijms19030904</w:t>
            </w:r>
          </w:p>
        </w:tc>
      </w:tr>
      <w:tr w:rsidR="00157A65" w:rsidRPr="00A36062" w14:paraId="2CFFEB7C" w14:textId="77777777" w:rsidTr="00B954D4">
        <w:tc>
          <w:tcPr>
            <w:tcW w:w="1884" w:type="pct"/>
            <w:tcBorders>
              <w:bottom w:val="single" w:sz="4" w:space="0" w:color="auto"/>
            </w:tcBorders>
            <w:shd w:val="clear" w:color="auto" w:fill="auto"/>
          </w:tcPr>
          <w:p w14:paraId="24DEDDE2" w14:textId="1475E67B"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 xml:space="preserve">Estimated patients with </w:t>
            </w:r>
            <w:proofErr w:type="spellStart"/>
            <w:r w:rsidRPr="00A36062">
              <w:rPr>
                <w:rFonts w:ascii="Arial Narrow" w:hAnsi="Arial Narrow"/>
                <w:sz w:val="20"/>
                <w:szCs w:val="20"/>
              </w:rPr>
              <w:t>mCRPC</w:t>
            </w:r>
            <w:proofErr w:type="spellEnd"/>
            <w:r w:rsidR="00A27882">
              <w:rPr>
                <w:rFonts w:ascii="Arial Narrow" w:hAnsi="Arial Narrow"/>
                <w:sz w:val="20"/>
                <w:szCs w:val="20"/>
              </w:rPr>
              <w:t xml:space="preserve"> [E = </w:t>
            </w:r>
            <w:r w:rsidR="00EA6A4F">
              <w:rPr>
                <w:rFonts w:ascii="Arial Narrow" w:hAnsi="Arial Narrow"/>
                <w:sz w:val="20"/>
                <w:szCs w:val="20"/>
              </w:rPr>
              <w:t>C x D]</w:t>
            </w:r>
          </w:p>
        </w:tc>
        <w:tc>
          <w:tcPr>
            <w:tcW w:w="550" w:type="pct"/>
            <w:tcBorders>
              <w:bottom w:val="single" w:sz="4" w:space="0" w:color="auto"/>
            </w:tcBorders>
            <w:shd w:val="clear" w:color="auto" w:fill="auto"/>
          </w:tcPr>
          <w:p w14:paraId="14F2F9D3" w14:textId="77777777" w:rsidR="00A36062" w:rsidRPr="00A36062" w:rsidRDefault="00A36062" w:rsidP="00D139E0">
            <w:pPr>
              <w:spacing w:before="20" w:after="20"/>
              <w:jc w:val="center"/>
              <w:rPr>
                <w:rFonts w:ascii="Arial Narrow" w:hAnsi="Arial Narrow"/>
                <w:sz w:val="20"/>
                <w:szCs w:val="20"/>
              </w:rPr>
            </w:pPr>
            <w:r w:rsidRPr="00A36062">
              <w:rPr>
                <w:rFonts w:ascii="Arial Narrow" w:hAnsi="Arial Narrow"/>
                <w:sz w:val="20"/>
                <w:szCs w:val="20"/>
              </w:rPr>
              <w:t>2,278</w:t>
            </w:r>
          </w:p>
        </w:tc>
        <w:tc>
          <w:tcPr>
            <w:tcW w:w="2566" w:type="pct"/>
            <w:tcBorders>
              <w:bottom w:val="single" w:sz="4" w:space="0" w:color="auto"/>
            </w:tcBorders>
            <w:shd w:val="clear" w:color="auto" w:fill="auto"/>
          </w:tcPr>
          <w:p w14:paraId="4866DB82" w14:textId="7777777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Calculated</w:t>
            </w:r>
          </w:p>
        </w:tc>
      </w:tr>
      <w:tr w:rsidR="00157A65" w:rsidRPr="00A36062" w14:paraId="04D3A11C" w14:textId="77777777" w:rsidTr="00B954D4">
        <w:tc>
          <w:tcPr>
            <w:tcW w:w="1884" w:type="pct"/>
            <w:tcBorders>
              <w:right w:val="nil"/>
            </w:tcBorders>
            <w:shd w:val="clear" w:color="auto" w:fill="auto"/>
          </w:tcPr>
          <w:p w14:paraId="70F9C50B" w14:textId="77777777" w:rsidR="00A36062" w:rsidRPr="00A36062" w:rsidRDefault="00A36062" w:rsidP="00D139E0">
            <w:pPr>
              <w:spacing w:before="20" w:after="20"/>
              <w:rPr>
                <w:rFonts w:ascii="Arial Narrow" w:hAnsi="Arial Narrow"/>
                <w:sz w:val="20"/>
                <w:szCs w:val="20"/>
              </w:rPr>
            </w:pPr>
            <w:r w:rsidRPr="00A36062">
              <w:rPr>
                <w:rFonts w:ascii="Arial Narrow" w:hAnsi="Arial Narrow"/>
                <w:b/>
                <w:bCs/>
                <w:sz w:val="20"/>
                <w:szCs w:val="20"/>
              </w:rPr>
              <w:t>Sensitivity – upper bound</w:t>
            </w:r>
          </w:p>
        </w:tc>
        <w:tc>
          <w:tcPr>
            <w:tcW w:w="550" w:type="pct"/>
            <w:tcBorders>
              <w:left w:val="nil"/>
              <w:right w:val="nil"/>
            </w:tcBorders>
            <w:shd w:val="clear" w:color="auto" w:fill="auto"/>
          </w:tcPr>
          <w:p w14:paraId="39091E66" w14:textId="77777777" w:rsidR="00A36062" w:rsidRPr="00A36062" w:rsidRDefault="00A36062" w:rsidP="00D139E0">
            <w:pPr>
              <w:spacing w:before="20" w:after="20"/>
              <w:jc w:val="center"/>
              <w:rPr>
                <w:rFonts w:ascii="Arial Narrow" w:hAnsi="Arial Narrow"/>
                <w:sz w:val="20"/>
                <w:szCs w:val="20"/>
              </w:rPr>
            </w:pPr>
          </w:p>
        </w:tc>
        <w:tc>
          <w:tcPr>
            <w:tcW w:w="2566" w:type="pct"/>
            <w:tcBorders>
              <w:left w:val="nil"/>
            </w:tcBorders>
            <w:shd w:val="clear" w:color="auto" w:fill="auto"/>
          </w:tcPr>
          <w:p w14:paraId="2DDFFC02" w14:textId="77777777" w:rsidR="00A36062" w:rsidRPr="00A36062" w:rsidRDefault="00A36062" w:rsidP="00D139E0">
            <w:pPr>
              <w:spacing w:before="20" w:after="20"/>
              <w:rPr>
                <w:rFonts w:ascii="Arial Narrow" w:hAnsi="Arial Narrow"/>
                <w:sz w:val="20"/>
                <w:szCs w:val="20"/>
              </w:rPr>
            </w:pPr>
          </w:p>
        </w:tc>
      </w:tr>
      <w:tr w:rsidR="00157A65" w:rsidRPr="00A36062" w14:paraId="683D6919" w14:textId="77777777" w:rsidTr="00B954D4">
        <w:tc>
          <w:tcPr>
            <w:tcW w:w="1884" w:type="pct"/>
            <w:shd w:val="clear" w:color="auto" w:fill="auto"/>
          </w:tcPr>
          <w:p w14:paraId="45D8747B" w14:textId="7777777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 xml:space="preserve">Proportion of patients with </w:t>
            </w:r>
            <w:proofErr w:type="spellStart"/>
            <w:r w:rsidRPr="00A36062">
              <w:rPr>
                <w:rFonts w:ascii="Arial Narrow" w:hAnsi="Arial Narrow"/>
                <w:sz w:val="20"/>
                <w:szCs w:val="20"/>
              </w:rPr>
              <w:t>mCRPC</w:t>
            </w:r>
            <w:proofErr w:type="spellEnd"/>
          </w:p>
        </w:tc>
        <w:tc>
          <w:tcPr>
            <w:tcW w:w="550" w:type="pct"/>
            <w:shd w:val="clear" w:color="auto" w:fill="auto"/>
          </w:tcPr>
          <w:p w14:paraId="1BF96D33" w14:textId="77777777" w:rsidR="00A36062" w:rsidRPr="00A36062" w:rsidRDefault="00A36062" w:rsidP="00D139E0">
            <w:pPr>
              <w:spacing w:before="20" w:after="20"/>
              <w:jc w:val="center"/>
              <w:rPr>
                <w:rFonts w:ascii="Arial Narrow" w:hAnsi="Arial Narrow"/>
                <w:sz w:val="20"/>
                <w:szCs w:val="20"/>
              </w:rPr>
            </w:pPr>
            <w:r w:rsidRPr="00A36062">
              <w:rPr>
                <w:rFonts w:ascii="Arial Narrow" w:hAnsi="Arial Narrow"/>
                <w:sz w:val="20"/>
                <w:szCs w:val="20"/>
              </w:rPr>
              <w:t>12.1%</w:t>
            </w:r>
          </w:p>
        </w:tc>
        <w:tc>
          <w:tcPr>
            <w:tcW w:w="2566" w:type="pct"/>
            <w:shd w:val="clear" w:color="auto" w:fill="auto"/>
          </w:tcPr>
          <w:p w14:paraId="4ADF0130" w14:textId="7777777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 xml:space="preserve">De Velasco et al 2022. Incidence, prevalence, and treatment patterns in metastatic hormone-sensitive prostate cancer in Spain: ECHOS study. </w:t>
            </w:r>
            <w:proofErr w:type="spellStart"/>
            <w:r w:rsidRPr="00A36062">
              <w:rPr>
                <w:rFonts w:ascii="Arial Narrow" w:hAnsi="Arial Narrow"/>
                <w:i/>
                <w:iCs/>
                <w:sz w:val="20"/>
                <w:szCs w:val="20"/>
              </w:rPr>
              <w:t>Actas</w:t>
            </w:r>
            <w:proofErr w:type="spellEnd"/>
            <w:r w:rsidRPr="00A36062">
              <w:rPr>
                <w:rFonts w:ascii="Arial Narrow" w:hAnsi="Arial Narrow"/>
                <w:i/>
                <w:iCs/>
                <w:sz w:val="20"/>
                <w:szCs w:val="20"/>
              </w:rPr>
              <w:t xml:space="preserve"> </w:t>
            </w:r>
            <w:proofErr w:type="spellStart"/>
            <w:r w:rsidRPr="00A36062">
              <w:rPr>
                <w:rFonts w:ascii="Arial Narrow" w:hAnsi="Arial Narrow"/>
                <w:i/>
                <w:iCs/>
                <w:sz w:val="20"/>
                <w:szCs w:val="20"/>
              </w:rPr>
              <w:t>Urológicas</w:t>
            </w:r>
            <w:proofErr w:type="spellEnd"/>
            <w:r w:rsidRPr="00A36062">
              <w:rPr>
                <w:rFonts w:ascii="Arial Narrow" w:hAnsi="Arial Narrow"/>
                <w:i/>
                <w:iCs/>
                <w:sz w:val="20"/>
                <w:szCs w:val="20"/>
              </w:rPr>
              <w:t xml:space="preserve"> </w:t>
            </w:r>
            <w:proofErr w:type="spellStart"/>
            <w:r w:rsidRPr="00A36062">
              <w:rPr>
                <w:rFonts w:ascii="Arial Narrow" w:hAnsi="Arial Narrow"/>
                <w:i/>
                <w:iCs/>
                <w:sz w:val="20"/>
                <w:szCs w:val="20"/>
              </w:rPr>
              <w:t>Españolas</w:t>
            </w:r>
            <w:proofErr w:type="spellEnd"/>
            <w:r w:rsidRPr="00A36062">
              <w:rPr>
                <w:rFonts w:ascii="Arial Narrow" w:hAnsi="Arial Narrow"/>
                <w:sz w:val="20"/>
                <w:szCs w:val="20"/>
              </w:rPr>
              <w:t xml:space="preserve"> 46 (2022) 557---564 (in English)</w:t>
            </w:r>
          </w:p>
        </w:tc>
      </w:tr>
      <w:tr w:rsidR="00157A65" w:rsidRPr="00A36062" w14:paraId="0CB442CD" w14:textId="77777777" w:rsidTr="00B954D4">
        <w:tc>
          <w:tcPr>
            <w:tcW w:w="1884" w:type="pct"/>
            <w:shd w:val="clear" w:color="auto" w:fill="auto"/>
          </w:tcPr>
          <w:p w14:paraId="16F5DC0C" w14:textId="7777777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 xml:space="preserve">Estimated number of patients with </w:t>
            </w:r>
            <w:proofErr w:type="spellStart"/>
            <w:r w:rsidRPr="00A36062">
              <w:rPr>
                <w:rFonts w:ascii="Arial Narrow" w:hAnsi="Arial Narrow"/>
                <w:sz w:val="20"/>
                <w:szCs w:val="20"/>
              </w:rPr>
              <w:t>mCRPC</w:t>
            </w:r>
            <w:proofErr w:type="spellEnd"/>
          </w:p>
        </w:tc>
        <w:tc>
          <w:tcPr>
            <w:tcW w:w="550" w:type="pct"/>
            <w:shd w:val="clear" w:color="auto" w:fill="auto"/>
          </w:tcPr>
          <w:p w14:paraId="7107646A" w14:textId="77777777" w:rsidR="00A36062" w:rsidRPr="00A36062" w:rsidRDefault="00A36062" w:rsidP="00D139E0">
            <w:pPr>
              <w:spacing w:before="20" w:after="20"/>
              <w:jc w:val="center"/>
              <w:rPr>
                <w:rFonts w:ascii="Arial Narrow" w:hAnsi="Arial Narrow"/>
                <w:sz w:val="20"/>
                <w:szCs w:val="20"/>
              </w:rPr>
            </w:pPr>
            <w:r w:rsidRPr="00A36062">
              <w:rPr>
                <w:rFonts w:ascii="Arial Narrow" w:hAnsi="Arial Narrow"/>
                <w:sz w:val="20"/>
                <w:szCs w:val="20"/>
              </w:rPr>
              <w:t>2,930</w:t>
            </w:r>
          </w:p>
        </w:tc>
        <w:tc>
          <w:tcPr>
            <w:tcW w:w="2566" w:type="pct"/>
            <w:shd w:val="clear" w:color="auto" w:fill="auto"/>
          </w:tcPr>
          <w:p w14:paraId="43A42F38" w14:textId="7777777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Calculated</w:t>
            </w:r>
          </w:p>
        </w:tc>
      </w:tr>
      <w:tr w:rsidR="00A36062" w:rsidRPr="00A36062" w14:paraId="379992C5" w14:textId="77777777" w:rsidTr="00F4683E">
        <w:trPr>
          <w:trHeight w:val="370"/>
        </w:trPr>
        <w:tc>
          <w:tcPr>
            <w:tcW w:w="5000" w:type="pct"/>
            <w:gridSpan w:val="3"/>
            <w:shd w:val="clear" w:color="auto" w:fill="auto"/>
          </w:tcPr>
          <w:p w14:paraId="7A736293" w14:textId="77777777" w:rsidR="00A36062" w:rsidRPr="00A36062" w:rsidRDefault="00A36062" w:rsidP="00D139E0">
            <w:pPr>
              <w:spacing w:before="20" w:after="20"/>
              <w:rPr>
                <w:rFonts w:ascii="Arial Narrow" w:hAnsi="Arial Narrow"/>
                <w:b/>
                <w:bCs/>
                <w:sz w:val="20"/>
                <w:szCs w:val="20"/>
              </w:rPr>
            </w:pPr>
            <w:r w:rsidRPr="00A36062">
              <w:rPr>
                <w:rFonts w:ascii="Arial Narrow" w:hAnsi="Arial Narrow"/>
                <w:b/>
                <w:bCs/>
                <w:sz w:val="20"/>
                <w:szCs w:val="20"/>
              </w:rPr>
              <w:t>MBS utilisation data items 73303 and 73304 (financial year Jul 2022 -Jun 2023)</w:t>
            </w:r>
          </w:p>
        </w:tc>
      </w:tr>
      <w:tr w:rsidR="00157A65" w:rsidRPr="00A36062" w14:paraId="63277D65" w14:textId="77777777" w:rsidTr="00B954D4">
        <w:tc>
          <w:tcPr>
            <w:tcW w:w="1884" w:type="pct"/>
            <w:shd w:val="clear" w:color="auto" w:fill="auto"/>
          </w:tcPr>
          <w:p w14:paraId="19A062AA" w14:textId="7777777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Total (MBS items 73303 &amp; 73304)</w:t>
            </w:r>
          </w:p>
        </w:tc>
        <w:tc>
          <w:tcPr>
            <w:tcW w:w="550" w:type="pct"/>
            <w:shd w:val="clear" w:color="auto" w:fill="auto"/>
          </w:tcPr>
          <w:p w14:paraId="38F5D818" w14:textId="681EA9E3" w:rsidR="00A36062" w:rsidRPr="00A36062" w:rsidRDefault="00A36062" w:rsidP="00D139E0">
            <w:pPr>
              <w:spacing w:before="20" w:after="20"/>
              <w:jc w:val="center"/>
              <w:rPr>
                <w:rFonts w:ascii="Arial Narrow" w:hAnsi="Arial Narrow"/>
                <w:sz w:val="20"/>
                <w:szCs w:val="20"/>
              </w:rPr>
            </w:pPr>
            <w:r w:rsidRPr="00A36062">
              <w:rPr>
                <w:rFonts w:ascii="Arial Narrow" w:hAnsi="Arial Narrow"/>
                <w:sz w:val="20"/>
                <w:szCs w:val="20"/>
              </w:rPr>
              <w:t>1</w:t>
            </w:r>
            <w:r w:rsidR="00157A65">
              <w:rPr>
                <w:rFonts w:ascii="Arial Narrow" w:hAnsi="Arial Narrow"/>
                <w:sz w:val="20"/>
                <w:szCs w:val="20"/>
              </w:rPr>
              <w:t>,</w:t>
            </w:r>
            <w:r w:rsidRPr="00A36062">
              <w:rPr>
                <w:rFonts w:ascii="Arial Narrow" w:hAnsi="Arial Narrow"/>
                <w:sz w:val="20"/>
                <w:szCs w:val="20"/>
              </w:rPr>
              <w:t>599</w:t>
            </w:r>
          </w:p>
        </w:tc>
        <w:tc>
          <w:tcPr>
            <w:tcW w:w="2566" w:type="pct"/>
            <w:shd w:val="clear" w:color="auto" w:fill="auto"/>
          </w:tcPr>
          <w:p w14:paraId="4A6FDD5F" w14:textId="7777777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 xml:space="preserve">Medicare Item Reports – Services Australia </w:t>
            </w:r>
          </w:p>
          <w:p w14:paraId="408C5862" w14:textId="77777777" w:rsidR="00A36062" w:rsidRPr="00A36062" w:rsidRDefault="00341CAB" w:rsidP="00D139E0">
            <w:pPr>
              <w:spacing w:before="20" w:after="20"/>
              <w:rPr>
                <w:rFonts w:ascii="Arial Narrow" w:hAnsi="Arial Narrow"/>
                <w:sz w:val="20"/>
                <w:szCs w:val="20"/>
              </w:rPr>
            </w:pPr>
            <w:hyperlink r:id="rId11" w:history="1">
              <w:r w:rsidR="00A36062" w:rsidRPr="00A36062">
                <w:rPr>
                  <w:rStyle w:val="Hyperlink"/>
                  <w:rFonts w:ascii="Arial Narrow" w:hAnsi="Arial Narrow"/>
                  <w:sz w:val="20"/>
                  <w:szCs w:val="20"/>
                </w:rPr>
                <w:t>http://medicarestatistics.humanservices.gov.au/statistics/mbs_item.jsp</w:t>
              </w:r>
            </w:hyperlink>
          </w:p>
        </w:tc>
      </w:tr>
      <w:tr w:rsidR="00157A65" w:rsidRPr="00A36062" w14:paraId="115EE4E6" w14:textId="77777777" w:rsidTr="00B954D4">
        <w:tc>
          <w:tcPr>
            <w:tcW w:w="1884" w:type="pct"/>
            <w:shd w:val="clear" w:color="auto" w:fill="auto"/>
          </w:tcPr>
          <w:p w14:paraId="7D0264B4" w14:textId="7777777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Uptake rate- Base case</w:t>
            </w:r>
          </w:p>
        </w:tc>
        <w:tc>
          <w:tcPr>
            <w:tcW w:w="550" w:type="pct"/>
            <w:shd w:val="clear" w:color="auto" w:fill="auto"/>
          </w:tcPr>
          <w:p w14:paraId="5FDE4580" w14:textId="77777777" w:rsidR="00A36062" w:rsidRPr="00A36062" w:rsidRDefault="00A36062" w:rsidP="00D139E0">
            <w:pPr>
              <w:spacing w:before="20" w:after="20"/>
              <w:jc w:val="center"/>
              <w:rPr>
                <w:rFonts w:ascii="Arial Narrow" w:hAnsi="Arial Narrow"/>
                <w:sz w:val="20"/>
                <w:szCs w:val="20"/>
              </w:rPr>
            </w:pPr>
            <w:r w:rsidRPr="00A36062">
              <w:rPr>
                <w:rFonts w:ascii="Arial Narrow" w:hAnsi="Arial Narrow"/>
                <w:sz w:val="20"/>
                <w:szCs w:val="20"/>
              </w:rPr>
              <w:t>70.2%</w:t>
            </w:r>
          </w:p>
        </w:tc>
        <w:tc>
          <w:tcPr>
            <w:tcW w:w="2566" w:type="pct"/>
            <w:shd w:val="clear" w:color="auto" w:fill="auto"/>
          </w:tcPr>
          <w:p w14:paraId="6D1D1FEE" w14:textId="7777777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 xml:space="preserve">Calculated </w:t>
            </w:r>
          </w:p>
        </w:tc>
      </w:tr>
      <w:tr w:rsidR="00157A65" w:rsidRPr="00A36062" w14:paraId="79C9FA2E" w14:textId="77777777" w:rsidTr="00B954D4">
        <w:tc>
          <w:tcPr>
            <w:tcW w:w="1884" w:type="pct"/>
            <w:shd w:val="clear" w:color="auto" w:fill="auto"/>
          </w:tcPr>
          <w:p w14:paraId="008013B7" w14:textId="7777777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Uptake rate – sensitivity using upper bound</w:t>
            </w:r>
          </w:p>
        </w:tc>
        <w:tc>
          <w:tcPr>
            <w:tcW w:w="550" w:type="pct"/>
            <w:shd w:val="clear" w:color="auto" w:fill="auto"/>
          </w:tcPr>
          <w:p w14:paraId="4C8103E2" w14:textId="77777777" w:rsidR="00A36062" w:rsidRPr="00A36062" w:rsidRDefault="00A36062" w:rsidP="00D139E0">
            <w:pPr>
              <w:spacing w:before="20" w:after="20"/>
              <w:jc w:val="center"/>
              <w:rPr>
                <w:rFonts w:ascii="Arial Narrow" w:hAnsi="Arial Narrow"/>
                <w:sz w:val="20"/>
                <w:szCs w:val="20"/>
              </w:rPr>
            </w:pPr>
            <w:r w:rsidRPr="00A36062">
              <w:rPr>
                <w:rFonts w:ascii="Arial Narrow" w:hAnsi="Arial Narrow"/>
                <w:sz w:val="20"/>
                <w:szCs w:val="20"/>
              </w:rPr>
              <w:t>54.6%</w:t>
            </w:r>
          </w:p>
        </w:tc>
        <w:tc>
          <w:tcPr>
            <w:tcW w:w="2566" w:type="pct"/>
            <w:shd w:val="clear" w:color="auto" w:fill="auto"/>
          </w:tcPr>
          <w:p w14:paraId="0C7EDBFC" w14:textId="77777777" w:rsidR="00A36062" w:rsidRPr="00A36062" w:rsidRDefault="00A36062" w:rsidP="00D139E0">
            <w:pPr>
              <w:spacing w:before="20" w:after="20"/>
              <w:rPr>
                <w:rFonts w:ascii="Arial Narrow" w:hAnsi="Arial Narrow"/>
                <w:sz w:val="20"/>
                <w:szCs w:val="20"/>
              </w:rPr>
            </w:pPr>
            <w:r w:rsidRPr="00A36062">
              <w:rPr>
                <w:rFonts w:ascii="Arial Narrow" w:hAnsi="Arial Narrow"/>
                <w:sz w:val="20"/>
                <w:szCs w:val="20"/>
              </w:rPr>
              <w:t>Calculated</w:t>
            </w:r>
          </w:p>
        </w:tc>
      </w:tr>
    </w:tbl>
    <w:p w14:paraId="19A31858" w14:textId="038716E8" w:rsidR="00245CC2" w:rsidRDefault="00245CC2" w:rsidP="00233FB5">
      <w:pPr>
        <w:spacing w:before="0" w:after="0" w:line="240" w:lineRule="auto"/>
        <w:rPr>
          <w:rFonts w:ascii="Arial Narrow" w:hAnsi="Arial Narrow"/>
          <w:sz w:val="18"/>
          <w:szCs w:val="18"/>
        </w:rPr>
      </w:pPr>
      <w:r>
        <w:rPr>
          <w:rFonts w:ascii="Arial Narrow" w:hAnsi="Arial Narrow"/>
          <w:sz w:val="18"/>
          <w:szCs w:val="18"/>
        </w:rPr>
        <w:t xml:space="preserve">Source: </w:t>
      </w:r>
      <w:r w:rsidR="002B5B48">
        <w:rPr>
          <w:rFonts w:ascii="Arial Narrow" w:hAnsi="Arial Narrow"/>
          <w:sz w:val="18"/>
          <w:szCs w:val="18"/>
        </w:rPr>
        <w:t>table in</w:t>
      </w:r>
      <w:r w:rsidR="00233FB5">
        <w:rPr>
          <w:rFonts w:ascii="Arial Narrow" w:hAnsi="Arial Narrow"/>
          <w:sz w:val="18"/>
          <w:szCs w:val="18"/>
        </w:rPr>
        <w:t xml:space="preserve"> information about estimated utilisation in the application form supplied with the minor submission.</w:t>
      </w:r>
      <w:r w:rsidR="002B5B48">
        <w:rPr>
          <w:rFonts w:ascii="Arial Narrow" w:hAnsi="Arial Narrow"/>
          <w:sz w:val="18"/>
          <w:szCs w:val="18"/>
        </w:rPr>
        <w:t xml:space="preserve"> </w:t>
      </w:r>
    </w:p>
    <w:p w14:paraId="2DAB6774" w14:textId="7999BAE0" w:rsidR="00A36062" w:rsidRPr="00B03332" w:rsidRDefault="000D58D3" w:rsidP="00233FB5">
      <w:pPr>
        <w:spacing w:before="0"/>
        <w:rPr>
          <w:rFonts w:ascii="Arial Narrow" w:hAnsi="Arial Narrow"/>
          <w:sz w:val="18"/>
          <w:szCs w:val="18"/>
        </w:rPr>
      </w:pPr>
      <w:r>
        <w:rPr>
          <w:rFonts w:ascii="Arial Narrow" w:hAnsi="Arial Narrow"/>
          <w:sz w:val="18"/>
          <w:szCs w:val="18"/>
        </w:rPr>
        <w:t xml:space="preserve">MBS = Medicare Benefits Schedule; </w:t>
      </w:r>
      <w:proofErr w:type="spellStart"/>
      <w:r>
        <w:rPr>
          <w:rFonts w:ascii="Arial Narrow" w:hAnsi="Arial Narrow"/>
          <w:sz w:val="18"/>
          <w:szCs w:val="18"/>
        </w:rPr>
        <w:t>mCRPC</w:t>
      </w:r>
      <w:proofErr w:type="spellEnd"/>
      <w:r>
        <w:rPr>
          <w:rFonts w:ascii="Arial Narrow" w:hAnsi="Arial Narrow"/>
          <w:sz w:val="18"/>
          <w:szCs w:val="18"/>
        </w:rPr>
        <w:t xml:space="preserve"> = metastatic castration resistant prostate cancer.</w:t>
      </w:r>
    </w:p>
    <w:p w14:paraId="7838A9FF" w14:textId="32BBC1F4" w:rsidR="00772829" w:rsidRDefault="00C36633" w:rsidP="002A18BE">
      <w:pPr>
        <w:pStyle w:val="Heading2"/>
        <w:numPr>
          <w:ilvl w:val="0"/>
          <w:numId w:val="0"/>
        </w:numPr>
      </w:pPr>
      <w:bookmarkStart w:id="27" w:name="_Toc69491427"/>
      <w:r>
        <w:t>1</w:t>
      </w:r>
      <w:r w:rsidR="00F36F57">
        <w:t>5</w:t>
      </w:r>
      <w:r>
        <w:t>.</w:t>
      </w:r>
      <w:r>
        <w:tab/>
      </w:r>
      <w:r w:rsidR="00772829" w:rsidRPr="00CE28E3">
        <w:t xml:space="preserve">Other relevant </w:t>
      </w:r>
      <w:bookmarkEnd w:id="27"/>
      <w:r w:rsidR="00FA5766">
        <w:t>information</w:t>
      </w:r>
    </w:p>
    <w:p w14:paraId="763890CE" w14:textId="38EAF5D6" w:rsidR="00873281" w:rsidRPr="00873281" w:rsidRDefault="00C011B4" w:rsidP="00873281">
      <w:r>
        <w:t>None.</w:t>
      </w:r>
    </w:p>
    <w:p w14:paraId="616803BF" w14:textId="76E9DF00" w:rsidR="00F36F57" w:rsidRDefault="00F36F57" w:rsidP="00F36F57">
      <w:pPr>
        <w:pStyle w:val="Heading2"/>
        <w:numPr>
          <w:ilvl w:val="0"/>
          <w:numId w:val="0"/>
        </w:numPr>
      </w:pPr>
      <w:r>
        <w:t>1</w:t>
      </w:r>
      <w:r w:rsidR="00A54D32">
        <w:t>6</w:t>
      </w:r>
      <w:r>
        <w:t>.</w:t>
      </w:r>
      <w:r>
        <w:tab/>
        <w:t>Applicant comments on MSAC’s Public Summary Document</w:t>
      </w:r>
    </w:p>
    <w:p w14:paraId="1478415F" w14:textId="78B3A34C" w:rsidR="00780703" w:rsidRPr="00503420" w:rsidRDefault="009928ED" w:rsidP="00780703">
      <w:r>
        <w:t xml:space="preserve">The </w:t>
      </w:r>
      <w:r w:rsidR="00EC69A9">
        <w:t>applicant</w:t>
      </w:r>
      <w:r>
        <w:t xml:space="preserve"> has no comment.</w:t>
      </w:r>
    </w:p>
    <w:p w14:paraId="23906C26" w14:textId="43BAB157" w:rsidR="00F36F57" w:rsidRDefault="00F36F57" w:rsidP="00F36F57">
      <w:pPr>
        <w:pStyle w:val="Heading2"/>
        <w:numPr>
          <w:ilvl w:val="0"/>
          <w:numId w:val="0"/>
        </w:numPr>
      </w:pPr>
      <w:r>
        <w:t>1</w:t>
      </w:r>
      <w:r w:rsidR="00A54D32">
        <w:t>7</w:t>
      </w:r>
      <w:r>
        <w:t>.</w:t>
      </w:r>
      <w:r>
        <w:tab/>
        <w:t>Further information on MSAC</w:t>
      </w:r>
    </w:p>
    <w:p w14:paraId="619D1255" w14:textId="0461DE4B" w:rsidR="00932DE9" w:rsidRDefault="00F36F57" w:rsidP="00F36F57">
      <w:pPr>
        <w:pStyle w:val="BodyText"/>
        <w:rPr>
          <w:rStyle w:val="Hyperlink"/>
          <w:rFonts w:ascii="Franklin Gothic Book" w:hAnsi="Franklin Gothic Book"/>
          <w:bCs/>
          <w:iCs/>
          <w:sz w:val="22"/>
        </w:rPr>
      </w:pPr>
      <w:r w:rsidRPr="00F309FA">
        <w:rPr>
          <w:rFonts w:ascii="Franklin Gothic Book" w:hAnsi="Franklin Gothic Book"/>
          <w:bCs/>
          <w:iCs/>
          <w:sz w:val="22"/>
        </w:rPr>
        <w:t xml:space="preserve">MSAC Terms of Reference and other information are available on the MSAC Website: </w:t>
      </w:r>
      <w:hyperlink r:id="rId12" w:tooltip="Link to the MSAC website" w:history="1">
        <w:r w:rsidRPr="00F309FA">
          <w:rPr>
            <w:rStyle w:val="Hyperlink"/>
            <w:rFonts w:ascii="Franklin Gothic Book" w:hAnsi="Franklin Gothic Book"/>
            <w:bCs/>
            <w:iCs/>
            <w:sz w:val="22"/>
          </w:rPr>
          <w:t>visit the MSAC website</w:t>
        </w:r>
      </w:hyperlink>
    </w:p>
    <w:sectPr w:rsidR="00932DE9" w:rsidSect="00A55CB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50E86" w14:textId="77777777" w:rsidR="002C6943" w:rsidRDefault="002C6943" w:rsidP="00B62DF2">
      <w:pPr>
        <w:spacing w:after="0" w:line="240" w:lineRule="auto"/>
      </w:pPr>
      <w:r>
        <w:separator/>
      </w:r>
    </w:p>
  </w:endnote>
  <w:endnote w:type="continuationSeparator" w:id="0">
    <w:p w14:paraId="5E3A5841" w14:textId="77777777" w:rsidR="002C6943" w:rsidRDefault="002C6943" w:rsidP="00B62DF2">
      <w:pPr>
        <w:spacing w:after="0" w:line="240" w:lineRule="auto"/>
      </w:pPr>
      <w:r>
        <w:continuationSeparator/>
      </w:r>
    </w:p>
  </w:endnote>
  <w:endnote w:type="continuationNotice" w:id="1">
    <w:p w14:paraId="0694FA83" w14:textId="77777777" w:rsidR="002C6943" w:rsidRDefault="002C69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E76D499" w14:textId="7F20C15D" w:rsidR="005947B5" w:rsidRDefault="005947B5" w:rsidP="006A0A6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20BD3">
          <w:rPr>
            <w:noProof/>
          </w:rPr>
          <w:t>22</w:t>
        </w:r>
        <w:r>
          <w:rPr>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2660EBD4" w:rsidR="005947B5" w:rsidRDefault="005947B5" w:rsidP="00052DD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20BD3">
          <w:rPr>
            <w:noProof/>
          </w:rPr>
          <w:t>21</w:t>
        </w:r>
        <w:r>
          <w:rPr>
            <w:color w:val="2B579A"/>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EE5A" w14:textId="77777777" w:rsidR="00DC66C0" w:rsidRDefault="00DC6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69E7" w14:textId="77777777" w:rsidR="002C6943" w:rsidRDefault="002C6943" w:rsidP="00B62DF2">
      <w:pPr>
        <w:spacing w:after="0" w:line="240" w:lineRule="auto"/>
      </w:pPr>
      <w:r>
        <w:separator/>
      </w:r>
    </w:p>
  </w:footnote>
  <w:footnote w:type="continuationSeparator" w:id="0">
    <w:p w14:paraId="2B2C767E" w14:textId="77777777" w:rsidR="002C6943" w:rsidRDefault="002C6943" w:rsidP="00B62DF2">
      <w:pPr>
        <w:spacing w:after="0" w:line="240" w:lineRule="auto"/>
      </w:pPr>
      <w:r>
        <w:continuationSeparator/>
      </w:r>
    </w:p>
  </w:footnote>
  <w:footnote w:type="continuationNotice" w:id="1">
    <w:p w14:paraId="6A9FB9CE" w14:textId="77777777" w:rsidR="002C6943" w:rsidRDefault="002C69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5495" w14:textId="77777777" w:rsidR="00DC66C0" w:rsidRDefault="00DC6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FAF2" w14:textId="77777777" w:rsidR="00DC66C0" w:rsidRDefault="00DC6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3EF0" w14:textId="77777777" w:rsidR="00DC66C0" w:rsidRDefault="00DC6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3A02DC"/>
    <w:multiLevelType w:val="hybridMultilevel"/>
    <w:tmpl w:val="6C464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4"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1D5878"/>
    <w:multiLevelType w:val="hybridMultilevel"/>
    <w:tmpl w:val="5A5AC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1555EBB"/>
    <w:multiLevelType w:val="multilevel"/>
    <w:tmpl w:val="0A80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F777A8"/>
    <w:multiLevelType w:val="hybridMultilevel"/>
    <w:tmpl w:val="5FE09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3D6019"/>
    <w:multiLevelType w:val="hybridMultilevel"/>
    <w:tmpl w:val="D700C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F13532"/>
    <w:multiLevelType w:val="hybridMultilevel"/>
    <w:tmpl w:val="0F08F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4630A4"/>
    <w:multiLevelType w:val="hybridMultilevel"/>
    <w:tmpl w:val="9260F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459765719">
    <w:abstractNumId w:val="7"/>
  </w:num>
  <w:num w:numId="2" w16cid:durableId="1821577903">
    <w:abstractNumId w:val="17"/>
  </w:num>
  <w:num w:numId="3" w16cid:durableId="1859151656">
    <w:abstractNumId w:val="0"/>
  </w:num>
  <w:num w:numId="4" w16cid:durableId="1097793710">
    <w:abstractNumId w:val="3"/>
  </w:num>
  <w:num w:numId="5" w16cid:durableId="1593010890">
    <w:abstractNumId w:val="15"/>
  </w:num>
  <w:num w:numId="6" w16cid:durableId="1743792066">
    <w:abstractNumId w:val="4"/>
  </w:num>
  <w:num w:numId="7" w16cid:durableId="533688869">
    <w:abstractNumId w:val="5"/>
  </w:num>
  <w:num w:numId="8" w16cid:durableId="172233918">
    <w:abstractNumId w:val="6"/>
  </w:num>
  <w:num w:numId="9" w16cid:durableId="1806268690">
    <w:abstractNumId w:val="9"/>
  </w:num>
  <w:num w:numId="10" w16cid:durableId="755126233">
    <w:abstractNumId w:val="16"/>
  </w:num>
  <w:num w:numId="11" w16cid:durableId="47995664">
    <w:abstractNumId w:val="1"/>
  </w:num>
  <w:num w:numId="12" w16cid:durableId="1963420098">
    <w:abstractNumId w:val="10"/>
  </w:num>
  <w:num w:numId="13" w16cid:durableId="1165391708">
    <w:abstractNumId w:val="12"/>
  </w:num>
  <w:num w:numId="14" w16cid:durableId="253830755">
    <w:abstractNumId w:val="14"/>
  </w:num>
  <w:num w:numId="15" w16cid:durableId="1490366659">
    <w:abstractNumId w:val="13"/>
  </w:num>
  <w:num w:numId="16" w16cid:durableId="1071655246">
    <w:abstractNumId w:val="11"/>
  </w:num>
  <w:num w:numId="17" w16cid:durableId="1978755786">
    <w:abstractNumId w:val="2"/>
  </w:num>
  <w:num w:numId="18" w16cid:durableId="114655260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4CE"/>
    <w:rsid w:val="000009CF"/>
    <w:rsid w:val="0000109A"/>
    <w:rsid w:val="00001241"/>
    <w:rsid w:val="00001316"/>
    <w:rsid w:val="0000193A"/>
    <w:rsid w:val="00001AE6"/>
    <w:rsid w:val="00001BD1"/>
    <w:rsid w:val="00001D55"/>
    <w:rsid w:val="0000223A"/>
    <w:rsid w:val="000027EC"/>
    <w:rsid w:val="00002932"/>
    <w:rsid w:val="00002A83"/>
    <w:rsid w:val="00002FD9"/>
    <w:rsid w:val="0000321E"/>
    <w:rsid w:val="0000330C"/>
    <w:rsid w:val="0000362A"/>
    <w:rsid w:val="000039CD"/>
    <w:rsid w:val="000039E4"/>
    <w:rsid w:val="00003A6E"/>
    <w:rsid w:val="00003B89"/>
    <w:rsid w:val="000049FA"/>
    <w:rsid w:val="00004D69"/>
    <w:rsid w:val="00004EFA"/>
    <w:rsid w:val="00004F7F"/>
    <w:rsid w:val="0000538C"/>
    <w:rsid w:val="000054C9"/>
    <w:rsid w:val="0000612B"/>
    <w:rsid w:val="000061B6"/>
    <w:rsid w:val="000066B7"/>
    <w:rsid w:val="000067B8"/>
    <w:rsid w:val="0000698E"/>
    <w:rsid w:val="00006B8A"/>
    <w:rsid w:val="00006E71"/>
    <w:rsid w:val="00006FA3"/>
    <w:rsid w:val="000071A9"/>
    <w:rsid w:val="000075B9"/>
    <w:rsid w:val="000076B2"/>
    <w:rsid w:val="000079D8"/>
    <w:rsid w:val="00007E97"/>
    <w:rsid w:val="0001013A"/>
    <w:rsid w:val="000106CF"/>
    <w:rsid w:val="0001076A"/>
    <w:rsid w:val="000107B2"/>
    <w:rsid w:val="000109A8"/>
    <w:rsid w:val="00010E75"/>
    <w:rsid w:val="00010FA3"/>
    <w:rsid w:val="00011568"/>
    <w:rsid w:val="000116FE"/>
    <w:rsid w:val="0001179E"/>
    <w:rsid w:val="00011B24"/>
    <w:rsid w:val="00011B69"/>
    <w:rsid w:val="00011DDC"/>
    <w:rsid w:val="0001206D"/>
    <w:rsid w:val="000125AA"/>
    <w:rsid w:val="00012681"/>
    <w:rsid w:val="00012D68"/>
    <w:rsid w:val="00012EC1"/>
    <w:rsid w:val="0001305F"/>
    <w:rsid w:val="000132D6"/>
    <w:rsid w:val="00013474"/>
    <w:rsid w:val="000134C2"/>
    <w:rsid w:val="000137E7"/>
    <w:rsid w:val="00014974"/>
    <w:rsid w:val="00014C3D"/>
    <w:rsid w:val="00014C74"/>
    <w:rsid w:val="0001562F"/>
    <w:rsid w:val="00015793"/>
    <w:rsid w:val="00015F65"/>
    <w:rsid w:val="00016171"/>
    <w:rsid w:val="000164A2"/>
    <w:rsid w:val="00016EE7"/>
    <w:rsid w:val="000179C3"/>
    <w:rsid w:val="00017CA3"/>
    <w:rsid w:val="0002013C"/>
    <w:rsid w:val="00020546"/>
    <w:rsid w:val="00020CBF"/>
    <w:rsid w:val="000211E6"/>
    <w:rsid w:val="00021259"/>
    <w:rsid w:val="00021A92"/>
    <w:rsid w:val="00021D44"/>
    <w:rsid w:val="00021E1F"/>
    <w:rsid w:val="00021ED6"/>
    <w:rsid w:val="00022113"/>
    <w:rsid w:val="00022279"/>
    <w:rsid w:val="000227C0"/>
    <w:rsid w:val="000228B8"/>
    <w:rsid w:val="00022C69"/>
    <w:rsid w:val="00022D19"/>
    <w:rsid w:val="00023056"/>
    <w:rsid w:val="000236E0"/>
    <w:rsid w:val="0002381B"/>
    <w:rsid w:val="00023BFF"/>
    <w:rsid w:val="00024031"/>
    <w:rsid w:val="00024514"/>
    <w:rsid w:val="00024AFB"/>
    <w:rsid w:val="00024EA5"/>
    <w:rsid w:val="00024F19"/>
    <w:rsid w:val="000255A3"/>
    <w:rsid w:val="000256BF"/>
    <w:rsid w:val="00025D0F"/>
    <w:rsid w:val="00026073"/>
    <w:rsid w:val="000260E2"/>
    <w:rsid w:val="00026494"/>
    <w:rsid w:val="000266DD"/>
    <w:rsid w:val="00026931"/>
    <w:rsid w:val="000269B4"/>
    <w:rsid w:val="00026BBF"/>
    <w:rsid w:val="00026BD7"/>
    <w:rsid w:val="00026D37"/>
    <w:rsid w:val="00026F37"/>
    <w:rsid w:val="0002725F"/>
    <w:rsid w:val="000274CF"/>
    <w:rsid w:val="0002755F"/>
    <w:rsid w:val="00027717"/>
    <w:rsid w:val="00027778"/>
    <w:rsid w:val="00030779"/>
    <w:rsid w:val="00030B39"/>
    <w:rsid w:val="00031685"/>
    <w:rsid w:val="00031860"/>
    <w:rsid w:val="00031CC0"/>
    <w:rsid w:val="00032267"/>
    <w:rsid w:val="000322F4"/>
    <w:rsid w:val="000323AE"/>
    <w:rsid w:val="000324B9"/>
    <w:rsid w:val="000328F1"/>
    <w:rsid w:val="00032B56"/>
    <w:rsid w:val="00032CD1"/>
    <w:rsid w:val="00032CF4"/>
    <w:rsid w:val="00032E94"/>
    <w:rsid w:val="0003394A"/>
    <w:rsid w:val="000339D5"/>
    <w:rsid w:val="00033B2E"/>
    <w:rsid w:val="00033CDD"/>
    <w:rsid w:val="00033D20"/>
    <w:rsid w:val="0003412A"/>
    <w:rsid w:val="0003423A"/>
    <w:rsid w:val="00034632"/>
    <w:rsid w:val="0003477F"/>
    <w:rsid w:val="000351EA"/>
    <w:rsid w:val="00035F49"/>
    <w:rsid w:val="000363F6"/>
    <w:rsid w:val="00036433"/>
    <w:rsid w:val="000365C5"/>
    <w:rsid w:val="000367E0"/>
    <w:rsid w:val="00036AD8"/>
    <w:rsid w:val="00036B0B"/>
    <w:rsid w:val="00036EE4"/>
    <w:rsid w:val="00037037"/>
    <w:rsid w:val="00037302"/>
    <w:rsid w:val="000376F0"/>
    <w:rsid w:val="000379CF"/>
    <w:rsid w:val="0004005D"/>
    <w:rsid w:val="00040140"/>
    <w:rsid w:val="000409A0"/>
    <w:rsid w:val="00040ADF"/>
    <w:rsid w:val="00040B2A"/>
    <w:rsid w:val="00040CA3"/>
    <w:rsid w:val="00040FB4"/>
    <w:rsid w:val="00041206"/>
    <w:rsid w:val="000412DF"/>
    <w:rsid w:val="0004178C"/>
    <w:rsid w:val="00041C4C"/>
    <w:rsid w:val="00041F5D"/>
    <w:rsid w:val="000422C3"/>
    <w:rsid w:val="000422D0"/>
    <w:rsid w:val="00042445"/>
    <w:rsid w:val="00042756"/>
    <w:rsid w:val="00042781"/>
    <w:rsid w:val="00042D68"/>
    <w:rsid w:val="000434A0"/>
    <w:rsid w:val="0004382B"/>
    <w:rsid w:val="00043B42"/>
    <w:rsid w:val="000441E3"/>
    <w:rsid w:val="000443A6"/>
    <w:rsid w:val="000444E2"/>
    <w:rsid w:val="0004493C"/>
    <w:rsid w:val="000449D1"/>
    <w:rsid w:val="00044DB4"/>
    <w:rsid w:val="0004554F"/>
    <w:rsid w:val="0004557B"/>
    <w:rsid w:val="000456DD"/>
    <w:rsid w:val="00045A72"/>
    <w:rsid w:val="00045B13"/>
    <w:rsid w:val="00045B8D"/>
    <w:rsid w:val="00045CC5"/>
    <w:rsid w:val="00046B6A"/>
    <w:rsid w:val="000470F0"/>
    <w:rsid w:val="00047130"/>
    <w:rsid w:val="00047132"/>
    <w:rsid w:val="000471AB"/>
    <w:rsid w:val="000472D4"/>
    <w:rsid w:val="0004736D"/>
    <w:rsid w:val="00047983"/>
    <w:rsid w:val="00047B88"/>
    <w:rsid w:val="00050242"/>
    <w:rsid w:val="00050ADE"/>
    <w:rsid w:val="00050B23"/>
    <w:rsid w:val="00050ECC"/>
    <w:rsid w:val="00051042"/>
    <w:rsid w:val="000510B7"/>
    <w:rsid w:val="00051411"/>
    <w:rsid w:val="0005147E"/>
    <w:rsid w:val="00051DE6"/>
    <w:rsid w:val="00051E35"/>
    <w:rsid w:val="0005229B"/>
    <w:rsid w:val="00052435"/>
    <w:rsid w:val="000524E6"/>
    <w:rsid w:val="00052895"/>
    <w:rsid w:val="00052908"/>
    <w:rsid w:val="00052DB7"/>
    <w:rsid w:val="00052DD3"/>
    <w:rsid w:val="0005326D"/>
    <w:rsid w:val="00053758"/>
    <w:rsid w:val="00053B72"/>
    <w:rsid w:val="00053C65"/>
    <w:rsid w:val="00053E14"/>
    <w:rsid w:val="00053F6C"/>
    <w:rsid w:val="000542A0"/>
    <w:rsid w:val="0005446E"/>
    <w:rsid w:val="00054928"/>
    <w:rsid w:val="00054D8A"/>
    <w:rsid w:val="0005504B"/>
    <w:rsid w:val="000552A3"/>
    <w:rsid w:val="00055376"/>
    <w:rsid w:val="00055B00"/>
    <w:rsid w:val="00055B8F"/>
    <w:rsid w:val="0005609C"/>
    <w:rsid w:val="0005648E"/>
    <w:rsid w:val="00056658"/>
    <w:rsid w:val="0005696E"/>
    <w:rsid w:val="00056FFB"/>
    <w:rsid w:val="00057117"/>
    <w:rsid w:val="000571A4"/>
    <w:rsid w:val="00057636"/>
    <w:rsid w:val="00057A5A"/>
    <w:rsid w:val="00057A6B"/>
    <w:rsid w:val="00057B69"/>
    <w:rsid w:val="00057D09"/>
    <w:rsid w:val="000602FB"/>
    <w:rsid w:val="000603BA"/>
    <w:rsid w:val="00060502"/>
    <w:rsid w:val="00060FC8"/>
    <w:rsid w:val="00061139"/>
    <w:rsid w:val="000611F2"/>
    <w:rsid w:val="000612E3"/>
    <w:rsid w:val="000612F3"/>
    <w:rsid w:val="00061873"/>
    <w:rsid w:val="00061F04"/>
    <w:rsid w:val="00062134"/>
    <w:rsid w:val="0006218E"/>
    <w:rsid w:val="000621BC"/>
    <w:rsid w:val="000622F4"/>
    <w:rsid w:val="000624FE"/>
    <w:rsid w:val="00062B16"/>
    <w:rsid w:val="00062B7D"/>
    <w:rsid w:val="0006339C"/>
    <w:rsid w:val="000634E4"/>
    <w:rsid w:val="00063508"/>
    <w:rsid w:val="0006439A"/>
    <w:rsid w:val="000643B1"/>
    <w:rsid w:val="00064783"/>
    <w:rsid w:val="000647C2"/>
    <w:rsid w:val="00064FD5"/>
    <w:rsid w:val="00065275"/>
    <w:rsid w:val="00065725"/>
    <w:rsid w:val="00065AB8"/>
    <w:rsid w:val="000662E8"/>
    <w:rsid w:val="000663E4"/>
    <w:rsid w:val="0006640B"/>
    <w:rsid w:val="00066585"/>
    <w:rsid w:val="00066D02"/>
    <w:rsid w:val="00066D2E"/>
    <w:rsid w:val="00066F5C"/>
    <w:rsid w:val="00066FAB"/>
    <w:rsid w:val="000674F2"/>
    <w:rsid w:val="0006769D"/>
    <w:rsid w:val="00067858"/>
    <w:rsid w:val="00067BD9"/>
    <w:rsid w:val="0007021F"/>
    <w:rsid w:val="0007050B"/>
    <w:rsid w:val="0007052F"/>
    <w:rsid w:val="000709A0"/>
    <w:rsid w:val="00070B14"/>
    <w:rsid w:val="00070BD3"/>
    <w:rsid w:val="00070E2A"/>
    <w:rsid w:val="0007113B"/>
    <w:rsid w:val="000711CF"/>
    <w:rsid w:val="000712F2"/>
    <w:rsid w:val="000715DE"/>
    <w:rsid w:val="00071B55"/>
    <w:rsid w:val="00071DFB"/>
    <w:rsid w:val="00071FF4"/>
    <w:rsid w:val="0007215A"/>
    <w:rsid w:val="00072276"/>
    <w:rsid w:val="00072492"/>
    <w:rsid w:val="00072597"/>
    <w:rsid w:val="00072C4D"/>
    <w:rsid w:val="00072EDC"/>
    <w:rsid w:val="000738BB"/>
    <w:rsid w:val="00073929"/>
    <w:rsid w:val="00073C0B"/>
    <w:rsid w:val="00073D95"/>
    <w:rsid w:val="000740A4"/>
    <w:rsid w:val="00074199"/>
    <w:rsid w:val="00074421"/>
    <w:rsid w:val="0007534A"/>
    <w:rsid w:val="00075705"/>
    <w:rsid w:val="00075E80"/>
    <w:rsid w:val="00075EC9"/>
    <w:rsid w:val="000762B8"/>
    <w:rsid w:val="0007661E"/>
    <w:rsid w:val="00076A90"/>
    <w:rsid w:val="00076B50"/>
    <w:rsid w:val="00076E19"/>
    <w:rsid w:val="00076E42"/>
    <w:rsid w:val="00076F32"/>
    <w:rsid w:val="000773EE"/>
    <w:rsid w:val="00077971"/>
    <w:rsid w:val="00077D11"/>
    <w:rsid w:val="00077D90"/>
    <w:rsid w:val="00077DFF"/>
    <w:rsid w:val="00077E39"/>
    <w:rsid w:val="00077F0A"/>
    <w:rsid w:val="00080169"/>
    <w:rsid w:val="00080241"/>
    <w:rsid w:val="000803C0"/>
    <w:rsid w:val="000805CC"/>
    <w:rsid w:val="000808D5"/>
    <w:rsid w:val="00080989"/>
    <w:rsid w:val="000811B8"/>
    <w:rsid w:val="00081250"/>
    <w:rsid w:val="00081531"/>
    <w:rsid w:val="00081778"/>
    <w:rsid w:val="00081A0F"/>
    <w:rsid w:val="00081C03"/>
    <w:rsid w:val="00081F4C"/>
    <w:rsid w:val="00081FF8"/>
    <w:rsid w:val="00082245"/>
    <w:rsid w:val="00082C37"/>
    <w:rsid w:val="00082E18"/>
    <w:rsid w:val="00083351"/>
    <w:rsid w:val="000834C7"/>
    <w:rsid w:val="00083C26"/>
    <w:rsid w:val="00083E4D"/>
    <w:rsid w:val="000845CE"/>
    <w:rsid w:val="00084667"/>
    <w:rsid w:val="000846F7"/>
    <w:rsid w:val="0008476E"/>
    <w:rsid w:val="0008481B"/>
    <w:rsid w:val="000849C7"/>
    <w:rsid w:val="000856C1"/>
    <w:rsid w:val="00085819"/>
    <w:rsid w:val="00085A28"/>
    <w:rsid w:val="00085D02"/>
    <w:rsid w:val="0008699F"/>
    <w:rsid w:val="00086E2C"/>
    <w:rsid w:val="00087059"/>
    <w:rsid w:val="000870B6"/>
    <w:rsid w:val="00087248"/>
    <w:rsid w:val="0008769B"/>
    <w:rsid w:val="00087DC8"/>
    <w:rsid w:val="00087E6C"/>
    <w:rsid w:val="0009035C"/>
    <w:rsid w:val="000904D2"/>
    <w:rsid w:val="00090613"/>
    <w:rsid w:val="00090704"/>
    <w:rsid w:val="00090BD1"/>
    <w:rsid w:val="00090FCC"/>
    <w:rsid w:val="00091075"/>
    <w:rsid w:val="00091857"/>
    <w:rsid w:val="000919E9"/>
    <w:rsid w:val="00091C59"/>
    <w:rsid w:val="0009222A"/>
    <w:rsid w:val="00092673"/>
    <w:rsid w:val="00092825"/>
    <w:rsid w:val="000928BC"/>
    <w:rsid w:val="0009299B"/>
    <w:rsid w:val="00092A21"/>
    <w:rsid w:val="00092BC4"/>
    <w:rsid w:val="00092F1C"/>
    <w:rsid w:val="0009334D"/>
    <w:rsid w:val="00093D9A"/>
    <w:rsid w:val="00093DDD"/>
    <w:rsid w:val="00093FD1"/>
    <w:rsid w:val="00094261"/>
    <w:rsid w:val="0009434C"/>
    <w:rsid w:val="000943A9"/>
    <w:rsid w:val="00094656"/>
    <w:rsid w:val="000949B9"/>
    <w:rsid w:val="000949FC"/>
    <w:rsid w:val="00094B2F"/>
    <w:rsid w:val="00094BA2"/>
    <w:rsid w:val="00094FF0"/>
    <w:rsid w:val="00095535"/>
    <w:rsid w:val="000956BC"/>
    <w:rsid w:val="0009602B"/>
    <w:rsid w:val="000960F8"/>
    <w:rsid w:val="000963EA"/>
    <w:rsid w:val="00096B52"/>
    <w:rsid w:val="00096CD8"/>
    <w:rsid w:val="00096EE2"/>
    <w:rsid w:val="000971B9"/>
    <w:rsid w:val="000977AE"/>
    <w:rsid w:val="00097811"/>
    <w:rsid w:val="00097DAD"/>
    <w:rsid w:val="00097ECA"/>
    <w:rsid w:val="00097FA9"/>
    <w:rsid w:val="000A0096"/>
    <w:rsid w:val="000A04EF"/>
    <w:rsid w:val="000A0C2D"/>
    <w:rsid w:val="000A0DD6"/>
    <w:rsid w:val="000A0E75"/>
    <w:rsid w:val="000A10BF"/>
    <w:rsid w:val="000A172D"/>
    <w:rsid w:val="000A27F4"/>
    <w:rsid w:val="000A283C"/>
    <w:rsid w:val="000A2A25"/>
    <w:rsid w:val="000A2ACD"/>
    <w:rsid w:val="000A2B65"/>
    <w:rsid w:val="000A2DA8"/>
    <w:rsid w:val="000A2FDB"/>
    <w:rsid w:val="000A3119"/>
    <w:rsid w:val="000A32C8"/>
    <w:rsid w:val="000A3389"/>
    <w:rsid w:val="000A38E8"/>
    <w:rsid w:val="000A3EAD"/>
    <w:rsid w:val="000A3F2A"/>
    <w:rsid w:val="000A43EB"/>
    <w:rsid w:val="000A44EC"/>
    <w:rsid w:val="000A4F38"/>
    <w:rsid w:val="000A5126"/>
    <w:rsid w:val="000A51E3"/>
    <w:rsid w:val="000A530F"/>
    <w:rsid w:val="000A556E"/>
    <w:rsid w:val="000A587A"/>
    <w:rsid w:val="000A5C47"/>
    <w:rsid w:val="000A629E"/>
    <w:rsid w:val="000A63B3"/>
    <w:rsid w:val="000A6B30"/>
    <w:rsid w:val="000A6BB9"/>
    <w:rsid w:val="000A6C17"/>
    <w:rsid w:val="000A733C"/>
    <w:rsid w:val="000A7719"/>
    <w:rsid w:val="000A799D"/>
    <w:rsid w:val="000B031A"/>
    <w:rsid w:val="000B032D"/>
    <w:rsid w:val="000B0ADC"/>
    <w:rsid w:val="000B0BFE"/>
    <w:rsid w:val="000B1544"/>
    <w:rsid w:val="000B15A8"/>
    <w:rsid w:val="000B15C6"/>
    <w:rsid w:val="000B1822"/>
    <w:rsid w:val="000B1E2C"/>
    <w:rsid w:val="000B2CF5"/>
    <w:rsid w:val="000B2D6E"/>
    <w:rsid w:val="000B30A8"/>
    <w:rsid w:val="000B318A"/>
    <w:rsid w:val="000B32F6"/>
    <w:rsid w:val="000B3330"/>
    <w:rsid w:val="000B342C"/>
    <w:rsid w:val="000B3852"/>
    <w:rsid w:val="000B39AC"/>
    <w:rsid w:val="000B3CAE"/>
    <w:rsid w:val="000B3CBB"/>
    <w:rsid w:val="000B4121"/>
    <w:rsid w:val="000B41F2"/>
    <w:rsid w:val="000B423F"/>
    <w:rsid w:val="000B45AC"/>
    <w:rsid w:val="000B53B5"/>
    <w:rsid w:val="000B56EC"/>
    <w:rsid w:val="000B5849"/>
    <w:rsid w:val="000B58BE"/>
    <w:rsid w:val="000B5DC0"/>
    <w:rsid w:val="000B6188"/>
    <w:rsid w:val="000B61C3"/>
    <w:rsid w:val="000B6A65"/>
    <w:rsid w:val="000B6ACB"/>
    <w:rsid w:val="000B6CF0"/>
    <w:rsid w:val="000B720C"/>
    <w:rsid w:val="000B7665"/>
    <w:rsid w:val="000B7AB1"/>
    <w:rsid w:val="000B7DB6"/>
    <w:rsid w:val="000C009A"/>
    <w:rsid w:val="000C04FA"/>
    <w:rsid w:val="000C07BB"/>
    <w:rsid w:val="000C0B59"/>
    <w:rsid w:val="000C104A"/>
    <w:rsid w:val="000C104F"/>
    <w:rsid w:val="000C15C7"/>
    <w:rsid w:val="000C17BF"/>
    <w:rsid w:val="000C1A9A"/>
    <w:rsid w:val="000C2248"/>
    <w:rsid w:val="000C27F1"/>
    <w:rsid w:val="000C2850"/>
    <w:rsid w:val="000C2967"/>
    <w:rsid w:val="000C2B17"/>
    <w:rsid w:val="000C320D"/>
    <w:rsid w:val="000C369C"/>
    <w:rsid w:val="000C3750"/>
    <w:rsid w:val="000C3BF3"/>
    <w:rsid w:val="000C3C47"/>
    <w:rsid w:val="000C466A"/>
    <w:rsid w:val="000C4ADC"/>
    <w:rsid w:val="000C4F59"/>
    <w:rsid w:val="000C4F5D"/>
    <w:rsid w:val="000C4FF3"/>
    <w:rsid w:val="000C521F"/>
    <w:rsid w:val="000C5446"/>
    <w:rsid w:val="000C55C4"/>
    <w:rsid w:val="000C5CBC"/>
    <w:rsid w:val="000C5F73"/>
    <w:rsid w:val="000C660B"/>
    <w:rsid w:val="000C663F"/>
    <w:rsid w:val="000C6A67"/>
    <w:rsid w:val="000C6B56"/>
    <w:rsid w:val="000C6D66"/>
    <w:rsid w:val="000C7625"/>
    <w:rsid w:val="000C7C46"/>
    <w:rsid w:val="000C7F5A"/>
    <w:rsid w:val="000D08E6"/>
    <w:rsid w:val="000D14D5"/>
    <w:rsid w:val="000D176B"/>
    <w:rsid w:val="000D17F7"/>
    <w:rsid w:val="000D1B52"/>
    <w:rsid w:val="000D1C49"/>
    <w:rsid w:val="000D1F0A"/>
    <w:rsid w:val="000D209F"/>
    <w:rsid w:val="000D28FB"/>
    <w:rsid w:val="000D2B94"/>
    <w:rsid w:val="000D2DB8"/>
    <w:rsid w:val="000D314A"/>
    <w:rsid w:val="000D32DE"/>
    <w:rsid w:val="000D3336"/>
    <w:rsid w:val="000D3A6F"/>
    <w:rsid w:val="000D3B8B"/>
    <w:rsid w:val="000D3E54"/>
    <w:rsid w:val="000D40B3"/>
    <w:rsid w:val="000D419B"/>
    <w:rsid w:val="000D428E"/>
    <w:rsid w:val="000D43FC"/>
    <w:rsid w:val="000D4966"/>
    <w:rsid w:val="000D4C1B"/>
    <w:rsid w:val="000D4E68"/>
    <w:rsid w:val="000D4F40"/>
    <w:rsid w:val="000D5523"/>
    <w:rsid w:val="000D58D3"/>
    <w:rsid w:val="000D5A0D"/>
    <w:rsid w:val="000D5ABB"/>
    <w:rsid w:val="000D5D0B"/>
    <w:rsid w:val="000D5DE9"/>
    <w:rsid w:val="000D5EF3"/>
    <w:rsid w:val="000D613D"/>
    <w:rsid w:val="000D6425"/>
    <w:rsid w:val="000D6F4A"/>
    <w:rsid w:val="000D7441"/>
    <w:rsid w:val="000D7824"/>
    <w:rsid w:val="000D7859"/>
    <w:rsid w:val="000D7A71"/>
    <w:rsid w:val="000D7FF4"/>
    <w:rsid w:val="000E03DC"/>
    <w:rsid w:val="000E1124"/>
    <w:rsid w:val="000E1CC9"/>
    <w:rsid w:val="000E2232"/>
    <w:rsid w:val="000E224F"/>
    <w:rsid w:val="000E2B13"/>
    <w:rsid w:val="000E3025"/>
    <w:rsid w:val="000E365B"/>
    <w:rsid w:val="000E3D3C"/>
    <w:rsid w:val="000E3F6D"/>
    <w:rsid w:val="000E458E"/>
    <w:rsid w:val="000E4B68"/>
    <w:rsid w:val="000E4CE2"/>
    <w:rsid w:val="000E4EDC"/>
    <w:rsid w:val="000E5531"/>
    <w:rsid w:val="000E5614"/>
    <w:rsid w:val="000E5628"/>
    <w:rsid w:val="000E57D3"/>
    <w:rsid w:val="000E59DE"/>
    <w:rsid w:val="000E5C8A"/>
    <w:rsid w:val="000E5DA8"/>
    <w:rsid w:val="000E5DAA"/>
    <w:rsid w:val="000E5FB8"/>
    <w:rsid w:val="000E623B"/>
    <w:rsid w:val="000E63DC"/>
    <w:rsid w:val="000E6410"/>
    <w:rsid w:val="000E678B"/>
    <w:rsid w:val="000E68F3"/>
    <w:rsid w:val="000E69F3"/>
    <w:rsid w:val="000E6B50"/>
    <w:rsid w:val="000E6C0A"/>
    <w:rsid w:val="000E74A4"/>
    <w:rsid w:val="000E761C"/>
    <w:rsid w:val="000E7A81"/>
    <w:rsid w:val="000E7BC3"/>
    <w:rsid w:val="000F00B9"/>
    <w:rsid w:val="000F00BD"/>
    <w:rsid w:val="000F02B5"/>
    <w:rsid w:val="000F02D5"/>
    <w:rsid w:val="000F046B"/>
    <w:rsid w:val="000F04AB"/>
    <w:rsid w:val="000F08CD"/>
    <w:rsid w:val="000F0AA9"/>
    <w:rsid w:val="000F0BE1"/>
    <w:rsid w:val="000F1061"/>
    <w:rsid w:val="000F1531"/>
    <w:rsid w:val="000F15E2"/>
    <w:rsid w:val="000F1CD5"/>
    <w:rsid w:val="000F2A71"/>
    <w:rsid w:val="000F2E01"/>
    <w:rsid w:val="000F325E"/>
    <w:rsid w:val="000F35C1"/>
    <w:rsid w:val="000F388F"/>
    <w:rsid w:val="000F3AC9"/>
    <w:rsid w:val="000F3E0F"/>
    <w:rsid w:val="000F411B"/>
    <w:rsid w:val="000F469A"/>
    <w:rsid w:val="000F4972"/>
    <w:rsid w:val="000F49E3"/>
    <w:rsid w:val="000F4E94"/>
    <w:rsid w:val="000F5035"/>
    <w:rsid w:val="000F538B"/>
    <w:rsid w:val="000F541D"/>
    <w:rsid w:val="000F569B"/>
    <w:rsid w:val="000F5704"/>
    <w:rsid w:val="000F59A1"/>
    <w:rsid w:val="000F5A54"/>
    <w:rsid w:val="000F678A"/>
    <w:rsid w:val="000F6860"/>
    <w:rsid w:val="000F6918"/>
    <w:rsid w:val="000F6AD1"/>
    <w:rsid w:val="000F6BE3"/>
    <w:rsid w:val="000F7184"/>
    <w:rsid w:val="000F71AC"/>
    <w:rsid w:val="000F7466"/>
    <w:rsid w:val="000F7484"/>
    <w:rsid w:val="000F74A7"/>
    <w:rsid w:val="000F7987"/>
    <w:rsid w:val="000F7B47"/>
    <w:rsid w:val="000F7CAE"/>
    <w:rsid w:val="0010002B"/>
    <w:rsid w:val="0010051C"/>
    <w:rsid w:val="0010057A"/>
    <w:rsid w:val="00100BC4"/>
    <w:rsid w:val="00101103"/>
    <w:rsid w:val="00101874"/>
    <w:rsid w:val="00101B7C"/>
    <w:rsid w:val="001021AA"/>
    <w:rsid w:val="001021F7"/>
    <w:rsid w:val="001022FB"/>
    <w:rsid w:val="00102458"/>
    <w:rsid w:val="00103422"/>
    <w:rsid w:val="00103CB3"/>
    <w:rsid w:val="0010411C"/>
    <w:rsid w:val="00104278"/>
    <w:rsid w:val="001043A5"/>
    <w:rsid w:val="0010448B"/>
    <w:rsid w:val="0010466A"/>
    <w:rsid w:val="00104674"/>
    <w:rsid w:val="00104A47"/>
    <w:rsid w:val="00104C8E"/>
    <w:rsid w:val="00104E8A"/>
    <w:rsid w:val="00104FD4"/>
    <w:rsid w:val="001050F0"/>
    <w:rsid w:val="00105190"/>
    <w:rsid w:val="0010521F"/>
    <w:rsid w:val="001054CD"/>
    <w:rsid w:val="001055B0"/>
    <w:rsid w:val="00105609"/>
    <w:rsid w:val="00105C33"/>
    <w:rsid w:val="00105D4B"/>
    <w:rsid w:val="0010625A"/>
    <w:rsid w:val="0010631A"/>
    <w:rsid w:val="0010633B"/>
    <w:rsid w:val="0010641E"/>
    <w:rsid w:val="001065C9"/>
    <w:rsid w:val="00106D63"/>
    <w:rsid w:val="001070A7"/>
    <w:rsid w:val="00107524"/>
    <w:rsid w:val="0010778B"/>
    <w:rsid w:val="001079D3"/>
    <w:rsid w:val="00107DCD"/>
    <w:rsid w:val="00107EF0"/>
    <w:rsid w:val="00110175"/>
    <w:rsid w:val="0011024E"/>
    <w:rsid w:val="001102E3"/>
    <w:rsid w:val="00110588"/>
    <w:rsid w:val="00110902"/>
    <w:rsid w:val="00110980"/>
    <w:rsid w:val="00110AC3"/>
    <w:rsid w:val="00111094"/>
    <w:rsid w:val="00111417"/>
    <w:rsid w:val="0011181E"/>
    <w:rsid w:val="0011205B"/>
    <w:rsid w:val="001126D1"/>
    <w:rsid w:val="001127F2"/>
    <w:rsid w:val="001135C7"/>
    <w:rsid w:val="00113901"/>
    <w:rsid w:val="0011395E"/>
    <w:rsid w:val="00113C60"/>
    <w:rsid w:val="00114023"/>
    <w:rsid w:val="00114C3B"/>
    <w:rsid w:val="00114E66"/>
    <w:rsid w:val="001154D9"/>
    <w:rsid w:val="00115691"/>
    <w:rsid w:val="0011574D"/>
    <w:rsid w:val="00115E7E"/>
    <w:rsid w:val="00115FB1"/>
    <w:rsid w:val="0011615A"/>
    <w:rsid w:val="001162A8"/>
    <w:rsid w:val="0011630C"/>
    <w:rsid w:val="00116B0A"/>
    <w:rsid w:val="00116F54"/>
    <w:rsid w:val="00117038"/>
    <w:rsid w:val="00117039"/>
    <w:rsid w:val="00117075"/>
    <w:rsid w:val="0011717C"/>
    <w:rsid w:val="0011748D"/>
    <w:rsid w:val="001175B3"/>
    <w:rsid w:val="001177D5"/>
    <w:rsid w:val="00117879"/>
    <w:rsid w:val="00117F04"/>
    <w:rsid w:val="00117FC1"/>
    <w:rsid w:val="00120684"/>
    <w:rsid w:val="001207B4"/>
    <w:rsid w:val="00120BD3"/>
    <w:rsid w:val="00120CA7"/>
    <w:rsid w:val="00120CFA"/>
    <w:rsid w:val="00120F12"/>
    <w:rsid w:val="00121349"/>
    <w:rsid w:val="001215A1"/>
    <w:rsid w:val="001215F7"/>
    <w:rsid w:val="00122039"/>
    <w:rsid w:val="001222CF"/>
    <w:rsid w:val="001224ED"/>
    <w:rsid w:val="00122813"/>
    <w:rsid w:val="00122AE3"/>
    <w:rsid w:val="00122BE4"/>
    <w:rsid w:val="00122EE1"/>
    <w:rsid w:val="001232ED"/>
    <w:rsid w:val="00123658"/>
    <w:rsid w:val="001237AF"/>
    <w:rsid w:val="00123BB1"/>
    <w:rsid w:val="00123DE4"/>
    <w:rsid w:val="001243AC"/>
    <w:rsid w:val="00124508"/>
    <w:rsid w:val="001247B9"/>
    <w:rsid w:val="001247EB"/>
    <w:rsid w:val="00124C3F"/>
    <w:rsid w:val="00124F3C"/>
    <w:rsid w:val="00125041"/>
    <w:rsid w:val="001252FE"/>
    <w:rsid w:val="00125354"/>
    <w:rsid w:val="00125750"/>
    <w:rsid w:val="001257BE"/>
    <w:rsid w:val="00125B61"/>
    <w:rsid w:val="00126081"/>
    <w:rsid w:val="001260D2"/>
    <w:rsid w:val="00126122"/>
    <w:rsid w:val="001264A4"/>
    <w:rsid w:val="001264C4"/>
    <w:rsid w:val="0012657B"/>
    <w:rsid w:val="001269C9"/>
    <w:rsid w:val="001276D5"/>
    <w:rsid w:val="00127787"/>
    <w:rsid w:val="00127B10"/>
    <w:rsid w:val="00127FAF"/>
    <w:rsid w:val="00130721"/>
    <w:rsid w:val="00130CB1"/>
    <w:rsid w:val="00131202"/>
    <w:rsid w:val="0013128C"/>
    <w:rsid w:val="00131305"/>
    <w:rsid w:val="001319CC"/>
    <w:rsid w:val="00131D45"/>
    <w:rsid w:val="001320F0"/>
    <w:rsid w:val="00132611"/>
    <w:rsid w:val="001328B3"/>
    <w:rsid w:val="001329B2"/>
    <w:rsid w:val="00132E88"/>
    <w:rsid w:val="00133259"/>
    <w:rsid w:val="001332D3"/>
    <w:rsid w:val="001336E0"/>
    <w:rsid w:val="00133D22"/>
    <w:rsid w:val="00133D36"/>
    <w:rsid w:val="00133EF8"/>
    <w:rsid w:val="00133F34"/>
    <w:rsid w:val="00133F54"/>
    <w:rsid w:val="00133FA4"/>
    <w:rsid w:val="0013418C"/>
    <w:rsid w:val="001349D4"/>
    <w:rsid w:val="00134D79"/>
    <w:rsid w:val="00134E5A"/>
    <w:rsid w:val="0013509A"/>
    <w:rsid w:val="00135180"/>
    <w:rsid w:val="001351C8"/>
    <w:rsid w:val="00135273"/>
    <w:rsid w:val="001359E1"/>
    <w:rsid w:val="00135FC9"/>
    <w:rsid w:val="00136278"/>
    <w:rsid w:val="0013660B"/>
    <w:rsid w:val="00136850"/>
    <w:rsid w:val="00137065"/>
    <w:rsid w:val="001370EF"/>
    <w:rsid w:val="0013728C"/>
    <w:rsid w:val="001375AF"/>
    <w:rsid w:val="00137920"/>
    <w:rsid w:val="00137B6B"/>
    <w:rsid w:val="00137BDD"/>
    <w:rsid w:val="00137E9E"/>
    <w:rsid w:val="00137ED8"/>
    <w:rsid w:val="00140428"/>
    <w:rsid w:val="0014067F"/>
    <w:rsid w:val="00140748"/>
    <w:rsid w:val="00140823"/>
    <w:rsid w:val="00141072"/>
    <w:rsid w:val="001410FF"/>
    <w:rsid w:val="00141208"/>
    <w:rsid w:val="00141210"/>
    <w:rsid w:val="001413DC"/>
    <w:rsid w:val="001414A8"/>
    <w:rsid w:val="00141553"/>
    <w:rsid w:val="00141ECE"/>
    <w:rsid w:val="00141EF2"/>
    <w:rsid w:val="00141FD1"/>
    <w:rsid w:val="001421D3"/>
    <w:rsid w:val="0014244D"/>
    <w:rsid w:val="0014255F"/>
    <w:rsid w:val="0014270C"/>
    <w:rsid w:val="00142A29"/>
    <w:rsid w:val="00142C78"/>
    <w:rsid w:val="001433ED"/>
    <w:rsid w:val="00143478"/>
    <w:rsid w:val="00143835"/>
    <w:rsid w:val="00143EE3"/>
    <w:rsid w:val="00143F2F"/>
    <w:rsid w:val="00144282"/>
    <w:rsid w:val="0014445C"/>
    <w:rsid w:val="0014446E"/>
    <w:rsid w:val="00144634"/>
    <w:rsid w:val="00144B09"/>
    <w:rsid w:val="00144E8F"/>
    <w:rsid w:val="00145068"/>
    <w:rsid w:val="001450FD"/>
    <w:rsid w:val="0014524A"/>
    <w:rsid w:val="001454E7"/>
    <w:rsid w:val="00145675"/>
    <w:rsid w:val="001457BE"/>
    <w:rsid w:val="001457F0"/>
    <w:rsid w:val="00145AD7"/>
    <w:rsid w:val="00145EAB"/>
    <w:rsid w:val="001461DF"/>
    <w:rsid w:val="0014656F"/>
    <w:rsid w:val="00146624"/>
    <w:rsid w:val="001466BD"/>
    <w:rsid w:val="001466E1"/>
    <w:rsid w:val="00146A37"/>
    <w:rsid w:val="00146BDC"/>
    <w:rsid w:val="00147314"/>
    <w:rsid w:val="00147396"/>
    <w:rsid w:val="00147641"/>
    <w:rsid w:val="001476E6"/>
    <w:rsid w:val="0014772D"/>
    <w:rsid w:val="00147D10"/>
    <w:rsid w:val="0015010E"/>
    <w:rsid w:val="0015023B"/>
    <w:rsid w:val="00150376"/>
    <w:rsid w:val="0015041A"/>
    <w:rsid w:val="00150437"/>
    <w:rsid w:val="001506AC"/>
    <w:rsid w:val="00150BF3"/>
    <w:rsid w:val="00150EC7"/>
    <w:rsid w:val="00151338"/>
    <w:rsid w:val="00151D66"/>
    <w:rsid w:val="00151DBD"/>
    <w:rsid w:val="00151E46"/>
    <w:rsid w:val="0015228B"/>
    <w:rsid w:val="001526A4"/>
    <w:rsid w:val="001531D6"/>
    <w:rsid w:val="00153FBC"/>
    <w:rsid w:val="0015441A"/>
    <w:rsid w:val="001544DC"/>
    <w:rsid w:val="001545DD"/>
    <w:rsid w:val="00154B18"/>
    <w:rsid w:val="00154B2E"/>
    <w:rsid w:val="00154D0F"/>
    <w:rsid w:val="00154FA5"/>
    <w:rsid w:val="0015532D"/>
    <w:rsid w:val="00155434"/>
    <w:rsid w:val="00155BDA"/>
    <w:rsid w:val="00155DD5"/>
    <w:rsid w:val="001567D7"/>
    <w:rsid w:val="00156927"/>
    <w:rsid w:val="00156C4C"/>
    <w:rsid w:val="00156F2B"/>
    <w:rsid w:val="00156FA7"/>
    <w:rsid w:val="001573BC"/>
    <w:rsid w:val="00157A65"/>
    <w:rsid w:val="00157D5E"/>
    <w:rsid w:val="0016023A"/>
    <w:rsid w:val="0016040B"/>
    <w:rsid w:val="00160547"/>
    <w:rsid w:val="001605C0"/>
    <w:rsid w:val="0016066D"/>
    <w:rsid w:val="00160DD5"/>
    <w:rsid w:val="0016105E"/>
    <w:rsid w:val="0016108B"/>
    <w:rsid w:val="001612C3"/>
    <w:rsid w:val="001619D6"/>
    <w:rsid w:val="00161ABE"/>
    <w:rsid w:val="0016256B"/>
    <w:rsid w:val="001626FF"/>
    <w:rsid w:val="00162D9D"/>
    <w:rsid w:val="00162DBF"/>
    <w:rsid w:val="0016300F"/>
    <w:rsid w:val="0016334B"/>
    <w:rsid w:val="001635B9"/>
    <w:rsid w:val="00163691"/>
    <w:rsid w:val="0016371D"/>
    <w:rsid w:val="0016398C"/>
    <w:rsid w:val="00163DFF"/>
    <w:rsid w:val="001644C3"/>
    <w:rsid w:val="0016486D"/>
    <w:rsid w:val="00164CF8"/>
    <w:rsid w:val="00165024"/>
    <w:rsid w:val="001653AE"/>
    <w:rsid w:val="001655F2"/>
    <w:rsid w:val="00165FE4"/>
    <w:rsid w:val="00166265"/>
    <w:rsid w:val="00166734"/>
    <w:rsid w:val="00166CAD"/>
    <w:rsid w:val="0016702F"/>
    <w:rsid w:val="001674EC"/>
    <w:rsid w:val="00167683"/>
    <w:rsid w:val="0017098D"/>
    <w:rsid w:val="00170D5B"/>
    <w:rsid w:val="0017104D"/>
    <w:rsid w:val="00171381"/>
    <w:rsid w:val="00171590"/>
    <w:rsid w:val="001715DB"/>
    <w:rsid w:val="00171CE7"/>
    <w:rsid w:val="00171CF5"/>
    <w:rsid w:val="0017203F"/>
    <w:rsid w:val="00172567"/>
    <w:rsid w:val="00172A77"/>
    <w:rsid w:val="00172B8F"/>
    <w:rsid w:val="0017346F"/>
    <w:rsid w:val="001736F8"/>
    <w:rsid w:val="00173BF9"/>
    <w:rsid w:val="00173D53"/>
    <w:rsid w:val="00173D85"/>
    <w:rsid w:val="00173E9B"/>
    <w:rsid w:val="00173F22"/>
    <w:rsid w:val="0017472C"/>
    <w:rsid w:val="0017492B"/>
    <w:rsid w:val="00174CAE"/>
    <w:rsid w:val="00174FD4"/>
    <w:rsid w:val="001753DE"/>
    <w:rsid w:val="00175B6B"/>
    <w:rsid w:val="00175D45"/>
    <w:rsid w:val="001760E9"/>
    <w:rsid w:val="00176116"/>
    <w:rsid w:val="00176242"/>
    <w:rsid w:val="00176595"/>
    <w:rsid w:val="00176601"/>
    <w:rsid w:val="00176B03"/>
    <w:rsid w:val="00176B8A"/>
    <w:rsid w:val="001778C3"/>
    <w:rsid w:val="001779A0"/>
    <w:rsid w:val="00177B80"/>
    <w:rsid w:val="0018022E"/>
    <w:rsid w:val="0018068A"/>
    <w:rsid w:val="001809A2"/>
    <w:rsid w:val="00180DFB"/>
    <w:rsid w:val="001810FC"/>
    <w:rsid w:val="0018156C"/>
    <w:rsid w:val="001816A2"/>
    <w:rsid w:val="00181874"/>
    <w:rsid w:val="00181D86"/>
    <w:rsid w:val="00181E28"/>
    <w:rsid w:val="00181F7F"/>
    <w:rsid w:val="00183011"/>
    <w:rsid w:val="00183323"/>
    <w:rsid w:val="001836A1"/>
    <w:rsid w:val="001837B1"/>
    <w:rsid w:val="00184558"/>
    <w:rsid w:val="00184BAE"/>
    <w:rsid w:val="00184BC2"/>
    <w:rsid w:val="00184CA3"/>
    <w:rsid w:val="00184DA0"/>
    <w:rsid w:val="0018515D"/>
    <w:rsid w:val="001856C3"/>
    <w:rsid w:val="00185C50"/>
    <w:rsid w:val="00185DC1"/>
    <w:rsid w:val="00185DE2"/>
    <w:rsid w:val="00185F8E"/>
    <w:rsid w:val="00186AD6"/>
    <w:rsid w:val="00186D95"/>
    <w:rsid w:val="00186F79"/>
    <w:rsid w:val="00186FD0"/>
    <w:rsid w:val="00187891"/>
    <w:rsid w:val="00187CBE"/>
    <w:rsid w:val="001901A8"/>
    <w:rsid w:val="00190403"/>
    <w:rsid w:val="001909EF"/>
    <w:rsid w:val="001909F5"/>
    <w:rsid w:val="00190DB9"/>
    <w:rsid w:val="00190E12"/>
    <w:rsid w:val="0019139E"/>
    <w:rsid w:val="00191EFC"/>
    <w:rsid w:val="001920B3"/>
    <w:rsid w:val="00192520"/>
    <w:rsid w:val="001926D2"/>
    <w:rsid w:val="0019337F"/>
    <w:rsid w:val="0019362A"/>
    <w:rsid w:val="00193826"/>
    <w:rsid w:val="00193DDD"/>
    <w:rsid w:val="001940FA"/>
    <w:rsid w:val="0019449C"/>
    <w:rsid w:val="0019452A"/>
    <w:rsid w:val="0019474E"/>
    <w:rsid w:val="00194BDD"/>
    <w:rsid w:val="00194DF3"/>
    <w:rsid w:val="00194F35"/>
    <w:rsid w:val="00195005"/>
    <w:rsid w:val="0019512A"/>
    <w:rsid w:val="001951DE"/>
    <w:rsid w:val="0019543A"/>
    <w:rsid w:val="00195728"/>
    <w:rsid w:val="001958FF"/>
    <w:rsid w:val="00195AC9"/>
    <w:rsid w:val="00195C17"/>
    <w:rsid w:val="00195F5A"/>
    <w:rsid w:val="001961F3"/>
    <w:rsid w:val="001963D1"/>
    <w:rsid w:val="00196518"/>
    <w:rsid w:val="00196685"/>
    <w:rsid w:val="00196A6E"/>
    <w:rsid w:val="00196CA9"/>
    <w:rsid w:val="00196FA9"/>
    <w:rsid w:val="001970C0"/>
    <w:rsid w:val="0019789A"/>
    <w:rsid w:val="001979B6"/>
    <w:rsid w:val="00197B22"/>
    <w:rsid w:val="001A02F7"/>
    <w:rsid w:val="001A036D"/>
    <w:rsid w:val="001A06CD"/>
    <w:rsid w:val="001A0802"/>
    <w:rsid w:val="001A0BCB"/>
    <w:rsid w:val="001A0BFA"/>
    <w:rsid w:val="001A0ED3"/>
    <w:rsid w:val="001A16B9"/>
    <w:rsid w:val="001A1744"/>
    <w:rsid w:val="001A1CB7"/>
    <w:rsid w:val="001A2B9B"/>
    <w:rsid w:val="001A2FD1"/>
    <w:rsid w:val="001A30DF"/>
    <w:rsid w:val="001A31CE"/>
    <w:rsid w:val="001A36D1"/>
    <w:rsid w:val="001A3778"/>
    <w:rsid w:val="001A37EE"/>
    <w:rsid w:val="001A3845"/>
    <w:rsid w:val="001A3B9D"/>
    <w:rsid w:val="001A3D76"/>
    <w:rsid w:val="001A3E43"/>
    <w:rsid w:val="001A420B"/>
    <w:rsid w:val="001A4B97"/>
    <w:rsid w:val="001A4F7D"/>
    <w:rsid w:val="001A4FDE"/>
    <w:rsid w:val="001A5105"/>
    <w:rsid w:val="001A5314"/>
    <w:rsid w:val="001A54F4"/>
    <w:rsid w:val="001A5815"/>
    <w:rsid w:val="001A597F"/>
    <w:rsid w:val="001A5E3A"/>
    <w:rsid w:val="001A64F4"/>
    <w:rsid w:val="001A6BE6"/>
    <w:rsid w:val="001A6D08"/>
    <w:rsid w:val="001A6D50"/>
    <w:rsid w:val="001A7376"/>
    <w:rsid w:val="001A73F9"/>
    <w:rsid w:val="001A7B42"/>
    <w:rsid w:val="001A7B55"/>
    <w:rsid w:val="001A7BAE"/>
    <w:rsid w:val="001A7D8F"/>
    <w:rsid w:val="001B04F7"/>
    <w:rsid w:val="001B0523"/>
    <w:rsid w:val="001B0796"/>
    <w:rsid w:val="001B07DA"/>
    <w:rsid w:val="001B0845"/>
    <w:rsid w:val="001B0C37"/>
    <w:rsid w:val="001B1418"/>
    <w:rsid w:val="001B1A5E"/>
    <w:rsid w:val="001B1CB9"/>
    <w:rsid w:val="001B1CF0"/>
    <w:rsid w:val="001B1D0E"/>
    <w:rsid w:val="001B1ED1"/>
    <w:rsid w:val="001B25F1"/>
    <w:rsid w:val="001B2A97"/>
    <w:rsid w:val="001B2CD4"/>
    <w:rsid w:val="001B3013"/>
    <w:rsid w:val="001B32D5"/>
    <w:rsid w:val="001B4153"/>
    <w:rsid w:val="001B430A"/>
    <w:rsid w:val="001B480D"/>
    <w:rsid w:val="001B4A26"/>
    <w:rsid w:val="001B5224"/>
    <w:rsid w:val="001B52C1"/>
    <w:rsid w:val="001B56B3"/>
    <w:rsid w:val="001B5759"/>
    <w:rsid w:val="001B57AB"/>
    <w:rsid w:val="001B5A40"/>
    <w:rsid w:val="001B5BC9"/>
    <w:rsid w:val="001B6411"/>
    <w:rsid w:val="001B685F"/>
    <w:rsid w:val="001B6B20"/>
    <w:rsid w:val="001B706A"/>
    <w:rsid w:val="001B7329"/>
    <w:rsid w:val="001B78AC"/>
    <w:rsid w:val="001B7F17"/>
    <w:rsid w:val="001C02B1"/>
    <w:rsid w:val="001C04B2"/>
    <w:rsid w:val="001C0538"/>
    <w:rsid w:val="001C0661"/>
    <w:rsid w:val="001C0758"/>
    <w:rsid w:val="001C08D3"/>
    <w:rsid w:val="001C0A7C"/>
    <w:rsid w:val="001C1245"/>
    <w:rsid w:val="001C126E"/>
    <w:rsid w:val="001C12F1"/>
    <w:rsid w:val="001C174A"/>
    <w:rsid w:val="001C1772"/>
    <w:rsid w:val="001C18DE"/>
    <w:rsid w:val="001C1913"/>
    <w:rsid w:val="001C1A77"/>
    <w:rsid w:val="001C1D05"/>
    <w:rsid w:val="001C28F1"/>
    <w:rsid w:val="001C29BA"/>
    <w:rsid w:val="001C2A48"/>
    <w:rsid w:val="001C2E6A"/>
    <w:rsid w:val="001C2F2D"/>
    <w:rsid w:val="001C399D"/>
    <w:rsid w:val="001C3F5D"/>
    <w:rsid w:val="001C3FBF"/>
    <w:rsid w:val="001C4151"/>
    <w:rsid w:val="001C46C7"/>
    <w:rsid w:val="001C4D53"/>
    <w:rsid w:val="001C5311"/>
    <w:rsid w:val="001C538A"/>
    <w:rsid w:val="001C542F"/>
    <w:rsid w:val="001C5932"/>
    <w:rsid w:val="001C5B52"/>
    <w:rsid w:val="001C5C48"/>
    <w:rsid w:val="001C5CCA"/>
    <w:rsid w:val="001C5CED"/>
    <w:rsid w:val="001C6104"/>
    <w:rsid w:val="001C663A"/>
    <w:rsid w:val="001C69D2"/>
    <w:rsid w:val="001C69E3"/>
    <w:rsid w:val="001C6BAE"/>
    <w:rsid w:val="001C6DBD"/>
    <w:rsid w:val="001C6DFD"/>
    <w:rsid w:val="001C73EF"/>
    <w:rsid w:val="001C74C1"/>
    <w:rsid w:val="001C7614"/>
    <w:rsid w:val="001C77FB"/>
    <w:rsid w:val="001C7A55"/>
    <w:rsid w:val="001C7A9F"/>
    <w:rsid w:val="001C7F7C"/>
    <w:rsid w:val="001D02EC"/>
    <w:rsid w:val="001D08CA"/>
    <w:rsid w:val="001D097D"/>
    <w:rsid w:val="001D0BEE"/>
    <w:rsid w:val="001D0CE2"/>
    <w:rsid w:val="001D0D33"/>
    <w:rsid w:val="001D0DE3"/>
    <w:rsid w:val="001D13B3"/>
    <w:rsid w:val="001D1810"/>
    <w:rsid w:val="001D223E"/>
    <w:rsid w:val="001D2507"/>
    <w:rsid w:val="001D2570"/>
    <w:rsid w:val="001D271D"/>
    <w:rsid w:val="001D2A66"/>
    <w:rsid w:val="001D2E79"/>
    <w:rsid w:val="001D32C0"/>
    <w:rsid w:val="001D3358"/>
    <w:rsid w:val="001D350B"/>
    <w:rsid w:val="001D3A64"/>
    <w:rsid w:val="001D3D87"/>
    <w:rsid w:val="001D4276"/>
    <w:rsid w:val="001D492C"/>
    <w:rsid w:val="001D492D"/>
    <w:rsid w:val="001D4B82"/>
    <w:rsid w:val="001D4D63"/>
    <w:rsid w:val="001D52C4"/>
    <w:rsid w:val="001D5793"/>
    <w:rsid w:val="001D5974"/>
    <w:rsid w:val="001D5A68"/>
    <w:rsid w:val="001D5D50"/>
    <w:rsid w:val="001D5E2D"/>
    <w:rsid w:val="001D5F21"/>
    <w:rsid w:val="001D61F8"/>
    <w:rsid w:val="001D64BF"/>
    <w:rsid w:val="001D68E8"/>
    <w:rsid w:val="001D74A7"/>
    <w:rsid w:val="001D7535"/>
    <w:rsid w:val="001D76C8"/>
    <w:rsid w:val="001D7A08"/>
    <w:rsid w:val="001E0208"/>
    <w:rsid w:val="001E06C4"/>
    <w:rsid w:val="001E08AB"/>
    <w:rsid w:val="001E0DD8"/>
    <w:rsid w:val="001E15A5"/>
    <w:rsid w:val="001E15F2"/>
    <w:rsid w:val="001E1DAB"/>
    <w:rsid w:val="001E21C8"/>
    <w:rsid w:val="001E22F7"/>
    <w:rsid w:val="001E35A0"/>
    <w:rsid w:val="001E3652"/>
    <w:rsid w:val="001E3A62"/>
    <w:rsid w:val="001E3B9C"/>
    <w:rsid w:val="001E4149"/>
    <w:rsid w:val="001E4579"/>
    <w:rsid w:val="001E465F"/>
    <w:rsid w:val="001E4B40"/>
    <w:rsid w:val="001E565A"/>
    <w:rsid w:val="001E5B00"/>
    <w:rsid w:val="001E6084"/>
    <w:rsid w:val="001E674E"/>
    <w:rsid w:val="001E6B39"/>
    <w:rsid w:val="001E77FF"/>
    <w:rsid w:val="001F03CE"/>
    <w:rsid w:val="001F0AB6"/>
    <w:rsid w:val="001F0FB7"/>
    <w:rsid w:val="001F1336"/>
    <w:rsid w:val="001F2234"/>
    <w:rsid w:val="001F2373"/>
    <w:rsid w:val="001F2574"/>
    <w:rsid w:val="001F2847"/>
    <w:rsid w:val="001F2902"/>
    <w:rsid w:val="001F2AD5"/>
    <w:rsid w:val="001F30A9"/>
    <w:rsid w:val="001F3702"/>
    <w:rsid w:val="001F3979"/>
    <w:rsid w:val="001F3F36"/>
    <w:rsid w:val="001F41B5"/>
    <w:rsid w:val="001F46F7"/>
    <w:rsid w:val="001F491E"/>
    <w:rsid w:val="001F5216"/>
    <w:rsid w:val="001F5382"/>
    <w:rsid w:val="001F5473"/>
    <w:rsid w:val="001F56B4"/>
    <w:rsid w:val="001F58EB"/>
    <w:rsid w:val="001F58FC"/>
    <w:rsid w:val="001F5BDB"/>
    <w:rsid w:val="001F602D"/>
    <w:rsid w:val="001F63D2"/>
    <w:rsid w:val="001F656E"/>
    <w:rsid w:val="001F658C"/>
    <w:rsid w:val="001F6677"/>
    <w:rsid w:val="001F6683"/>
    <w:rsid w:val="001F675C"/>
    <w:rsid w:val="001F69BD"/>
    <w:rsid w:val="001F6D89"/>
    <w:rsid w:val="001F6F44"/>
    <w:rsid w:val="001F702C"/>
    <w:rsid w:val="001F70D2"/>
    <w:rsid w:val="001F7563"/>
    <w:rsid w:val="001F7567"/>
    <w:rsid w:val="001F7AD1"/>
    <w:rsid w:val="001F7F36"/>
    <w:rsid w:val="002005DB"/>
    <w:rsid w:val="00200637"/>
    <w:rsid w:val="00200E20"/>
    <w:rsid w:val="00201447"/>
    <w:rsid w:val="002016A9"/>
    <w:rsid w:val="002017E9"/>
    <w:rsid w:val="00201DBF"/>
    <w:rsid w:val="00202077"/>
    <w:rsid w:val="002024D3"/>
    <w:rsid w:val="00202648"/>
    <w:rsid w:val="00202A79"/>
    <w:rsid w:val="002030E4"/>
    <w:rsid w:val="002031EC"/>
    <w:rsid w:val="002036E1"/>
    <w:rsid w:val="00203A63"/>
    <w:rsid w:val="00203C1D"/>
    <w:rsid w:val="0020461D"/>
    <w:rsid w:val="002048CD"/>
    <w:rsid w:val="00204BFE"/>
    <w:rsid w:val="00204D61"/>
    <w:rsid w:val="00205028"/>
    <w:rsid w:val="002051A3"/>
    <w:rsid w:val="00205441"/>
    <w:rsid w:val="00205670"/>
    <w:rsid w:val="00205781"/>
    <w:rsid w:val="002058DA"/>
    <w:rsid w:val="00205F5D"/>
    <w:rsid w:val="00206367"/>
    <w:rsid w:val="00206603"/>
    <w:rsid w:val="002068BB"/>
    <w:rsid w:val="00206A9A"/>
    <w:rsid w:val="0020719A"/>
    <w:rsid w:val="002072F8"/>
    <w:rsid w:val="00207A11"/>
    <w:rsid w:val="00207AE0"/>
    <w:rsid w:val="00207F59"/>
    <w:rsid w:val="00210065"/>
    <w:rsid w:val="00210191"/>
    <w:rsid w:val="00210E6D"/>
    <w:rsid w:val="00210ED0"/>
    <w:rsid w:val="0021115F"/>
    <w:rsid w:val="00211DC3"/>
    <w:rsid w:val="0021210C"/>
    <w:rsid w:val="00212AAE"/>
    <w:rsid w:val="00212AF7"/>
    <w:rsid w:val="00212CA0"/>
    <w:rsid w:val="002134B0"/>
    <w:rsid w:val="002134D9"/>
    <w:rsid w:val="00213849"/>
    <w:rsid w:val="002138BA"/>
    <w:rsid w:val="00213CF6"/>
    <w:rsid w:val="002142C3"/>
    <w:rsid w:val="00214645"/>
    <w:rsid w:val="00214744"/>
    <w:rsid w:val="00214F12"/>
    <w:rsid w:val="00215027"/>
    <w:rsid w:val="002155B6"/>
    <w:rsid w:val="002157E4"/>
    <w:rsid w:val="00215AFB"/>
    <w:rsid w:val="00215C98"/>
    <w:rsid w:val="00215DEA"/>
    <w:rsid w:val="00215FE8"/>
    <w:rsid w:val="00216291"/>
    <w:rsid w:val="00216372"/>
    <w:rsid w:val="002163E8"/>
    <w:rsid w:val="00216553"/>
    <w:rsid w:val="00217062"/>
    <w:rsid w:val="002170E1"/>
    <w:rsid w:val="002172E2"/>
    <w:rsid w:val="0021730C"/>
    <w:rsid w:val="00217333"/>
    <w:rsid w:val="00217489"/>
    <w:rsid w:val="002179A4"/>
    <w:rsid w:val="00217C63"/>
    <w:rsid w:val="00217CAC"/>
    <w:rsid w:val="00217F44"/>
    <w:rsid w:val="00217F57"/>
    <w:rsid w:val="002200D8"/>
    <w:rsid w:val="00220272"/>
    <w:rsid w:val="002202DA"/>
    <w:rsid w:val="00220389"/>
    <w:rsid w:val="00220A8C"/>
    <w:rsid w:val="00220B4E"/>
    <w:rsid w:val="002211AC"/>
    <w:rsid w:val="00221B4D"/>
    <w:rsid w:val="00222014"/>
    <w:rsid w:val="00222133"/>
    <w:rsid w:val="002226E3"/>
    <w:rsid w:val="00222937"/>
    <w:rsid w:val="00222F84"/>
    <w:rsid w:val="002233A8"/>
    <w:rsid w:val="00223664"/>
    <w:rsid w:val="00223A56"/>
    <w:rsid w:val="00223C46"/>
    <w:rsid w:val="0022400E"/>
    <w:rsid w:val="002241B1"/>
    <w:rsid w:val="00224ADC"/>
    <w:rsid w:val="00224BC8"/>
    <w:rsid w:val="00224CC6"/>
    <w:rsid w:val="00224FC6"/>
    <w:rsid w:val="00225077"/>
    <w:rsid w:val="00225833"/>
    <w:rsid w:val="00226095"/>
    <w:rsid w:val="00226201"/>
    <w:rsid w:val="00226237"/>
    <w:rsid w:val="00226612"/>
    <w:rsid w:val="00226960"/>
    <w:rsid w:val="00226E36"/>
    <w:rsid w:val="00227212"/>
    <w:rsid w:val="00227375"/>
    <w:rsid w:val="0022738E"/>
    <w:rsid w:val="00227738"/>
    <w:rsid w:val="002277F4"/>
    <w:rsid w:val="00227943"/>
    <w:rsid w:val="002279EC"/>
    <w:rsid w:val="00227B37"/>
    <w:rsid w:val="00227B89"/>
    <w:rsid w:val="00227D10"/>
    <w:rsid w:val="00227F43"/>
    <w:rsid w:val="0022B180"/>
    <w:rsid w:val="002302DD"/>
    <w:rsid w:val="00230A40"/>
    <w:rsid w:val="00230BC0"/>
    <w:rsid w:val="00231AE8"/>
    <w:rsid w:val="00231D78"/>
    <w:rsid w:val="00231EC2"/>
    <w:rsid w:val="00231FC5"/>
    <w:rsid w:val="0023214D"/>
    <w:rsid w:val="0023246B"/>
    <w:rsid w:val="002324CA"/>
    <w:rsid w:val="00232596"/>
    <w:rsid w:val="00232603"/>
    <w:rsid w:val="00232A49"/>
    <w:rsid w:val="00232C1A"/>
    <w:rsid w:val="00232C49"/>
    <w:rsid w:val="0023328B"/>
    <w:rsid w:val="002332C9"/>
    <w:rsid w:val="0023351A"/>
    <w:rsid w:val="0023374F"/>
    <w:rsid w:val="00233B9A"/>
    <w:rsid w:val="00233FB5"/>
    <w:rsid w:val="00233FB8"/>
    <w:rsid w:val="002340EE"/>
    <w:rsid w:val="00234640"/>
    <w:rsid w:val="002347DA"/>
    <w:rsid w:val="00235327"/>
    <w:rsid w:val="002353FD"/>
    <w:rsid w:val="00235732"/>
    <w:rsid w:val="00235854"/>
    <w:rsid w:val="00235E51"/>
    <w:rsid w:val="002364DB"/>
    <w:rsid w:val="002366B0"/>
    <w:rsid w:val="00236786"/>
    <w:rsid w:val="00236A14"/>
    <w:rsid w:val="00236E45"/>
    <w:rsid w:val="002370B0"/>
    <w:rsid w:val="0023770E"/>
    <w:rsid w:val="00237BC6"/>
    <w:rsid w:val="00237F18"/>
    <w:rsid w:val="00240106"/>
    <w:rsid w:val="00240AA7"/>
    <w:rsid w:val="002411C7"/>
    <w:rsid w:val="0024155E"/>
    <w:rsid w:val="0024164C"/>
    <w:rsid w:val="00241AA4"/>
    <w:rsid w:val="00241DF6"/>
    <w:rsid w:val="0024208D"/>
    <w:rsid w:val="002423E4"/>
    <w:rsid w:val="00242434"/>
    <w:rsid w:val="00242865"/>
    <w:rsid w:val="00242F4E"/>
    <w:rsid w:val="002433D6"/>
    <w:rsid w:val="002434C9"/>
    <w:rsid w:val="00243C10"/>
    <w:rsid w:val="002447BB"/>
    <w:rsid w:val="0024503D"/>
    <w:rsid w:val="0024507C"/>
    <w:rsid w:val="00245186"/>
    <w:rsid w:val="002452A0"/>
    <w:rsid w:val="00245596"/>
    <w:rsid w:val="00245890"/>
    <w:rsid w:val="002459E7"/>
    <w:rsid w:val="00245BB1"/>
    <w:rsid w:val="00245CC2"/>
    <w:rsid w:val="002462E6"/>
    <w:rsid w:val="002463A6"/>
    <w:rsid w:val="0024676C"/>
    <w:rsid w:val="00246948"/>
    <w:rsid w:val="00246960"/>
    <w:rsid w:val="00246ADB"/>
    <w:rsid w:val="00247131"/>
    <w:rsid w:val="0024765A"/>
    <w:rsid w:val="00247746"/>
    <w:rsid w:val="00247AE8"/>
    <w:rsid w:val="00247DA1"/>
    <w:rsid w:val="002508B8"/>
    <w:rsid w:val="0025096E"/>
    <w:rsid w:val="002509E6"/>
    <w:rsid w:val="00250F8E"/>
    <w:rsid w:val="002511A0"/>
    <w:rsid w:val="00251241"/>
    <w:rsid w:val="0025157B"/>
    <w:rsid w:val="002517A5"/>
    <w:rsid w:val="00251854"/>
    <w:rsid w:val="00251F6C"/>
    <w:rsid w:val="0025243B"/>
    <w:rsid w:val="0025249C"/>
    <w:rsid w:val="00252544"/>
    <w:rsid w:val="0025255C"/>
    <w:rsid w:val="00252DEA"/>
    <w:rsid w:val="0025312A"/>
    <w:rsid w:val="002531F4"/>
    <w:rsid w:val="002537C5"/>
    <w:rsid w:val="00253895"/>
    <w:rsid w:val="002538E6"/>
    <w:rsid w:val="002539C6"/>
    <w:rsid w:val="002539ED"/>
    <w:rsid w:val="00253E41"/>
    <w:rsid w:val="00253EA2"/>
    <w:rsid w:val="0025440D"/>
    <w:rsid w:val="00254450"/>
    <w:rsid w:val="0025450E"/>
    <w:rsid w:val="00254526"/>
    <w:rsid w:val="0025457E"/>
    <w:rsid w:val="00254E9B"/>
    <w:rsid w:val="00255152"/>
    <w:rsid w:val="0025554E"/>
    <w:rsid w:val="002555C2"/>
    <w:rsid w:val="00255951"/>
    <w:rsid w:val="002559C3"/>
    <w:rsid w:val="00255B2E"/>
    <w:rsid w:val="00255FAC"/>
    <w:rsid w:val="00256149"/>
    <w:rsid w:val="00256558"/>
    <w:rsid w:val="00257105"/>
    <w:rsid w:val="00257EE8"/>
    <w:rsid w:val="0026041F"/>
    <w:rsid w:val="002604BF"/>
    <w:rsid w:val="00260539"/>
    <w:rsid w:val="002605AB"/>
    <w:rsid w:val="00260E52"/>
    <w:rsid w:val="002617EE"/>
    <w:rsid w:val="00261A3F"/>
    <w:rsid w:val="00261BE7"/>
    <w:rsid w:val="0026216F"/>
    <w:rsid w:val="00262394"/>
    <w:rsid w:val="00262EBF"/>
    <w:rsid w:val="0026312F"/>
    <w:rsid w:val="002638F4"/>
    <w:rsid w:val="00263CEE"/>
    <w:rsid w:val="0026403A"/>
    <w:rsid w:val="00264495"/>
    <w:rsid w:val="002649E0"/>
    <w:rsid w:val="00264A25"/>
    <w:rsid w:val="00264D0F"/>
    <w:rsid w:val="0026508F"/>
    <w:rsid w:val="002651F9"/>
    <w:rsid w:val="0026596A"/>
    <w:rsid w:val="00265C67"/>
    <w:rsid w:val="00265D48"/>
    <w:rsid w:val="002661D5"/>
    <w:rsid w:val="002667E6"/>
    <w:rsid w:val="00266862"/>
    <w:rsid w:val="00266C34"/>
    <w:rsid w:val="00266CF3"/>
    <w:rsid w:val="00266F86"/>
    <w:rsid w:val="00267C56"/>
    <w:rsid w:val="00267C69"/>
    <w:rsid w:val="00267E0C"/>
    <w:rsid w:val="0027057F"/>
    <w:rsid w:val="002711D4"/>
    <w:rsid w:val="00271236"/>
    <w:rsid w:val="00271255"/>
    <w:rsid w:val="0027160C"/>
    <w:rsid w:val="00271D16"/>
    <w:rsid w:val="0027298E"/>
    <w:rsid w:val="00272BE6"/>
    <w:rsid w:val="0027384D"/>
    <w:rsid w:val="00273B13"/>
    <w:rsid w:val="00273C11"/>
    <w:rsid w:val="00273E77"/>
    <w:rsid w:val="00274039"/>
    <w:rsid w:val="002741BA"/>
    <w:rsid w:val="00274C83"/>
    <w:rsid w:val="002750A0"/>
    <w:rsid w:val="002751D1"/>
    <w:rsid w:val="002751ED"/>
    <w:rsid w:val="00275203"/>
    <w:rsid w:val="00275209"/>
    <w:rsid w:val="0027548D"/>
    <w:rsid w:val="002758A0"/>
    <w:rsid w:val="00276307"/>
    <w:rsid w:val="00276346"/>
    <w:rsid w:val="002764A2"/>
    <w:rsid w:val="00276504"/>
    <w:rsid w:val="002767DE"/>
    <w:rsid w:val="002769B5"/>
    <w:rsid w:val="00276BA1"/>
    <w:rsid w:val="00276D11"/>
    <w:rsid w:val="00277BCA"/>
    <w:rsid w:val="00277D13"/>
    <w:rsid w:val="00277DC5"/>
    <w:rsid w:val="002801D9"/>
    <w:rsid w:val="002806EE"/>
    <w:rsid w:val="0028084F"/>
    <w:rsid w:val="00280C08"/>
    <w:rsid w:val="00280C85"/>
    <w:rsid w:val="00280E4C"/>
    <w:rsid w:val="0028138D"/>
    <w:rsid w:val="00281A99"/>
    <w:rsid w:val="00281D05"/>
    <w:rsid w:val="00281D9A"/>
    <w:rsid w:val="00281DE1"/>
    <w:rsid w:val="00281ECC"/>
    <w:rsid w:val="00282282"/>
    <w:rsid w:val="002824F9"/>
    <w:rsid w:val="002827D1"/>
    <w:rsid w:val="00282844"/>
    <w:rsid w:val="00283002"/>
    <w:rsid w:val="00283B47"/>
    <w:rsid w:val="00283DCF"/>
    <w:rsid w:val="00284340"/>
    <w:rsid w:val="00284A7A"/>
    <w:rsid w:val="00284A7C"/>
    <w:rsid w:val="0028512C"/>
    <w:rsid w:val="00285871"/>
    <w:rsid w:val="002858B4"/>
    <w:rsid w:val="00285942"/>
    <w:rsid w:val="002868AB"/>
    <w:rsid w:val="00286BB9"/>
    <w:rsid w:val="00286E4F"/>
    <w:rsid w:val="00286E59"/>
    <w:rsid w:val="00287217"/>
    <w:rsid w:val="0028732A"/>
    <w:rsid w:val="00287536"/>
    <w:rsid w:val="00287596"/>
    <w:rsid w:val="002876A5"/>
    <w:rsid w:val="002879C5"/>
    <w:rsid w:val="00287E78"/>
    <w:rsid w:val="002900C0"/>
    <w:rsid w:val="00290676"/>
    <w:rsid w:val="00290B6F"/>
    <w:rsid w:val="00290E8A"/>
    <w:rsid w:val="002913E4"/>
    <w:rsid w:val="00291462"/>
    <w:rsid w:val="00291572"/>
    <w:rsid w:val="00291706"/>
    <w:rsid w:val="002917EE"/>
    <w:rsid w:val="00291831"/>
    <w:rsid w:val="00292054"/>
    <w:rsid w:val="00292289"/>
    <w:rsid w:val="00292494"/>
    <w:rsid w:val="002928BD"/>
    <w:rsid w:val="00292950"/>
    <w:rsid w:val="00292C5C"/>
    <w:rsid w:val="00292CC6"/>
    <w:rsid w:val="00292D57"/>
    <w:rsid w:val="00292DD3"/>
    <w:rsid w:val="0029303F"/>
    <w:rsid w:val="002930E8"/>
    <w:rsid w:val="00293175"/>
    <w:rsid w:val="00293321"/>
    <w:rsid w:val="00293507"/>
    <w:rsid w:val="002936A9"/>
    <w:rsid w:val="00293999"/>
    <w:rsid w:val="00293B4E"/>
    <w:rsid w:val="00293D85"/>
    <w:rsid w:val="00293E3B"/>
    <w:rsid w:val="00293EA4"/>
    <w:rsid w:val="00293FC3"/>
    <w:rsid w:val="00294C9B"/>
    <w:rsid w:val="00294E42"/>
    <w:rsid w:val="00294E94"/>
    <w:rsid w:val="002950D0"/>
    <w:rsid w:val="002952CC"/>
    <w:rsid w:val="002957BD"/>
    <w:rsid w:val="00295ABE"/>
    <w:rsid w:val="00295B6A"/>
    <w:rsid w:val="00295D08"/>
    <w:rsid w:val="002964A8"/>
    <w:rsid w:val="00296931"/>
    <w:rsid w:val="00296D0F"/>
    <w:rsid w:val="00296E76"/>
    <w:rsid w:val="00297010"/>
    <w:rsid w:val="0029707A"/>
    <w:rsid w:val="002970C3"/>
    <w:rsid w:val="00297813"/>
    <w:rsid w:val="002A0050"/>
    <w:rsid w:val="002A04B4"/>
    <w:rsid w:val="002A09E6"/>
    <w:rsid w:val="002A145B"/>
    <w:rsid w:val="002A1517"/>
    <w:rsid w:val="002A18BE"/>
    <w:rsid w:val="002A1A6A"/>
    <w:rsid w:val="002A1DDA"/>
    <w:rsid w:val="002A1F03"/>
    <w:rsid w:val="002A26A2"/>
    <w:rsid w:val="002A2A14"/>
    <w:rsid w:val="002A2A64"/>
    <w:rsid w:val="002A2BFE"/>
    <w:rsid w:val="002A2D68"/>
    <w:rsid w:val="002A3193"/>
    <w:rsid w:val="002A3511"/>
    <w:rsid w:val="002A36DD"/>
    <w:rsid w:val="002A36F6"/>
    <w:rsid w:val="002A3905"/>
    <w:rsid w:val="002A39DF"/>
    <w:rsid w:val="002A3A24"/>
    <w:rsid w:val="002A3D5F"/>
    <w:rsid w:val="002A4084"/>
    <w:rsid w:val="002A420A"/>
    <w:rsid w:val="002A4A63"/>
    <w:rsid w:val="002A4AD6"/>
    <w:rsid w:val="002A4D82"/>
    <w:rsid w:val="002A4D84"/>
    <w:rsid w:val="002A4E34"/>
    <w:rsid w:val="002A51B5"/>
    <w:rsid w:val="002A54E5"/>
    <w:rsid w:val="002A56A6"/>
    <w:rsid w:val="002A5D1C"/>
    <w:rsid w:val="002A5F2D"/>
    <w:rsid w:val="002A683C"/>
    <w:rsid w:val="002A6F26"/>
    <w:rsid w:val="002A709C"/>
    <w:rsid w:val="002A7196"/>
    <w:rsid w:val="002A72BD"/>
    <w:rsid w:val="002A76AE"/>
    <w:rsid w:val="002A7B82"/>
    <w:rsid w:val="002B04F3"/>
    <w:rsid w:val="002B05D5"/>
    <w:rsid w:val="002B069A"/>
    <w:rsid w:val="002B0EE0"/>
    <w:rsid w:val="002B1384"/>
    <w:rsid w:val="002B16C1"/>
    <w:rsid w:val="002B17A9"/>
    <w:rsid w:val="002B1D3B"/>
    <w:rsid w:val="002B23B8"/>
    <w:rsid w:val="002B23C1"/>
    <w:rsid w:val="002B24FD"/>
    <w:rsid w:val="002B2530"/>
    <w:rsid w:val="002B25F9"/>
    <w:rsid w:val="002B2765"/>
    <w:rsid w:val="002B29CC"/>
    <w:rsid w:val="002B2FA0"/>
    <w:rsid w:val="002B3681"/>
    <w:rsid w:val="002B392E"/>
    <w:rsid w:val="002B3B65"/>
    <w:rsid w:val="002B3C17"/>
    <w:rsid w:val="002B42BE"/>
    <w:rsid w:val="002B479C"/>
    <w:rsid w:val="002B48A1"/>
    <w:rsid w:val="002B4CA1"/>
    <w:rsid w:val="002B56C6"/>
    <w:rsid w:val="002B5A72"/>
    <w:rsid w:val="002B5B48"/>
    <w:rsid w:val="002B5DC0"/>
    <w:rsid w:val="002B64FA"/>
    <w:rsid w:val="002B65F1"/>
    <w:rsid w:val="002B667C"/>
    <w:rsid w:val="002B7307"/>
    <w:rsid w:val="002B7AA1"/>
    <w:rsid w:val="002B7D7B"/>
    <w:rsid w:val="002C03AD"/>
    <w:rsid w:val="002C0A30"/>
    <w:rsid w:val="002C11CA"/>
    <w:rsid w:val="002C140B"/>
    <w:rsid w:val="002C18C3"/>
    <w:rsid w:val="002C1BBF"/>
    <w:rsid w:val="002C1CE3"/>
    <w:rsid w:val="002C1FE2"/>
    <w:rsid w:val="002C20AE"/>
    <w:rsid w:val="002C20F9"/>
    <w:rsid w:val="002C2409"/>
    <w:rsid w:val="002C2958"/>
    <w:rsid w:val="002C2972"/>
    <w:rsid w:val="002C2AC6"/>
    <w:rsid w:val="002C3595"/>
    <w:rsid w:val="002C44CF"/>
    <w:rsid w:val="002C45E8"/>
    <w:rsid w:val="002C4B94"/>
    <w:rsid w:val="002C4D69"/>
    <w:rsid w:val="002C4E07"/>
    <w:rsid w:val="002C4EEA"/>
    <w:rsid w:val="002C55BC"/>
    <w:rsid w:val="002C5AC7"/>
    <w:rsid w:val="002C5D4D"/>
    <w:rsid w:val="002C68C6"/>
    <w:rsid w:val="002C6943"/>
    <w:rsid w:val="002C6EA6"/>
    <w:rsid w:val="002C7074"/>
    <w:rsid w:val="002C70CE"/>
    <w:rsid w:val="002C7778"/>
    <w:rsid w:val="002C77A2"/>
    <w:rsid w:val="002C78BA"/>
    <w:rsid w:val="002C7F2E"/>
    <w:rsid w:val="002D0524"/>
    <w:rsid w:val="002D0739"/>
    <w:rsid w:val="002D08E8"/>
    <w:rsid w:val="002D11B4"/>
    <w:rsid w:val="002D126D"/>
    <w:rsid w:val="002D13F3"/>
    <w:rsid w:val="002D1637"/>
    <w:rsid w:val="002D20E8"/>
    <w:rsid w:val="002D210D"/>
    <w:rsid w:val="002D2825"/>
    <w:rsid w:val="002D2CC9"/>
    <w:rsid w:val="002D2EDF"/>
    <w:rsid w:val="002D2EE5"/>
    <w:rsid w:val="002D3465"/>
    <w:rsid w:val="002D3583"/>
    <w:rsid w:val="002D3E97"/>
    <w:rsid w:val="002D3ECE"/>
    <w:rsid w:val="002D4180"/>
    <w:rsid w:val="002D42F1"/>
    <w:rsid w:val="002D4513"/>
    <w:rsid w:val="002D471F"/>
    <w:rsid w:val="002D48F5"/>
    <w:rsid w:val="002D4CC3"/>
    <w:rsid w:val="002D5097"/>
    <w:rsid w:val="002D5470"/>
    <w:rsid w:val="002D54F1"/>
    <w:rsid w:val="002D55E4"/>
    <w:rsid w:val="002D5893"/>
    <w:rsid w:val="002D5D96"/>
    <w:rsid w:val="002D6166"/>
    <w:rsid w:val="002D6605"/>
    <w:rsid w:val="002D6624"/>
    <w:rsid w:val="002D66CF"/>
    <w:rsid w:val="002D678B"/>
    <w:rsid w:val="002D690D"/>
    <w:rsid w:val="002D6B26"/>
    <w:rsid w:val="002D7060"/>
    <w:rsid w:val="002D7096"/>
    <w:rsid w:val="002D7166"/>
    <w:rsid w:val="002D773D"/>
    <w:rsid w:val="002D7B57"/>
    <w:rsid w:val="002D7D89"/>
    <w:rsid w:val="002D7DD4"/>
    <w:rsid w:val="002D7F91"/>
    <w:rsid w:val="002E01F0"/>
    <w:rsid w:val="002E04C1"/>
    <w:rsid w:val="002E0620"/>
    <w:rsid w:val="002E077A"/>
    <w:rsid w:val="002E0791"/>
    <w:rsid w:val="002E0AA3"/>
    <w:rsid w:val="002E0D58"/>
    <w:rsid w:val="002E0D8A"/>
    <w:rsid w:val="002E1068"/>
    <w:rsid w:val="002E12BB"/>
    <w:rsid w:val="002E18D9"/>
    <w:rsid w:val="002E29B4"/>
    <w:rsid w:val="002E31D7"/>
    <w:rsid w:val="002E39D8"/>
    <w:rsid w:val="002E3ED3"/>
    <w:rsid w:val="002E403F"/>
    <w:rsid w:val="002E44BD"/>
    <w:rsid w:val="002E468C"/>
    <w:rsid w:val="002E4899"/>
    <w:rsid w:val="002E4ACE"/>
    <w:rsid w:val="002E51A2"/>
    <w:rsid w:val="002E5326"/>
    <w:rsid w:val="002E54E4"/>
    <w:rsid w:val="002E56ED"/>
    <w:rsid w:val="002E57DE"/>
    <w:rsid w:val="002E5CE3"/>
    <w:rsid w:val="002E5EB5"/>
    <w:rsid w:val="002E62A9"/>
    <w:rsid w:val="002E63BE"/>
    <w:rsid w:val="002E6560"/>
    <w:rsid w:val="002E6CFC"/>
    <w:rsid w:val="002E71A9"/>
    <w:rsid w:val="002E7301"/>
    <w:rsid w:val="002E732E"/>
    <w:rsid w:val="002E7775"/>
    <w:rsid w:val="002E7A71"/>
    <w:rsid w:val="002E7AD2"/>
    <w:rsid w:val="002E7C5F"/>
    <w:rsid w:val="002E7D9B"/>
    <w:rsid w:val="002F0939"/>
    <w:rsid w:val="002F09B6"/>
    <w:rsid w:val="002F0A58"/>
    <w:rsid w:val="002F0D09"/>
    <w:rsid w:val="002F0D1B"/>
    <w:rsid w:val="002F0E76"/>
    <w:rsid w:val="002F102A"/>
    <w:rsid w:val="002F117D"/>
    <w:rsid w:val="002F12AE"/>
    <w:rsid w:val="002F1399"/>
    <w:rsid w:val="002F13DC"/>
    <w:rsid w:val="002F1500"/>
    <w:rsid w:val="002F1615"/>
    <w:rsid w:val="002F2001"/>
    <w:rsid w:val="002F22FF"/>
    <w:rsid w:val="002F25CE"/>
    <w:rsid w:val="002F318B"/>
    <w:rsid w:val="002F32C5"/>
    <w:rsid w:val="002F32FB"/>
    <w:rsid w:val="002F3972"/>
    <w:rsid w:val="002F3C63"/>
    <w:rsid w:val="002F45AE"/>
    <w:rsid w:val="002F45F9"/>
    <w:rsid w:val="002F4BF8"/>
    <w:rsid w:val="002F4D6B"/>
    <w:rsid w:val="002F4F4D"/>
    <w:rsid w:val="002F501C"/>
    <w:rsid w:val="002F5459"/>
    <w:rsid w:val="002F5611"/>
    <w:rsid w:val="002F5648"/>
    <w:rsid w:val="002F5E96"/>
    <w:rsid w:val="002F5F5E"/>
    <w:rsid w:val="002F5F85"/>
    <w:rsid w:val="002F6233"/>
    <w:rsid w:val="002F64C8"/>
    <w:rsid w:val="002F693F"/>
    <w:rsid w:val="002F6C05"/>
    <w:rsid w:val="002F70C9"/>
    <w:rsid w:val="002F76B6"/>
    <w:rsid w:val="003000D0"/>
    <w:rsid w:val="0030055A"/>
    <w:rsid w:val="003008CC"/>
    <w:rsid w:val="00300AF2"/>
    <w:rsid w:val="00300DFA"/>
    <w:rsid w:val="00300EA6"/>
    <w:rsid w:val="00300F7F"/>
    <w:rsid w:val="0030132B"/>
    <w:rsid w:val="0030147C"/>
    <w:rsid w:val="00301763"/>
    <w:rsid w:val="00301828"/>
    <w:rsid w:val="00301A57"/>
    <w:rsid w:val="00302252"/>
    <w:rsid w:val="00302420"/>
    <w:rsid w:val="003025C3"/>
    <w:rsid w:val="00302901"/>
    <w:rsid w:val="00302D9F"/>
    <w:rsid w:val="003030CF"/>
    <w:rsid w:val="003037DC"/>
    <w:rsid w:val="003039BD"/>
    <w:rsid w:val="00303A53"/>
    <w:rsid w:val="00303AA1"/>
    <w:rsid w:val="00303C60"/>
    <w:rsid w:val="00303C9E"/>
    <w:rsid w:val="00303DF5"/>
    <w:rsid w:val="00304356"/>
    <w:rsid w:val="00304491"/>
    <w:rsid w:val="00304528"/>
    <w:rsid w:val="00304783"/>
    <w:rsid w:val="00304A7D"/>
    <w:rsid w:val="00304A9D"/>
    <w:rsid w:val="00304FB8"/>
    <w:rsid w:val="00304FD7"/>
    <w:rsid w:val="00305320"/>
    <w:rsid w:val="0030538A"/>
    <w:rsid w:val="00305F9B"/>
    <w:rsid w:val="00306035"/>
    <w:rsid w:val="003060F3"/>
    <w:rsid w:val="003063A8"/>
    <w:rsid w:val="00306F79"/>
    <w:rsid w:val="00307258"/>
    <w:rsid w:val="00307299"/>
    <w:rsid w:val="00307842"/>
    <w:rsid w:val="00307978"/>
    <w:rsid w:val="00307B42"/>
    <w:rsid w:val="00307F45"/>
    <w:rsid w:val="00310585"/>
    <w:rsid w:val="00310655"/>
    <w:rsid w:val="0031073A"/>
    <w:rsid w:val="00310B9B"/>
    <w:rsid w:val="00310C3F"/>
    <w:rsid w:val="00310F24"/>
    <w:rsid w:val="00310F53"/>
    <w:rsid w:val="0031106D"/>
    <w:rsid w:val="00311331"/>
    <w:rsid w:val="00311373"/>
    <w:rsid w:val="00311633"/>
    <w:rsid w:val="003117C4"/>
    <w:rsid w:val="00311891"/>
    <w:rsid w:val="003119C8"/>
    <w:rsid w:val="00311C55"/>
    <w:rsid w:val="003129BA"/>
    <w:rsid w:val="0031302D"/>
    <w:rsid w:val="00313058"/>
    <w:rsid w:val="0031378D"/>
    <w:rsid w:val="00313B89"/>
    <w:rsid w:val="003140D2"/>
    <w:rsid w:val="00314491"/>
    <w:rsid w:val="00314564"/>
    <w:rsid w:val="00314AB8"/>
    <w:rsid w:val="00314BF6"/>
    <w:rsid w:val="00314EC3"/>
    <w:rsid w:val="00314ECF"/>
    <w:rsid w:val="003151F7"/>
    <w:rsid w:val="003154EC"/>
    <w:rsid w:val="003156BE"/>
    <w:rsid w:val="00315911"/>
    <w:rsid w:val="00315924"/>
    <w:rsid w:val="00315C85"/>
    <w:rsid w:val="00315D3C"/>
    <w:rsid w:val="00315FB7"/>
    <w:rsid w:val="003160F4"/>
    <w:rsid w:val="003160FB"/>
    <w:rsid w:val="003162D1"/>
    <w:rsid w:val="0031654C"/>
    <w:rsid w:val="003166AD"/>
    <w:rsid w:val="00316B6C"/>
    <w:rsid w:val="00316E06"/>
    <w:rsid w:val="00316ED3"/>
    <w:rsid w:val="00317090"/>
    <w:rsid w:val="00317224"/>
    <w:rsid w:val="00317498"/>
    <w:rsid w:val="003174BE"/>
    <w:rsid w:val="00317714"/>
    <w:rsid w:val="00320947"/>
    <w:rsid w:val="00320949"/>
    <w:rsid w:val="00320A17"/>
    <w:rsid w:val="00320D21"/>
    <w:rsid w:val="0032133B"/>
    <w:rsid w:val="00321403"/>
    <w:rsid w:val="00321AFE"/>
    <w:rsid w:val="00321B2F"/>
    <w:rsid w:val="00321D72"/>
    <w:rsid w:val="00321EAB"/>
    <w:rsid w:val="00322108"/>
    <w:rsid w:val="003223C1"/>
    <w:rsid w:val="003225F5"/>
    <w:rsid w:val="00322A87"/>
    <w:rsid w:val="00322ADE"/>
    <w:rsid w:val="00322C1A"/>
    <w:rsid w:val="00322DA9"/>
    <w:rsid w:val="00323082"/>
    <w:rsid w:val="003233A7"/>
    <w:rsid w:val="0032370E"/>
    <w:rsid w:val="00323AF6"/>
    <w:rsid w:val="00323B08"/>
    <w:rsid w:val="0032419D"/>
    <w:rsid w:val="003242EE"/>
    <w:rsid w:val="003244BA"/>
    <w:rsid w:val="00324870"/>
    <w:rsid w:val="00324E51"/>
    <w:rsid w:val="00324E9E"/>
    <w:rsid w:val="00325182"/>
    <w:rsid w:val="003251C2"/>
    <w:rsid w:val="00325593"/>
    <w:rsid w:val="00325766"/>
    <w:rsid w:val="003259D3"/>
    <w:rsid w:val="00325E48"/>
    <w:rsid w:val="00325FA0"/>
    <w:rsid w:val="003261C3"/>
    <w:rsid w:val="00326CB5"/>
    <w:rsid w:val="00326DFF"/>
    <w:rsid w:val="00326F1C"/>
    <w:rsid w:val="00327162"/>
    <w:rsid w:val="00327239"/>
    <w:rsid w:val="003273E5"/>
    <w:rsid w:val="00327495"/>
    <w:rsid w:val="00327975"/>
    <w:rsid w:val="00327B0B"/>
    <w:rsid w:val="00327D38"/>
    <w:rsid w:val="00330253"/>
    <w:rsid w:val="00330930"/>
    <w:rsid w:val="003309AD"/>
    <w:rsid w:val="00330A0A"/>
    <w:rsid w:val="00330C0F"/>
    <w:rsid w:val="00330F12"/>
    <w:rsid w:val="00330F55"/>
    <w:rsid w:val="003310DB"/>
    <w:rsid w:val="0033135D"/>
    <w:rsid w:val="00331689"/>
    <w:rsid w:val="003316FB"/>
    <w:rsid w:val="00331CFF"/>
    <w:rsid w:val="003328A9"/>
    <w:rsid w:val="00332ADC"/>
    <w:rsid w:val="0033305A"/>
    <w:rsid w:val="0033352F"/>
    <w:rsid w:val="003337CC"/>
    <w:rsid w:val="003339AB"/>
    <w:rsid w:val="00333BE8"/>
    <w:rsid w:val="00333D45"/>
    <w:rsid w:val="00333D6C"/>
    <w:rsid w:val="00333E2D"/>
    <w:rsid w:val="00333F5F"/>
    <w:rsid w:val="00334707"/>
    <w:rsid w:val="003347FF"/>
    <w:rsid w:val="00334DD8"/>
    <w:rsid w:val="0033544A"/>
    <w:rsid w:val="00335629"/>
    <w:rsid w:val="00335725"/>
    <w:rsid w:val="00335894"/>
    <w:rsid w:val="00335D45"/>
    <w:rsid w:val="00336105"/>
    <w:rsid w:val="00336168"/>
    <w:rsid w:val="0033637F"/>
    <w:rsid w:val="00336C7F"/>
    <w:rsid w:val="003371B5"/>
    <w:rsid w:val="003372B9"/>
    <w:rsid w:val="00337620"/>
    <w:rsid w:val="0033790C"/>
    <w:rsid w:val="00337BAF"/>
    <w:rsid w:val="00337EB4"/>
    <w:rsid w:val="00340341"/>
    <w:rsid w:val="003406B6"/>
    <w:rsid w:val="00340C4D"/>
    <w:rsid w:val="00340D4E"/>
    <w:rsid w:val="00340DA0"/>
    <w:rsid w:val="00340FC1"/>
    <w:rsid w:val="00341422"/>
    <w:rsid w:val="003417CB"/>
    <w:rsid w:val="00341841"/>
    <w:rsid w:val="00341B73"/>
    <w:rsid w:val="00341CAB"/>
    <w:rsid w:val="00341EA4"/>
    <w:rsid w:val="00342479"/>
    <w:rsid w:val="003427AB"/>
    <w:rsid w:val="00342BD4"/>
    <w:rsid w:val="00342CCF"/>
    <w:rsid w:val="00342DD7"/>
    <w:rsid w:val="0034308D"/>
    <w:rsid w:val="003433C5"/>
    <w:rsid w:val="003435A9"/>
    <w:rsid w:val="00343AD9"/>
    <w:rsid w:val="00343CA8"/>
    <w:rsid w:val="00343CFC"/>
    <w:rsid w:val="0034407E"/>
    <w:rsid w:val="003441B1"/>
    <w:rsid w:val="00344341"/>
    <w:rsid w:val="00344649"/>
    <w:rsid w:val="00344FF0"/>
    <w:rsid w:val="0034500E"/>
    <w:rsid w:val="00345139"/>
    <w:rsid w:val="00345496"/>
    <w:rsid w:val="003456F5"/>
    <w:rsid w:val="003457E5"/>
    <w:rsid w:val="003459D6"/>
    <w:rsid w:val="00345A3D"/>
    <w:rsid w:val="00345BCF"/>
    <w:rsid w:val="00345F4A"/>
    <w:rsid w:val="0034625C"/>
    <w:rsid w:val="003465C1"/>
    <w:rsid w:val="003466F9"/>
    <w:rsid w:val="003468E0"/>
    <w:rsid w:val="00346D37"/>
    <w:rsid w:val="00346E06"/>
    <w:rsid w:val="0034744D"/>
    <w:rsid w:val="00347D24"/>
    <w:rsid w:val="00347FA7"/>
    <w:rsid w:val="00350092"/>
    <w:rsid w:val="003500F1"/>
    <w:rsid w:val="0035022D"/>
    <w:rsid w:val="00350274"/>
    <w:rsid w:val="00350458"/>
    <w:rsid w:val="0035098B"/>
    <w:rsid w:val="00350C2D"/>
    <w:rsid w:val="00351253"/>
    <w:rsid w:val="0035131A"/>
    <w:rsid w:val="00351607"/>
    <w:rsid w:val="003516BA"/>
    <w:rsid w:val="0035188B"/>
    <w:rsid w:val="003519AD"/>
    <w:rsid w:val="00351BA2"/>
    <w:rsid w:val="00351BD0"/>
    <w:rsid w:val="00351E0E"/>
    <w:rsid w:val="003520E0"/>
    <w:rsid w:val="00352A4F"/>
    <w:rsid w:val="00352AE9"/>
    <w:rsid w:val="003532BB"/>
    <w:rsid w:val="0035339C"/>
    <w:rsid w:val="003533C8"/>
    <w:rsid w:val="003533E9"/>
    <w:rsid w:val="00353429"/>
    <w:rsid w:val="00353A5F"/>
    <w:rsid w:val="00354A4C"/>
    <w:rsid w:val="00354EB4"/>
    <w:rsid w:val="00354EF6"/>
    <w:rsid w:val="00355095"/>
    <w:rsid w:val="003551B3"/>
    <w:rsid w:val="00355663"/>
    <w:rsid w:val="003567BA"/>
    <w:rsid w:val="00356836"/>
    <w:rsid w:val="003569C5"/>
    <w:rsid w:val="003569D4"/>
    <w:rsid w:val="00356D29"/>
    <w:rsid w:val="00356ECB"/>
    <w:rsid w:val="00356FC8"/>
    <w:rsid w:val="0035708A"/>
    <w:rsid w:val="0035715B"/>
    <w:rsid w:val="003571C2"/>
    <w:rsid w:val="0035736D"/>
    <w:rsid w:val="0035759F"/>
    <w:rsid w:val="003578B7"/>
    <w:rsid w:val="00357D9A"/>
    <w:rsid w:val="00357F81"/>
    <w:rsid w:val="0036015C"/>
    <w:rsid w:val="00360500"/>
    <w:rsid w:val="00360572"/>
    <w:rsid w:val="003605D2"/>
    <w:rsid w:val="00360871"/>
    <w:rsid w:val="003608B9"/>
    <w:rsid w:val="00360B95"/>
    <w:rsid w:val="00360C09"/>
    <w:rsid w:val="00360CE2"/>
    <w:rsid w:val="00361165"/>
    <w:rsid w:val="00361B46"/>
    <w:rsid w:val="00362430"/>
    <w:rsid w:val="0036346B"/>
    <w:rsid w:val="00363676"/>
    <w:rsid w:val="00363D2E"/>
    <w:rsid w:val="00363FC8"/>
    <w:rsid w:val="00363FF9"/>
    <w:rsid w:val="003640A7"/>
    <w:rsid w:val="0036459C"/>
    <w:rsid w:val="00364BD7"/>
    <w:rsid w:val="00364FFD"/>
    <w:rsid w:val="00365447"/>
    <w:rsid w:val="0036556C"/>
    <w:rsid w:val="003665C5"/>
    <w:rsid w:val="00366823"/>
    <w:rsid w:val="0036689B"/>
    <w:rsid w:val="003678B9"/>
    <w:rsid w:val="0036794E"/>
    <w:rsid w:val="0036796B"/>
    <w:rsid w:val="00367DCF"/>
    <w:rsid w:val="00370008"/>
    <w:rsid w:val="00370045"/>
    <w:rsid w:val="00370480"/>
    <w:rsid w:val="003708B7"/>
    <w:rsid w:val="003715BA"/>
    <w:rsid w:val="00371646"/>
    <w:rsid w:val="00371948"/>
    <w:rsid w:val="00371A95"/>
    <w:rsid w:val="0037221E"/>
    <w:rsid w:val="0037222C"/>
    <w:rsid w:val="00372271"/>
    <w:rsid w:val="00372290"/>
    <w:rsid w:val="00372389"/>
    <w:rsid w:val="003727F6"/>
    <w:rsid w:val="0037281D"/>
    <w:rsid w:val="00372AC0"/>
    <w:rsid w:val="0037413F"/>
    <w:rsid w:val="00374B57"/>
    <w:rsid w:val="00374DB1"/>
    <w:rsid w:val="00374E64"/>
    <w:rsid w:val="00374F41"/>
    <w:rsid w:val="0037515A"/>
    <w:rsid w:val="0037516C"/>
    <w:rsid w:val="00375899"/>
    <w:rsid w:val="00376420"/>
    <w:rsid w:val="00376929"/>
    <w:rsid w:val="003774A9"/>
    <w:rsid w:val="0037755B"/>
    <w:rsid w:val="0037757B"/>
    <w:rsid w:val="003775BC"/>
    <w:rsid w:val="0037779D"/>
    <w:rsid w:val="00377923"/>
    <w:rsid w:val="00377964"/>
    <w:rsid w:val="0037799B"/>
    <w:rsid w:val="003779FC"/>
    <w:rsid w:val="00377B2A"/>
    <w:rsid w:val="00377D33"/>
    <w:rsid w:val="0038146C"/>
    <w:rsid w:val="00381839"/>
    <w:rsid w:val="003819EB"/>
    <w:rsid w:val="00381B9C"/>
    <w:rsid w:val="00381BE8"/>
    <w:rsid w:val="00382143"/>
    <w:rsid w:val="003824C4"/>
    <w:rsid w:val="00382609"/>
    <w:rsid w:val="00382A34"/>
    <w:rsid w:val="00382CC4"/>
    <w:rsid w:val="00382F2F"/>
    <w:rsid w:val="00382FD1"/>
    <w:rsid w:val="003830AB"/>
    <w:rsid w:val="003834C9"/>
    <w:rsid w:val="00383556"/>
    <w:rsid w:val="00383B8D"/>
    <w:rsid w:val="00383CCB"/>
    <w:rsid w:val="0038405F"/>
    <w:rsid w:val="0038427C"/>
    <w:rsid w:val="003842EF"/>
    <w:rsid w:val="003845F4"/>
    <w:rsid w:val="003849B8"/>
    <w:rsid w:val="00384B37"/>
    <w:rsid w:val="00385169"/>
    <w:rsid w:val="00385662"/>
    <w:rsid w:val="00385CAE"/>
    <w:rsid w:val="00385D65"/>
    <w:rsid w:val="00385F30"/>
    <w:rsid w:val="00385FCA"/>
    <w:rsid w:val="0038605C"/>
    <w:rsid w:val="00386124"/>
    <w:rsid w:val="003864D5"/>
    <w:rsid w:val="00386695"/>
    <w:rsid w:val="003869D6"/>
    <w:rsid w:val="00386A13"/>
    <w:rsid w:val="003870EE"/>
    <w:rsid w:val="003871E4"/>
    <w:rsid w:val="00387325"/>
    <w:rsid w:val="00387937"/>
    <w:rsid w:val="0038796D"/>
    <w:rsid w:val="00387A81"/>
    <w:rsid w:val="00387A9B"/>
    <w:rsid w:val="00387BD1"/>
    <w:rsid w:val="00387FB9"/>
    <w:rsid w:val="00390301"/>
    <w:rsid w:val="00390567"/>
    <w:rsid w:val="00390F72"/>
    <w:rsid w:val="00391448"/>
    <w:rsid w:val="00391A41"/>
    <w:rsid w:val="00391B4D"/>
    <w:rsid w:val="00391D74"/>
    <w:rsid w:val="003924FE"/>
    <w:rsid w:val="003933C5"/>
    <w:rsid w:val="00393664"/>
    <w:rsid w:val="0039381C"/>
    <w:rsid w:val="00393A07"/>
    <w:rsid w:val="00393AF3"/>
    <w:rsid w:val="00393C6C"/>
    <w:rsid w:val="00393FC8"/>
    <w:rsid w:val="00393FDF"/>
    <w:rsid w:val="00394246"/>
    <w:rsid w:val="00394302"/>
    <w:rsid w:val="0039521F"/>
    <w:rsid w:val="003957DA"/>
    <w:rsid w:val="003958E1"/>
    <w:rsid w:val="0039591D"/>
    <w:rsid w:val="00395C64"/>
    <w:rsid w:val="00395D12"/>
    <w:rsid w:val="0039621E"/>
    <w:rsid w:val="0039622D"/>
    <w:rsid w:val="0039661C"/>
    <w:rsid w:val="003966F6"/>
    <w:rsid w:val="0039677D"/>
    <w:rsid w:val="00396945"/>
    <w:rsid w:val="00396C47"/>
    <w:rsid w:val="00396C6C"/>
    <w:rsid w:val="00396DFC"/>
    <w:rsid w:val="003972E2"/>
    <w:rsid w:val="00397447"/>
    <w:rsid w:val="003979D3"/>
    <w:rsid w:val="00397A14"/>
    <w:rsid w:val="00397DD4"/>
    <w:rsid w:val="00397E1B"/>
    <w:rsid w:val="00397EFF"/>
    <w:rsid w:val="003A0127"/>
    <w:rsid w:val="003A0660"/>
    <w:rsid w:val="003A07B0"/>
    <w:rsid w:val="003A0CD9"/>
    <w:rsid w:val="003A0D52"/>
    <w:rsid w:val="003A114B"/>
    <w:rsid w:val="003A1599"/>
    <w:rsid w:val="003A15C4"/>
    <w:rsid w:val="003A16AE"/>
    <w:rsid w:val="003A27AD"/>
    <w:rsid w:val="003A2ED1"/>
    <w:rsid w:val="003A36BE"/>
    <w:rsid w:val="003A3C25"/>
    <w:rsid w:val="003A3E70"/>
    <w:rsid w:val="003A42BA"/>
    <w:rsid w:val="003A4387"/>
    <w:rsid w:val="003A456E"/>
    <w:rsid w:val="003A45D2"/>
    <w:rsid w:val="003A4C47"/>
    <w:rsid w:val="003A4C89"/>
    <w:rsid w:val="003A4FB9"/>
    <w:rsid w:val="003A5517"/>
    <w:rsid w:val="003A5D29"/>
    <w:rsid w:val="003A5DA5"/>
    <w:rsid w:val="003A6211"/>
    <w:rsid w:val="003A63C0"/>
    <w:rsid w:val="003A651E"/>
    <w:rsid w:val="003A65C4"/>
    <w:rsid w:val="003A6724"/>
    <w:rsid w:val="003A67B8"/>
    <w:rsid w:val="003A6B27"/>
    <w:rsid w:val="003A6B5A"/>
    <w:rsid w:val="003A6C8B"/>
    <w:rsid w:val="003A6E1A"/>
    <w:rsid w:val="003A7228"/>
    <w:rsid w:val="003A734D"/>
    <w:rsid w:val="003A76C1"/>
    <w:rsid w:val="003A78E9"/>
    <w:rsid w:val="003A7953"/>
    <w:rsid w:val="003B05C4"/>
    <w:rsid w:val="003B0676"/>
    <w:rsid w:val="003B0784"/>
    <w:rsid w:val="003B0B82"/>
    <w:rsid w:val="003B0BA1"/>
    <w:rsid w:val="003B102D"/>
    <w:rsid w:val="003B1424"/>
    <w:rsid w:val="003B1581"/>
    <w:rsid w:val="003B1735"/>
    <w:rsid w:val="003B1764"/>
    <w:rsid w:val="003B190C"/>
    <w:rsid w:val="003B1A68"/>
    <w:rsid w:val="003B1C30"/>
    <w:rsid w:val="003B1E93"/>
    <w:rsid w:val="003B24BF"/>
    <w:rsid w:val="003B258E"/>
    <w:rsid w:val="003B2954"/>
    <w:rsid w:val="003B29D7"/>
    <w:rsid w:val="003B2A74"/>
    <w:rsid w:val="003B39D8"/>
    <w:rsid w:val="003B3A84"/>
    <w:rsid w:val="003B3C82"/>
    <w:rsid w:val="003B3FA5"/>
    <w:rsid w:val="003B426B"/>
    <w:rsid w:val="003B4493"/>
    <w:rsid w:val="003B4599"/>
    <w:rsid w:val="003B45EF"/>
    <w:rsid w:val="003B4658"/>
    <w:rsid w:val="003B475F"/>
    <w:rsid w:val="003B4CA3"/>
    <w:rsid w:val="003B4E93"/>
    <w:rsid w:val="003B51B6"/>
    <w:rsid w:val="003B5217"/>
    <w:rsid w:val="003B5B0A"/>
    <w:rsid w:val="003B61B7"/>
    <w:rsid w:val="003B6403"/>
    <w:rsid w:val="003B6590"/>
    <w:rsid w:val="003B6BCE"/>
    <w:rsid w:val="003B6D59"/>
    <w:rsid w:val="003B729B"/>
    <w:rsid w:val="003B7516"/>
    <w:rsid w:val="003B77AF"/>
    <w:rsid w:val="003C0088"/>
    <w:rsid w:val="003C00C1"/>
    <w:rsid w:val="003C0379"/>
    <w:rsid w:val="003C055A"/>
    <w:rsid w:val="003C0903"/>
    <w:rsid w:val="003C0CC2"/>
    <w:rsid w:val="003C1712"/>
    <w:rsid w:val="003C1AE2"/>
    <w:rsid w:val="003C1C45"/>
    <w:rsid w:val="003C1EC6"/>
    <w:rsid w:val="003C241A"/>
    <w:rsid w:val="003C2498"/>
    <w:rsid w:val="003C2A8E"/>
    <w:rsid w:val="003C32C5"/>
    <w:rsid w:val="003C3686"/>
    <w:rsid w:val="003C3D6D"/>
    <w:rsid w:val="003C3F39"/>
    <w:rsid w:val="003C414B"/>
    <w:rsid w:val="003C42A2"/>
    <w:rsid w:val="003C4474"/>
    <w:rsid w:val="003C4F8F"/>
    <w:rsid w:val="003C570B"/>
    <w:rsid w:val="003C5A1C"/>
    <w:rsid w:val="003C5C56"/>
    <w:rsid w:val="003C602C"/>
    <w:rsid w:val="003C61C0"/>
    <w:rsid w:val="003C68C2"/>
    <w:rsid w:val="003C6B59"/>
    <w:rsid w:val="003C6CD5"/>
    <w:rsid w:val="003C6CEE"/>
    <w:rsid w:val="003C702F"/>
    <w:rsid w:val="003C7728"/>
    <w:rsid w:val="003C784D"/>
    <w:rsid w:val="003C7876"/>
    <w:rsid w:val="003C7942"/>
    <w:rsid w:val="003D0592"/>
    <w:rsid w:val="003D07C5"/>
    <w:rsid w:val="003D0BC4"/>
    <w:rsid w:val="003D1053"/>
    <w:rsid w:val="003D113B"/>
    <w:rsid w:val="003D135E"/>
    <w:rsid w:val="003D13EE"/>
    <w:rsid w:val="003D1870"/>
    <w:rsid w:val="003D1942"/>
    <w:rsid w:val="003D1DA5"/>
    <w:rsid w:val="003D243F"/>
    <w:rsid w:val="003D2749"/>
    <w:rsid w:val="003D2994"/>
    <w:rsid w:val="003D299E"/>
    <w:rsid w:val="003D30F7"/>
    <w:rsid w:val="003D31C6"/>
    <w:rsid w:val="003D34DB"/>
    <w:rsid w:val="003D366D"/>
    <w:rsid w:val="003D37D6"/>
    <w:rsid w:val="003D3FA3"/>
    <w:rsid w:val="003D418D"/>
    <w:rsid w:val="003D45FF"/>
    <w:rsid w:val="003D4AAD"/>
    <w:rsid w:val="003D4C42"/>
    <w:rsid w:val="003D4F7F"/>
    <w:rsid w:val="003D55E1"/>
    <w:rsid w:val="003D5A3C"/>
    <w:rsid w:val="003D5A60"/>
    <w:rsid w:val="003D5AE9"/>
    <w:rsid w:val="003D5B4B"/>
    <w:rsid w:val="003D6383"/>
    <w:rsid w:val="003D63BE"/>
    <w:rsid w:val="003D641A"/>
    <w:rsid w:val="003D64FC"/>
    <w:rsid w:val="003D6DB9"/>
    <w:rsid w:val="003D6F47"/>
    <w:rsid w:val="003D6FB3"/>
    <w:rsid w:val="003D71EB"/>
    <w:rsid w:val="003D7AF1"/>
    <w:rsid w:val="003D7B27"/>
    <w:rsid w:val="003D7D86"/>
    <w:rsid w:val="003E0578"/>
    <w:rsid w:val="003E0955"/>
    <w:rsid w:val="003E0D16"/>
    <w:rsid w:val="003E0F2D"/>
    <w:rsid w:val="003E1377"/>
    <w:rsid w:val="003E142B"/>
    <w:rsid w:val="003E1660"/>
    <w:rsid w:val="003E16B0"/>
    <w:rsid w:val="003E1C3E"/>
    <w:rsid w:val="003E1FCB"/>
    <w:rsid w:val="003E22CB"/>
    <w:rsid w:val="003E2343"/>
    <w:rsid w:val="003E2573"/>
    <w:rsid w:val="003E277D"/>
    <w:rsid w:val="003E27B6"/>
    <w:rsid w:val="003E2862"/>
    <w:rsid w:val="003E30BC"/>
    <w:rsid w:val="003E31C8"/>
    <w:rsid w:val="003E36FC"/>
    <w:rsid w:val="003E38D9"/>
    <w:rsid w:val="003E38E3"/>
    <w:rsid w:val="003E3CB3"/>
    <w:rsid w:val="003E3D0E"/>
    <w:rsid w:val="003E3D4D"/>
    <w:rsid w:val="003E406B"/>
    <w:rsid w:val="003E43D3"/>
    <w:rsid w:val="003E4585"/>
    <w:rsid w:val="003E45BB"/>
    <w:rsid w:val="003E482C"/>
    <w:rsid w:val="003E4CAC"/>
    <w:rsid w:val="003E4DD1"/>
    <w:rsid w:val="003E4F96"/>
    <w:rsid w:val="003E5462"/>
    <w:rsid w:val="003E58E6"/>
    <w:rsid w:val="003E5CCA"/>
    <w:rsid w:val="003E63E2"/>
    <w:rsid w:val="003E6637"/>
    <w:rsid w:val="003E6A8E"/>
    <w:rsid w:val="003E6B08"/>
    <w:rsid w:val="003E6EA6"/>
    <w:rsid w:val="003E7773"/>
    <w:rsid w:val="003E799F"/>
    <w:rsid w:val="003E79CC"/>
    <w:rsid w:val="003E7D7C"/>
    <w:rsid w:val="003F063B"/>
    <w:rsid w:val="003F0EA5"/>
    <w:rsid w:val="003F0FBA"/>
    <w:rsid w:val="003F115E"/>
    <w:rsid w:val="003F14C2"/>
    <w:rsid w:val="003F2210"/>
    <w:rsid w:val="003F2970"/>
    <w:rsid w:val="003F2B90"/>
    <w:rsid w:val="003F31B5"/>
    <w:rsid w:val="003F33AC"/>
    <w:rsid w:val="003F33C6"/>
    <w:rsid w:val="003F33FD"/>
    <w:rsid w:val="003F3A4A"/>
    <w:rsid w:val="003F3C13"/>
    <w:rsid w:val="003F3DCB"/>
    <w:rsid w:val="003F416A"/>
    <w:rsid w:val="003F4734"/>
    <w:rsid w:val="003F4A51"/>
    <w:rsid w:val="003F4D08"/>
    <w:rsid w:val="003F5258"/>
    <w:rsid w:val="003F535C"/>
    <w:rsid w:val="003F59CB"/>
    <w:rsid w:val="003F5CCF"/>
    <w:rsid w:val="003F661C"/>
    <w:rsid w:val="003F66CD"/>
    <w:rsid w:val="003F6730"/>
    <w:rsid w:val="003F6B38"/>
    <w:rsid w:val="003F6F7D"/>
    <w:rsid w:val="003F7156"/>
    <w:rsid w:val="003F7196"/>
    <w:rsid w:val="003F7902"/>
    <w:rsid w:val="003F7E35"/>
    <w:rsid w:val="0040006B"/>
    <w:rsid w:val="0040007F"/>
    <w:rsid w:val="004005A7"/>
    <w:rsid w:val="004008AF"/>
    <w:rsid w:val="004009E3"/>
    <w:rsid w:val="00400A43"/>
    <w:rsid w:val="00400A89"/>
    <w:rsid w:val="00400B5F"/>
    <w:rsid w:val="00400DBE"/>
    <w:rsid w:val="00400FB5"/>
    <w:rsid w:val="0040140C"/>
    <w:rsid w:val="0040159B"/>
    <w:rsid w:val="004015DA"/>
    <w:rsid w:val="0040160B"/>
    <w:rsid w:val="00401846"/>
    <w:rsid w:val="00401A40"/>
    <w:rsid w:val="00401D33"/>
    <w:rsid w:val="00401D85"/>
    <w:rsid w:val="00401DBF"/>
    <w:rsid w:val="00401EBF"/>
    <w:rsid w:val="0040234C"/>
    <w:rsid w:val="0040248D"/>
    <w:rsid w:val="00402536"/>
    <w:rsid w:val="004025E1"/>
    <w:rsid w:val="00402839"/>
    <w:rsid w:val="00402E1F"/>
    <w:rsid w:val="0040320A"/>
    <w:rsid w:val="004033D9"/>
    <w:rsid w:val="00403445"/>
    <w:rsid w:val="004036CB"/>
    <w:rsid w:val="004037E4"/>
    <w:rsid w:val="004038F1"/>
    <w:rsid w:val="00403C97"/>
    <w:rsid w:val="00403D68"/>
    <w:rsid w:val="00404081"/>
    <w:rsid w:val="004049AB"/>
    <w:rsid w:val="00404A94"/>
    <w:rsid w:val="00404FAA"/>
    <w:rsid w:val="0040551F"/>
    <w:rsid w:val="00405839"/>
    <w:rsid w:val="00405C26"/>
    <w:rsid w:val="00405CDA"/>
    <w:rsid w:val="00405FA8"/>
    <w:rsid w:val="00406063"/>
    <w:rsid w:val="00406311"/>
    <w:rsid w:val="0040648D"/>
    <w:rsid w:val="0040651D"/>
    <w:rsid w:val="00406637"/>
    <w:rsid w:val="004067BD"/>
    <w:rsid w:val="00407251"/>
    <w:rsid w:val="00407339"/>
    <w:rsid w:val="0040771F"/>
    <w:rsid w:val="00407CBA"/>
    <w:rsid w:val="00410388"/>
    <w:rsid w:val="0041099F"/>
    <w:rsid w:val="00410C16"/>
    <w:rsid w:val="004111F7"/>
    <w:rsid w:val="0041196E"/>
    <w:rsid w:val="0041209A"/>
    <w:rsid w:val="0041217D"/>
    <w:rsid w:val="004121A8"/>
    <w:rsid w:val="004125C6"/>
    <w:rsid w:val="0041275F"/>
    <w:rsid w:val="00412F59"/>
    <w:rsid w:val="00412F9B"/>
    <w:rsid w:val="0041318B"/>
    <w:rsid w:val="00413D16"/>
    <w:rsid w:val="00413D4B"/>
    <w:rsid w:val="00414057"/>
    <w:rsid w:val="004141A6"/>
    <w:rsid w:val="00414374"/>
    <w:rsid w:val="0041482F"/>
    <w:rsid w:val="00414DD1"/>
    <w:rsid w:val="00414DDD"/>
    <w:rsid w:val="00415317"/>
    <w:rsid w:val="00415CA4"/>
    <w:rsid w:val="00415E5E"/>
    <w:rsid w:val="00416157"/>
    <w:rsid w:val="00416201"/>
    <w:rsid w:val="0041654B"/>
    <w:rsid w:val="00416605"/>
    <w:rsid w:val="0041678F"/>
    <w:rsid w:val="0041686C"/>
    <w:rsid w:val="0041696A"/>
    <w:rsid w:val="00417135"/>
    <w:rsid w:val="00417703"/>
    <w:rsid w:val="00417719"/>
    <w:rsid w:val="00417B66"/>
    <w:rsid w:val="00417D3F"/>
    <w:rsid w:val="00417FC8"/>
    <w:rsid w:val="00420357"/>
    <w:rsid w:val="00420905"/>
    <w:rsid w:val="00420E5C"/>
    <w:rsid w:val="004211F7"/>
    <w:rsid w:val="004213F3"/>
    <w:rsid w:val="00421574"/>
    <w:rsid w:val="0042158E"/>
    <w:rsid w:val="00421769"/>
    <w:rsid w:val="00421A89"/>
    <w:rsid w:val="00421B57"/>
    <w:rsid w:val="00421EBC"/>
    <w:rsid w:val="00422011"/>
    <w:rsid w:val="004220C3"/>
    <w:rsid w:val="004221CF"/>
    <w:rsid w:val="00422A3B"/>
    <w:rsid w:val="00422B4A"/>
    <w:rsid w:val="00422E9E"/>
    <w:rsid w:val="0042304B"/>
    <w:rsid w:val="0042345D"/>
    <w:rsid w:val="0042346C"/>
    <w:rsid w:val="00423D1E"/>
    <w:rsid w:val="00424084"/>
    <w:rsid w:val="0042430F"/>
    <w:rsid w:val="00424350"/>
    <w:rsid w:val="004243C8"/>
    <w:rsid w:val="00424860"/>
    <w:rsid w:val="00424E15"/>
    <w:rsid w:val="00425222"/>
    <w:rsid w:val="0042528B"/>
    <w:rsid w:val="004252A3"/>
    <w:rsid w:val="004254C8"/>
    <w:rsid w:val="004255F3"/>
    <w:rsid w:val="00425756"/>
    <w:rsid w:val="00425942"/>
    <w:rsid w:val="004263A2"/>
    <w:rsid w:val="004269BF"/>
    <w:rsid w:val="004269FC"/>
    <w:rsid w:val="00426E2B"/>
    <w:rsid w:val="00427049"/>
    <w:rsid w:val="004271CC"/>
    <w:rsid w:val="004273AD"/>
    <w:rsid w:val="00427571"/>
    <w:rsid w:val="00427B69"/>
    <w:rsid w:val="00427CD6"/>
    <w:rsid w:val="00430168"/>
    <w:rsid w:val="00430259"/>
    <w:rsid w:val="004303CB"/>
    <w:rsid w:val="004303E4"/>
    <w:rsid w:val="004305AE"/>
    <w:rsid w:val="004305F9"/>
    <w:rsid w:val="004308AF"/>
    <w:rsid w:val="00430C8A"/>
    <w:rsid w:val="00430F64"/>
    <w:rsid w:val="00431418"/>
    <w:rsid w:val="00431800"/>
    <w:rsid w:val="00431A41"/>
    <w:rsid w:val="00431B16"/>
    <w:rsid w:val="00431C3C"/>
    <w:rsid w:val="00431D87"/>
    <w:rsid w:val="00431F2E"/>
    <w:rsid w:val="0043219F"/>
    <w:rsid w:val="00432616"/>
    <w:rsid w:val="004327D0"/>
    <w:rsid w:val="00433541"/>
    <w:rsid w:val="00433730"/>
    <w:rsid w:val="0043386C"/>
    <w:rsid w:val="00433907"/>
    <w:rsid w:val="00433D5F"/>
    <w:rsid w:val="00434170"/>
    <w:rsid w:val="0043430B"/>
    <w:rsid w:val="00434415"/>
    <w:rsid w:val="00434D1D"/>
    <w:rsid w:val="00434FBF"/>
    <w:rsid w:val="00435973"/>
    <w:rsid w:val="004360A1"/>
    <w:rsid w:val="00436243"/>
    <w:rsid w:val="00436514"/>
    <w:rsid w:val="0043690C"/>
    <w:rsid w:val="00436E6D"/>
    <w:rsid w:val="00437935"/>
    <w:rsid w:val="00437C89"/>
    <w:rsid w:val="004402C3"/>
    <w:rsid w:val="004408AF"/>
    <w:rsid w:val="00440A98"/>
    <w:rsid w:val="00440AE4"/>
    <w:rsid w:val="00440DDC"/>
    <w:rsid w:val="004411DB"/>
    <w:rsid w:val="00441573"/>
    <w:rsid w:val="00441931"/>
    <w:rsid w:val="00441B36"/>
    <w:rsid w:val="00441CD5"/>
    <w:rsid w:val="00441F9D"/>
    <w:rsid w:val="004421FE"/>
    <w:rsid w:val="004423F7"/>
    <w:rsid w:val="004427CD"/>
    <w:rsid w:val="004428E4"/>
    <w:rsid w:val="00442A49"/>
    <w:rsid w:val="00442CF1"/>
    <w:rsid w:val="00443335"/>
    <w:rsid w:val="004435C3"/>
    <w:rsid w:val="00443D26"/>
    <w:rsid w:val="00444467"/>
    <w:rsid w:val="004444B2"/>
    <w:rsid w:val="0044456B"/>
    <w:rsid w:val="0044469A"/>
    <w:rsid w:val="004446AC"/>
    <w:rsid w:val="00444B34"/>
    <w:rsid w:val="00444B94"/>
    <w:rsid w:val="00444DD5"/>
    <w:rsid w:val="00444FB3"/>
    <w:rsid w:val="00445171"/>
    <w:rsid w:val="00445A3B"/>
    <w:rsid w:val="00445ED6"/>
    <w:rsid w:val="0044642C"/>
    <w:rsid w:val="00446632"/>
    <w:rsid w:val="00446825"/>
    <w:rsid w:val="0044690B"/>
    <w:rsid w:val="00446BBE"/>
    <w:rsid w:val="004475A2"/>
    <w:rsid w:val="0044782C"/>
    <w:rsid w:val="00447A70"/>
    <w:rsid w:val="0045093D"/>
    <w:rsid w:val="00450F9F"/>
    <w:rsid w:val="0045111E"/>
    <w:rsid w:val="004511EF"/>
    <w:rsid w:val="00451363"/>
    <w:rsid w:val="004515EE"/>
    <w:rsid w:val="00451645"/>
    <w:rsid w:val="00451C46"/>
    <w:rsid w:val="00451E5F"/>
    <w:rsid w:val="004520F0"/>
    <w:rsid w:val="00452254"/>
    <w:rsid w:val="0045237E"/>
    <w:rsid w:val="004523D6"/>
    <w:rsid w:val="004523EF"/>
    <w:rsid w:val="004526BD"/>
    <w:rsid w:val="004528D6"/>
    <w:rsid w:val="00452A26"/>
    <w:rsid w:val="00452C2A"/>
    <w:rsid w:val="00452FF5"/>
    <w:rsid w:val="00452FFF"/>
    <w:rsid w:val="00453359"/>
    <w:rsid w:val="004535B0"/>
    <w:rsid w:val="00453B78"/>
    <w:rsid w:val="00454071"/>
    <w:rsid w:val="004543B9"/>
    <w:rsid w:val="00454674"/>
    <w:rsid w:val="00454693"/>
    <w:rsid w:val="0045498D"/>
    <w:rsid w:val="004549FF"/>
    <w:rsid w:val="00454AB3"/>
    <w:rsid w:val="00454CD4"/>
    <w:rsid w:val="00454F8E"/>
    <w:rsid w:val="004552C4"/>
    <w:rsid w:val="004552F8"/>
    <w:rsid w:val="00456811"/>
    <w:rsid w:val="00456A1D"/>
    <w:rsid w:val="00456CEA"/>
    <w:rsid w:val="00456FEB"/>
    <w:rsid w:val="00457106"/>
    <w:rsid w:val="0045765E"/>
    <w:rsid w:val="004578EF"/>
    <w:rsid w:val="00457CB4"/>
    <w:rsid w:val="00457E89"/>
    <w:rsid w:val="004604AF"/>
    <w:rsid w:val="004606ED"/>
    <w:rsid w:val="00460A26"/>
    <w:rsid w:val="00460C53"/>
    <w:rsid w:val="00460DEA"/>
    <w:rsid w:val="0046165F"/>
    <w:rsid w:val="00461989"/>
    <w:rsid w:val="00461A78"/>
    <w:rsid w:val="00462778"/>
    <w:rsid w:val="004628AB"/>
    <w:rsid w:val="00462994"/>
    <w:rsid w:val="00462BA5"/>
    <w:rsid w:val="00462EAF"/>
    <w:rsid w:val="00463B65"/>
    <w:rsid w:val="00463CA9"/>
    <w:rsid w:val="0046401D"/>
    <w:rsid w:val="0046434D"/>
    <w:rsid w:val="00464A28"/>
    <w:rsid w:val="00464C0D"/>
    <w:rsid w:val="00464F04"/>
    <w:rsid w:val="00464F6C"/>
    <w:rsid w:val="00465174"/>
    <w:rsid w:val="004654F8"/>
    <w:rsid w:val="0046555F"/>
    <w:rsid w:val="00465AF9"/>
    <w:rsid w:val="00465CE5"/>
    <w:rsid w:val="00466C2B"/>
    <w:rsid w:val="0046713F"/>
    <w:rsid w:val="004676D7"/>
    <w:rsid w:val="00467A30"/>
    <w:rsid w:val="00467F7E"/>
    <w:rsid w:val="00471BD3"/>
    <w:rsid w:val="00471D0D"/>
    <w:rsid w:val="00471D84"/>
    <w:rsid w:val="00471E50"/>
    <w:rsid w:val="00472349"/>
    <w:rsid w:val="004729EC"/>
    <w:rsid w:val="00472EFF"/>
    <w:rsid w:val="00473558"/>
    <w:rsid w:val="00473714"/>
    <w:rsid w:val="0047391F"/>
    <w:rsid w:val="00474086"/>
    <w:rsid w:val="00474131"/>
    <w:rsid w:val="004742B5"/>
    <w:rsid w:val="0047457D"/>
    <w:rsid w:val="004746FD"/>
    <w:rsid w:val="00474829"/>
    <w:rsid w:val="00474958"/>
    <w:rsid w:val="00474E01"/>
    <w:rsid w:val="00475A2C"/>
    <w:rsid w:val="00475A59"/>
    <w:rsid w:val="00476083"/>
    <w:rsid w:val="004761C2"/>
    <w:rsid w:val="0047649F"/>
    <w:rsid w:val="00476B32"/>
    <w:rsid w:val="00476F0E"/>
    <w:rsid w:val="00477006"/>
    <w:rsid w:val="00477060"/>
    <w:rsid w:val="00477102"/>
    <w:rsid w:val="00477B03"/>
    <w:rsid w:val="00477FED"/>
    <w:rsid w:val="0048022D"/>
    <w:rsid w:val="00480230"/>
    <w:rsid w:val="004802BB"/>
    <w:rsid w:val="0048079D"/>
    <w:rsid w:val="004808BF"/>
    <w:rsid w:val="00480C52"/>
    <w:rsid w:val="00480E7B"/>
    <w:rsid w:val="004813EF"/>
    <w:rsid w:val="004817AB"/>
    <w:rsid w:val="00481AFE"/>
    <w:rsid w:val="00481FDC"/>
    <w:rsid w:val="004827F7"/>
    <w:rsid w:val="00482804"/>
    <w:rsid w:val="00482B47"/>
    <w:rsid w:val="00482B66"/>
    <w:rsid w:val="0048323E"/>
    <w:rsid w:val="00483418"/>
    <w:rsid w:val="00483631"/>
    <w:rsid w:val="00483A0B"/>
    <w:rsid w:val="00483BF9"/>
    <w:rsid w:val="00483C12"/>
    <w:rsid w:val="00483C15"/>
    <w:rsid w:val="004841D4"/>
    <w:rsid w:val="004842F2"/>
    <w:rsid w:val="00484324"/>
    <w:rsid w:val="00484DC5"/>
    <w:rsid w:val="00484FCB"/>
    <w:rsid w:val="004854FB"/>
    <w:rsid w:val="00485553"/>
    <w:rsid w:val="00485611"/>
    <w:rsid w:val="00485675"/>
    <w:rsid w:val="00485857"/>
    <w:rsid w:val="00485941"/>
    <w:rsid w:val="00485FAE"/>
    <w:rsid w:val="004864D2"/>
    <w:rsid w:val="00486502"/>
    <w:rsid w:val="00486BBC"/>
    <w:rsid w:val="00486BD9"/>
    <w:rsid w:val="00486BE1"/>
    <w:rsid w:val="00486DC7"/>
    <w:rsid w:val="00486E50"/>
    <w:rsid w:val="004870F9"/>
    <w:rsid w:val="0048726F"/>
    <w:rsid w:val="00487519"/>
    <w:rsid w:val="00487889"/>
    <w:rsid w:val="00487C85"/>
    <w:rsid w:val="00490D91"/>
    <w:rsid w:val="00490DC4"/>
    <w:rsid w:val="004911F9"/>
    <w:rsid w:val="0049136B"/>
    <w:rsid w:val="004915E4"/>
    <w:rsid w:val="00491770"/>
    <w:rsid w:val="004918D3"/>
    <w:rsid w:val="00492299"/>
    <w:rsid w:val="00492349"/>
    <w:rsid w:val="004925B3"/>
    <w:rsid w:val="004925EC"/>
    <w:rsid w:val="0049271B"/>
    <w:rsid w:val="004927F6"/>
    <w:rsid w:val="00492B7F"/>
    <w:rsid w:val="00493009"/>
    <w:rsid w:val="004932C5"/>
    <w:rsid w:val="00493343"/>
    <w:rsid w:val="004933DD"/>
    <w:rsid w:val="00493599"/>
    <w:rsid w:val="0049366D"/>
    <w:rsid w:val="00493BAB"/>
    <w:rsid w:val="00493C36"/>
    <w:rsid w:val="00493C6B"/>
    <w:rsid w:val="00493D83"/>
    <w:rsid w:val="0049496E"/>
    <w:rsid w:val="00494A57"/>
    <w:rsid w:val="00494F64"/>
    <w:rsid w:val="004952F4"/>
    <w:rsid w:val="0049558E"/>
    <w:rsid w:val="00495646"/>
    <w:rsid w:val="00496250"/>
    <w:rsid w:val="004963AA"/>
    <w:rsid w:val="0049640D"/>
    <w:rsid w:val="00496522"/>
    <w:rsid w:val="00496C7B"/>
    <w:rsid w:val="00496F3F"/>
    <w:rsid w:val="004976FE"/>
    <w:rsid w:val="004979FB"/>
    <w:rsid w:val="00497A9A"/>
    <w:rsid w:val="00497B9F"/>
    <w:rsid w:val="004A0115"/>
    <w:rsid w:val="004A035A"/>
    <w:rsid w:val="004A0A6E"/>
    <w:rsid w:val="004A0B07"/>
    <w:rsid w:val="004A0B53"/>
    <w:rsid w:val="004A0BE7"/>
    <w:rsid w:val="004A0C05"/>
    <w:rsid w:val="004A0DF1"/>
    <w:rsid w:val="004A0E14"/>
    <w:rsid w:val="004A0FB8"/>
    <w:rsid w:val="004A1418"/>
    <w:rsid w:val="004A141B"/>
    <w:rsid w:val="004A152D"/>
    <w:rsid w:val="004A1774"/>
    <w:rsid w:val="004A1BCB"/>
    <w:rsid w:val="004A1CD8"/>
    <w:rsid w:val="004A1F4E"/>
    <w:rsid w:val="004A1F6D"/>
    <w:rsid w:val="004A2084"/>
    <w:rsid w:val="004A21C1"/>
    <w:rsid w:val="004A2260"/>
    <w:rsid w:val="004A25B1"/>
    <w:rsid w:val="004A35F6"/>
    <w:rsid w:val="004A3639"/>
    <w:rsid w:val="004A3662"/>
    <w:rsid w:val="004A3759"/>
    <w:rsid w:val="004A3826"/>
    <w:rsid w:val="004A38A1"/>
    <w:rsid w:val="004A38FB"/>
    <w:rsid w:val="004A3F66"/>
    <w:rsid w:val="004A4430"/>
    <w:rsid w:val="004A44D2"/>
    <w:rsid w:val="004A455E"/>
    <w:rsid w:val="004A49C1"/>
    <w:rsid w:val="004A4B97"/>
    <w:rsid w:val="004A4DEB"/>
    <w:rsid w:val="004A4FDF"/>
    <w:rsid w:val="004A5489"/>
    <w:rsid w:val="004A55BA"/>
    <w:rsid w:val="004A55CC"/>
    <w:rsid w:val="004A58BA"/>
    <w:rsid w:val="004A5CB4"/>
    <w:rsid w:val="004A5D0E"/>
    <w:rsid w:val="004A5E73"/>
    <w:rsid w:val="004A5F21"/>
    <w:rsid w:val="004A6602"/>
    <w:rsid w:val="004A684E"/>
    <w:rsid w:val="004A7177"/>
    <w:rsid w:val="004A7A52"/>
    <w:rsid w:val="004A7CFD"/>
    <w:rsid w:val="004B0BA9"/>
    <w:rsid w:val="004B0C5C"/>
    <w:rsid w:val="004B0FB8"/>
    <w:rsid w:val="004B129E"/>
    <w:rsid w:val="004B13D2"/>
    <w:rsid w:val="004B1503"/>
    <w:rsid w:val="004B1839"/>
    <w:rsid w:val="004B19FE"/>
    <w:rsid w:val="004B2015"/>
    <w:rsid w:val="004B2592"/>
    <w:rsid w:val="004B2902"/>
    <w:rsid w:val="004B299D"/>
    <w:rsid w:val="004B2A4D"/>
    <w:rsid w:val="004B2C0F"/>
    <w:rsid w:val="004B2F45"/>
    <w:rsid w:val="004B33C2"/>
    <w:rsid w:val="004B35DA"/>
    <w:rsid w:val="004B3998"/>
    <w:rsid w:val="004B3EF6"/>
    <w:rsid w:val="004B3F50"/>
    <w:rsid w:val="004B4214"/>
    <w:rsid w:val="004B4BD1"/>
    <w:rsid w:val="004B50B8"/>
    <w:rsid w:val="004B52AC"/>
    <w:rsid w:val="004B5300"/>
    <w:rsid w:val="004B58EF"/>
    <w:rsid w:val="004B5907"/>
    <w:rsid w:val="004B5AE6"/>
    <w:rsid w:val="004B5D0F"/>
    <w:rsid w:val="004B5F07"/>
    <w:rsid w:val="004B64DC"/>
    <w:rsid w:val="004B689D"/>
    <w:rsid w:val="004B6B46"/>
    <w:rsid w:val="004B7CE3"/>
    <w:rsid w:val="004B7E09"/>
    <w:rsid w:val="004C0302"/>
    <w:rsid w:val="004C0A49"/>
    <w:rsid w:val="004C0BE0"/>
    <w:rsid w:val="004C0D95"/>
    <w:rsid w:val="004C0E97"/>
    <w:rsid w:val="004C12B2"/>
    <w:rsid w:val="004C163B"/>
    <w:rsid w:val="004C1A32"/>
    <w:rsid w:val="004C1C24"/>
    <w:rsid w:val="004C1F36"/>
    <w:rsid w:val="004C284C"/>
    <w:rsid w:val="004C29C5"/>
    <w:rsid w:val="004C2AC8"/>
    <w:rsid w:val="004C2CA7"/>
    <w:rsid w:val="004C2F23"/>
    <w:rsid w:val="004C320E"/>
    <w:rsid w:val="004C386C"/>
    <w:rsid w:val="004C3D64"/>
    <w:rsid w:val="004C4316"/>
    <w:rsid w:val="004C487F"/>
    <w:rsid w:val="004C48C8"/>
    <w:rsid w:val="004C48E8"/>
    <w:rsid w:val="004C494A"/>
    <w:rsid w:val="004C51BF"/>
    <w:rsid w:val="004C5549"/>
    <w:rsid w:val="004C598D"/>
    <w:rsid w:val="004C5D96"/>
    <w:rsid w:val="004C657D"/>
    <w:rsid w:val="004C6764"/>
    <w:rsid w:val="004C678E"/>
    <w:rsid w:val="004C67D5"/>
    <w:rsid w:val="004C6B48"/>
    <w:rsid w:val="004C6B79"/>
    <w:rsid w:val="004C6CD3"/>
    <w:rsid w:val="004C6CF9"/>
    <w:rsid w:val="004C6D3D"/>
    <w:rsid w:val="004C6ED9"/>
    <w:rsid w:val="004C7118"/>
    <w:rsid w:val="004C7176"/>
    <w:rsid w:val="004C7249"/>
    <w:rsid w:val="004C72F5"/>
    <w:rsid w:val="004C7BC8"/>
    <w:rsid w:val="004C7D0A"/>
    <w:rsid w:val="004D003E"/>
    <w:rsid w:val="004D0C14"/>
    <w:rsid w:val="004D0D98"/>
    <w:rsid w:val="004D0FD7"/>
    <w:rsid w:val="004D134D"/>
    <w:rsid w:val="004D1B23"/>
    <w:rsid w:val="004D1D64"/>
    <w:rsid w:val="004D26B0"/>
    <w:rsid w:val="004D2C44"/>
    <w:rsid w:val="004D2EF6"/>
    <w:rsid w:val="004D3897"/>
    <w:rsid w:val="004D4425"/>
    <w:rsid w:val="004D47CF"/>
    <w:rsid w:val="004D4CF1"/>
    <w:rsid w:val="004D4D8A"/>
    <w:rsid w:val="004D4F8A"/>
    <w:rsid w:val="004D546A"/>
    <w:rsid w:val="004D5ACF"/>
    <w:rsid w:val="004D5BE6"/>
    <w:rsid w:val="004D5E8E"/>
    <w:rsid w:val="004D60C1"/>
    <w:rsid w:val="004D6287"/>
    <w:rsid w:val="004D647E"/>
    <w:rsid w:val="004D69D5"/>
    <w:rsid w:val="004D6C03"/>
    <w:rsid w:val="004D732E"/>
    <w:rsid w:val="004D7367"/>
    <w:rsid w:val="004D7399"/>
    <w:rsid w:val="004D77E1"/>
    <w:rsid w:val="004E01F2"/>
    <w:rsid w:val="004E0772"/>
    <w:rsid w:val="004E0A58"/>
    <w:rsid w:val="004E0F0B"/>
    <w:rsid w:val="004E122B"/>
    <w:rsid w:val="004E1867"/>
    <w:rsid w:val="004E1AA9"/>
    <w:rsid w:val="004E1BF5"/>
    <w:rsid w:val="004E1C61"/>
    <w:rsid w:val="004E2127"/>
    <w:rsid w:val="004E2298"/>
    <w:rsid w:val="004E229F"/>
    <w:rsid w:val="004E2501"/>
    <w:rsid w:val="004E2BD6"/>
    <w:rsid w:val="004E3326"/>
    <w:rsid w:val="004E33A5"/>
    <w:rsid w:val="004E3522"/>
    <w:rsid w:val="004E359E"/>
    <w:rsid w:val="004E3650"/>
    <w:rsid w:val="004E38FA"/>
    <w:rsid w:val="004E3B14"/>
    <w:rsid w:val="004E3B54"/>
    <w:rsid w:val="004E3DA6"/>
    <w:rsid w:val="004E40BD"/>
    <w:rsid w:val="004E44A9"/>
    <w:rsid w:val="004E5489"/>
    <w:rsid w:val="004E566D"/>
    <w:rsid w:val="004E56D2"/>
    <w:rsid w:val="004E5713"/>
    <w:rsid w:val="004E57A4"/>
    <w:rsid w:val="004E594F"/>
    <w:rsid w:val="004E59F9"/>
    <w:rsid w:val="004E5DD5"/>
    <w:rsid w:val="004E68E1"/>
    <w:rsid w:val="004E6AC1"/>
    <w:rsid w:val="004E6C6E"/>
    <w:rsid w:val="004E72C3"/>
    <w:rsid w:val="004E75CD"/>
    <w:rsid w:val="004F05DA"/>
    <w:rsid w:val="004F0D9B"/>
    <w:rsid w:val="004F1024"/>
    <w:rsid w:val="004F11B9"/>
    <w:rsid w:val="004F11E7"/>
    <w:rsid w:val="004F13DE"/>
    <w:rsid w:val="004F1762"/>
    <w:rsid w:val="004F18F4"/>
    <w:rsid w:val="004F1F18"/>
    <w:rsid w:val="004F2E12"/>
    <w:rsid w:val="004F2F63"/>
    <w:rsid w:val="004F3398"/>
    <w:rsid w:val="004F3C3C"/>
    <w:rsid w:val="004F3F04"/>
    <w:rsid w:val="004F3F7C"/>
    <w:rsid w:val="004F49B1"/>
    <w:rsid w:val="004F4C00"/>
    <w:rsid w:val="004F4E8B"/>
    <w:rsid w:val="004F50D2"/>
    <w:rsid w:val="004F5A02"/>
    <w:rsid w:val="004F5B9B"/>
    <w:rsid w:val="004F5C27"/>
    <w:rsid w:val="004F5F00"/>
    <w:rsid w:val="004F6020"/>
    <w:rsid w:val="004F6184"/>
    <w:rsid w:val="004F61DC"/>
    <w:rsid w:val="004F62A8"/>
    <w:rsid w:val="004F639D"/>
    <w:rsid w:val="004F6465"/>
    <w:rsid w:val="004F646A"/>
    <w:rsid w:val="004F6AD3"/>
    <w:rsid w:val="004F6BC6"/>
    <w:rsid w:val="004F6BCD"/>
    <w:rsid w:val="004F6BD0"/>
    <w:rsid w:val="004F7004"/>
    <w:rsid w:val="004F7588"/>
    <w:rsid w:val="004F7688"/>
    <w:rsid w:val="004F7A58"/>
    <w:rsid w:val="00500366"/>
    <w:rsid w:val="005004DE"/>
    <w:rsid w:val="005009E8"/>
    <w:rsid w:val="00500C1E"/>
    <w:rsid w:val="005012DF"/>
    <w:rsid w:val="00501386"/>
    <w:rsid w:val="00501899"/>
    <w:rsid w:val="0050195F"/>
    <w:rsid w:val="00501BD9"/>
    <w:rsid w:val="00501C25"/>
    <w:rsid w:val="00502139"/>
    <w:rsid w:val="00502542"/>
    <w:rsid w:val="005027A6"/>
    <w:rsid w:val="00502A96"/>
    <w:rsid w:val="00502B28"/>
    <w:rsid w:val="00502DAE"/>
    <w:rsid w:val="00502DC5"/>
    <w:rsid w:val="00502DD9"/>
    <w:rsid w:val="00502F41"/>
    <w:rsid w:val="00502FFB"/>
    <w:rsid w:val="005038A0"/>
    <w:rsid w:val="0050390D"/>
    <w:rsid w:val="005039CC"/>
    <w:rsid w:val="00503B97"/>
    <w:rsid w:val="00503C94"/>
    <w:rsid w:val="00504638"/>
    <w:rsid w:val="00504684"/>
    <w:rsid w:val="00504752"/>
    <w:rsid w:val="00504918"/>
    <w:rsid w:val="00504A82"/>
    <w:rsid w:val="00505148"/>
    <w:rsid w:val="005052F3"/>
    <w:rsid w:val="0050550B"/>
    <w:rsid w:val="0050557D"/>
    <w:rsid w:val="00505E19"/>
    <w:rsid w:val="00505E6D"/>
    <w:rsid w:val="00505EFB"/>
    <w:rsid w:val="00506346"/>
    <w:rsid w:val="00506470"/>
    <w:rsid w:val="00506D73"/>
    <w:rsid w:val="00506D9B"/>
    <w:rsid w:val="00506DC7"/>
    <w:rsid w:val="00507B26"/>
    <w:rsid w:val="00507BF4"/>
    <w:rsid w:val="00507C05"/>
    <w:rsid w:val="00507D55"/>
    <w:rsid w:val="00507EB4"/>
    <w:rsid w:val="00507FB1"/>
    <w:rsid w:val="0051010E"/>
    <w:rsid w:val="0051017B"/>
    <w:rsid w:val="005103C5"/>
    <w:rsid w:val="0051042F"/>
    <w:rsid w:val="0051072F"/>
    <w:rsid w:val="005109C2"/>
    <w:rsid w:val="005109C5"/>
    <w:rsid w:val="00510C13"/>
    <w:rsid w:val="00511B30"/>
    <w:rsid w:val="00511E4C"/>
    <w:rsid w:val="00511F98"/>
    <w:rsid w:val="00512306"/>
    <w:rsid w:val="005127F6"/>
    <w:rsid w:val="005131D3"/>
    <w:rsid w:val="00513284"/>
    <w:rsid w:val="0051352C"/>
    <w:rsid w:val="00513662"/>
    <w:rsid w:val="0051397B"/>
    <w:rsid w:val="00513D3E"/>
    <w:rsid w:val="00513DC4"/>
    <w:rsid w:val="00513DD8"/>
    <w:rsid w:val="0051421C"/>
    <w:rsid w:val="005142FC"/>
    <w:rsid w:val="005146A5"/>
    <w:rsid w:val="00514752"/>
    <w:rsid w:val="00514E30"/>
    <w:rsid w:val="00514FC2"/>
    <w:rsid w:val="00515316"/>
    <w:rsid w:val="00515A8D"/>
    <w:rsid w:val="00515BA5"/>
    <w:rsid w:val="00515BFA"/>
    <w:rsid w:val="00516459"/>
    <w:rsid w:val="0051715C"/>
    <w:rsid w:val="0051734C"/>
    <w:rsid w:val="0051734D"/>
    <w:rsid w:val="005173B9"/>
    <w:rsid w:val="005174AF"/>
    <w:rsid w:val="00517866"/>
    <w:rsid w:val="00517A86"/>
    <w:rsid w:val="00517EAF"/>
    <w:rsid w:val="00520884"/>
    <w:rsid w:val="00520927"/>
    <w:rsid w:val="005209F3"/>
    <w:rsid w:val="00520CA3"/>
    <w:rsid w:val="00520D50"/>
    <w:rsid w:val="00520FC7"/>
    <w:rsid w:val="0052105A"/>
    <w:rsid w:val="00521329"/>
    <w:rsid w:val="0052136C"/>
    <w:rsid w:val="00521512"/>
    <w:rsid w:val="00521702"/>
    <w:rsid w:val="0052188A"/>
    <w:rsid w:val="005218AB"/>
    <w:rsid w:val="00521CC2"/>
    <w:rsid w:val="00521E1F"/>
    <w:rsid w:val="00521ECA"/>
    <w:rsid w:val="00521F58"/>
    <w:rsid w:val="00522286"/>
    <w:rsid w:val="005223E7"/>
    <w:rsid w:val="005227A9"/>
    <w:rsid w:val="00522918"/>
    <w:rsid w:val="00522C5B"/>
    <w:rsid w:val="00522E0E"/>
    <w:rsid w:val="00522ECE"/>
    <w:rsid w:val="0052349D"/>
    <w:rsid w:val="005235E0"/>
    <w:rsid w:val="00523666"/>
    <w:rsid w:val="005236BB"/>
    <w:rsid w:val="00523D9D"/>
    <w:rsid w:val="005240DF"/>
    <w:rsid w:val="0052422E"/>
    <w:rsid w:val="0052486D"/>
    <w:rsid w:val="005248D1"/>
    <w:rsid w:val="005249F6"/>
    <w:rsid w:val="00524B8B"/>
    <w:rsid w:val="00524BE8"/>
    <w:rsid w:val="0052575D"/>
    <w:rsid w:val="00525E79"/>
    <w:rsid w:val="00525F13"/>
    <w:rsid w:val="00525F72"/>
    <w:rsid w:val="0052641A"/>
    <w:rsid w:val="00526511"/>
    <w:rsid w:val="00526C92"/>
    <w:rsid w:val="005270A1"/>
    <w:rsid w:val="0052730D"/>
    <w:rsid w:val="00527503"/>
    <w:rsid w:val="005275D5"/>
    <w:rsid w:val="005275FC"/>
    <w:rsid w:val="0052768C"/>
    <w:rsid w:val="00527D3F"/>
    <w:rsid w:val="00527E5E"/>
    <w:rsid w:val="00527F47"/>
    <w:rsid w:val="00530078"/>
    <w:rsid w:val="005302A9"/>
    <w:rsid w:val="0053037E"/>
    <w:rsid w:val="00530896"/>
    <w:rsid w:val="0053095E"/>
    <w:rsid w:val="00530B40"/>
    <w:rsid w:val="00530EB3"/>
    <w:rsid w:val="005310AF"/>
    <w:rsid w:val="005312AE"/>
    <w:rsid w:val="00531303"/>
    <w:rsid w:val="0053143A"/>
    <w:rsid w:val="00532A34"/>
    <w:rsid w:val="00532C5D"/>
    <w:rsid w:val="00532EAD"/>
    <w:rsid w:val="00532EB0"/>
    <w:rsid w:val="00533006"/>
    <w:rsid w:val="00533F36"/>
    <w:rsid w:val="00533F65"/>
    <w:rsid w:val="0053411E"/>
    <w:rsid w:val="0053415E"/>
    <w:rsid w:val="005342C3"/>
    <w:rsid w:val="005343A6"/>
    <w:rsid w:val="005343EA"/>
    <w:rsid w:val="0053445C"/>
    <w:rsid w:val="00534783"/>
    <w:rsid w:val="005348BF"/>
    <w:rsid w:val="00534BD9"/>
    <w:rsid w:val="00534CBC"/>
    <w:rsid w:val="00534D5A"/>
    <w:rsid w:val="005352F3"/>
    <w:rsid w:val="00535351"/>
    <w:rsid w:val="00535CDE"/>
    <w:rsid w:val="00535D7A"/>
    <w:rsid w:val="00535FDF"/>
    <w:rsid w:val="0053604F"/>
    <w:rsid w:val="00536111"/>
    <w:rsid w:val="005362F5"/>
    <w:rsid w:val="005363AF"/>
    <w:rsid w:val="0053649B"/>
    <w:rsid w:val="00536A14"/>
    <w:rsid w:val="00536C4E"/>
    <w:rsid w:val="00536D2A"/>
    <w:rsid w:val="00536E3F"/>
    <w:rsid w:val="0053725B"/>
    <w:rsid w:val="005374CF"/>
    <w:rsid w:val="005375D7"/>
    <w:rsid w:val="00537DF1"/>
    <w:rsid w:val="00537F7A"/>
    <w:rsid w:val="0054022D"/>
    <w:rsid w:val="00540477"/>
    <w:rsid w:val="00540C57"/>
    <w:rsid w:val="00540D1A"/>
    <w:rsid w:val="00541EB1"/>
    <w:rsid w:val="005420EC"/>
    <w:rsid w:val="00542468"/>
    <w:rsid w:val="00542C0B"/>
    <w:rsid w:val="0054335D"/>
    <w:rsid w:val="00543AF8"/>
    <w:rsid w:val="00543FFE"/>
    <w:rsid w:val="00544218"/>
    <w:rsid w:val="00544489"/>
    <w:rsid w:val="00544555"/>
    <w:rsid w:val="00544A7E"/>
    <w:rsid w:val="00544EFB"/>
    <w:rsid w:val="00545183"/>
    <w:rsid w:val="00545E78"/>
    <w:rsid w:val="00546203"/>
    <w:rsid w:val="005463AB"/>
    <w:rsid w:val="0054652E"/>
    <w:rsid w:val="00546678"/>
    <w:rsid w:val="0054676D"/>
    <w:rsid w:val="00546AC2"/>
    <w:rsid w:val="00546E49"/>
    <w:rsid w:val="00547351"/>
    <w:rsid w:val="0054763A"/>
    <w:rsid w:val="00547D20"/>
    <w:rsid w:val="00547FFD"/>
    <w:rsid w:val="005502A2"/>
    <w:rsid w:val="005506E3"/>
    <w:rsid w:val="00550766"/>
    <w:rsid w:val="00550973"/>
    <w:rsid w:val="00550A09"/>
    <w:rsid w:val="00550DEB"/>
    <w:rsid w:val="0055103B"/>
    <w:rsid w:val="005511F3"/>
    <w:rsid w:val="00551496"/>
    <w:rsid w:val="005517D8"/>
    <w:rsid w:val="00551B20"/>
    <w:rsid w:val="00551D1A"/>
    <w:rsid w:val="00551F47"/>
    <w:rsid w:val="005523C7"/>
    <w:rsid w:val="005523E6"/>
    <w:rsid w:val="005524E1"/>
    <w:rsid w:val="005525B3"/>
    <w:rsid w:val="0055272E"/>
    <w:rsid w:val="00552A0B"/>
    <w:rsid w:val="00552B90"/>
    <w:rsid w:val="00552E46"/>
    <w:rsid w:val="00552EE9"/>
    <w:rsid w:val="005531BD"/>
    <w:rsid w:val="0055347E"/>
    <w:rsid w:val="00553A4F"/>
    <w:rsid w:val="00553D56"/>
    <w:rsid w:val="00554009"/>
    <w:rsid w:val="00554E1A"/>
    <w:rsid w:val="005551A2"/>
    <w:rsid w:val="005552AC"/>
    <w:rsid w:val="00555478"/>
    <w:rsid w:val="005555DF"/>
    <w:rsid w:val="005564B1"/>
    <w:rsid w:val="00556675"/>
    <w:rsid w:val="005567B2"/>
    <w:rsid w:val="005568D9"/>
    <w:rsid w:val="00556CD1"/>
    <w:rsid w:val="00556D13"/>
    <w:rsid w:val="00556EB8"/>
    <w:rsid w:val="00557211"/>
    <w:rsid w:val="00557728"/>
    <w:rsid w:val="00557870"/>
    <w:rsid w:val="00557937"/>
    <w:rsid w:val="00557D41"/>
    <w:rsid w:val="00560162"/>
    <w:rsid w:val="00560277"/>
    <w:rsid w:val="00560561"/>
    <w:rsid w:val="0056092D"/>
    <w:rsid w:val="00560938"/>
    <w:rsid w:val="00560A4D"/>
    <w:rsid w:val="00560AF1"/>
    <w:rsid w:val="00560E0A"/>
    <w:rsid w:val="00560E5E"/>
    <w:rsid w:val="005610C0"/>
    <w:rsid w:val="005613EE"/>
    <w:rsid w:val="00561562"/>
    <w:rsid w:val="00561F2D"/>
    <w:rsid w:val="0056215E"/>
    <w:rsid w:val="00562982"/>
    <w:rsid w:val="0056298D"/>
    <w:rsid w:val="005631C5"/>
    <w:rsid w:val="00563361"/>
    <w:rsid w:val="005634EB"/>
    <w:rsid w:val="0056371C"/>
    <w:rsid w:val="00563DE6"/>
    <w:rsid w:val="00563EBB"/>
    <w:rsid w:val="00564559"/>
    <w:rsid w:val="005648BC"/>
    <w:rsid w:val="00564CE3"/>
    <w:rsid w:val="00565047"/>
    <w:rsid w:val="00565252"/>
    <w:rsid w:val="0056528D"/>
    <w:rsid w:val="005653D0"/>
    <w:rsid w:val="005654EC"/>
    <w:rsid w:val="00565CFA"/>
    <w:rsid w:val="00566005"/>
    <w:rsid w:val="0056615A"/>
    <w:rsid w:val="0056628B"/>
    <w:rsid w:val="00566298"/>
    <w:rsid w:val="00566B21"/>
    <w:rsid w:val="00566C3E"/>
    <w:rsid w:val="00566C56"/>
    <w:rsid w:val="00566CE8"/>
    <w:rsid w:val="00567355"/>
    <w:rsid w:val="0056750C"/>
    <w:rsid w:val="00567658"/>
    <w:rsid w:val="00567DE0"/>
    <w:rsid w:val="005701DB"/>
    <w:rsid w:val="00570266"/>
    <w:rsid w:val="00570350"/>
    <w:rsid w:val="00570440"/>
    <w:rsid w:val="00570776"/>
    <w:rsid w:val="005708A0"/>
    <w:rsid w:val="0057091E"/>
    <w:rsid w:val="00570927"/>
    <w:rsid w:val="00570EF7"/>
    <w:rsid w:val="00570FB0"/>
    <w:rsid w:val="00570FB6"/>
    <w:rsid w:val="00570FD4"/>
    <w:rsid w:val="005713D5"/>
    <w:rsid w:val="005717DC"/>
    <w:rsid w:val="00571E62"/>
    <w:rsid w:val="005720CB"/>
    <w:rsid w:val="005723D6"/>
    <w:rsid w:val="005727DB"/>
    <w:rsid w:val="0057292D"/>
    <w:rsid w:val="00572A6B"/>
    <w:rsid w:val="00572BF6"/>
    <w:rsid w:val="00572CCA"/>
    <w:rsid w:val="00572D57"/>
    <w:rsid w:val="0057328B"/>
    <w:rsid w:val="00573DF2"/>
    <w:rsid w:val="00574A6E"/>
    <w:rsid w:val="00574B0F"/>
    <w:rsid w:val="0057515C"/>
    <w:rsid w:val="0057546D"/>
    <w:rsid w:val="00575927"/>
    <w:rsid w:val="0057598B"/>
    <w:rsid w:val="00575F93"/>
    <w:rsid w:val="0057607E"/>
    <w:rsid w:val="00576276"/>
    <w:rsid w:val="0057644B"/>
    <w:rsid w:val="005767CB"/>
    <w:rsid w:val="00577145"/>
    <w:rsid w:val="005772F5"/>
    <w:rsid w:val="005773BE"/>
    <w:rsid w:val="005775D3"/>
    <w:rsid w:val="00580074"/>
    <w:rsid w:val="005800D4"/>
    <w:rsid w:val="005807B0"/>
    <w:rsid w:val="00580AF2"/>
    <w:rsid w:val="00581233"/>
    <w:rsid w:val="005812B3"/>
    <w:rsid w:val="005812D3"/>
    <w:rsid w:val="005812E1"/>
    <w:rsid w:val="005818CF"/>
    <w:rsid w:val="00581973"/>
    <w:rsid w:val="00581C92"/>
    <w:rsid w:val="00582019"/>
    <w:rsid w:val="0058231E"/>
    <w:rsid w:val="00582365"/>
    <w:rsid w:val="00582505"/>
    <w:rsid w:val="00582671"/>
    <w:rsid w:val="00582917"/>
    <w:rsid w:val="00582DCF"/>
    <w:rsid w:val="00582E75"/>
    <w:rsid w:val="005832AE"/>
    <w:rsid w:val="00583576"/>
    <w:rsid w:val="00583E30"/>
    <w:rsid w:val="00583E87"/>
    <w:rsid w:val="00583F02"/>
    <w:rsid w:val="0058402B"/>
    <w:rsid w:val="005841FA"/>
    <w:rsid w:val="0058438F"/>
    <w:rsid w:val="005843F7"/>
    <w:rsid w:val="005845E9"/>
    <w:rsid w:val="00584C1A"/>
    <w:rsid w:val="00584C98"/>
    <w:rsid w:val="00584E3D"/>
    <w:rsid w:val="00584E7A"/>
    <w:rsid w:val="00584E87"/>
    <w:rsid w:val="00585042"/>
    <w:rsid w:val="00585254"/>
    <w:rsid w:val="00585305"/>
    <w:rsid w:val="00585442"/>
    <w:rsid w:val="005856C6"/>
    <w:rsid w:val="00585743"/>
    <w:rsid w:val="005859CB"/>
    <w:rsid w:val="00585B10"/>
    <w:rsid w:val="00585C1B"/>
    <w:rsid w:val="00586053"/>
    <w:rsid w:val="00586318"/>
    <w:rsid w:val="00586609"/>
    <w:rsid w:val="0058664B"/>
    <w:rsid w:val="0058679F"/>
    <w:rsid w:val="00586B2B"/>
    <w:rsid w:val="00586C6C"/>
    <w:rsid w:val="005873A9"/>
    <w:rsid w:val="00587639"/>
    <w:rsid w:val="00587C10"/>
    <w:rsid w:val="00587C90"/>
    <w:rsid w:val="0059050C"/>
    <w:rsid w:val="00590956"/>
    <w:rsid w:val="00590A39"/>
    <w:rsid w:val="00591176"/>
    <w:rsid w:val="005917D2"/>
    <w:rsid w:val="00591C23"/>
    <w:rsid w:val="00591D2E"/>
    <w:rsid w:val="00592638"/>
    <w:rsid w:val="00592AA0"/>
    <w:rsid w:val="00592D6D"/>
    <w:rsid w:val="00592DAF"/>
    <w:rsid w:val="00593138"/>
    <w:rsid w:val="005931BC"/>
    <w:rsid w:val="005933A2"/>
    <w:rsid w:val="00593944"/>
    <w:rsid w:val="00593A33"/>
    <w:rsid w:val="00593E67"/>
    <w:rsid w:val="00594298"/>
    <w:rsid w:val="005947B5"/>
    <w:rsid w:val="00594B63"/>
    <w:rsid w:val="0059511B"/>
    <w:rsid w:val="0059529E"/>
    <w:rsid w:val="005953CC"/>
    <w:rsid w:val="00595482"/>
    <w:rsid w:val="0059572E"/>
    <w:rsid w:val="00595771"/>
    <w:rsid w:val="005958A0"/>
    <w:rsid w:val="005958B8"/>
    <w:rsid w:val="005960BB"/>
    <w:rsid w:val="0059615B"/>
    <w:rsid w:val="0059646A"/>
    <w:rsid w:val="005964AA"/>
    <w:rsid w:val="005964DD"/>
    <w:rsid w:val="00596581"/>
    <w:rsid w:val="0059679E"/>
    <w:rsid w:val="0059696B"/>
    <w:rsid w:val="00596A7B"/>
    <w:rsid w:val="00596C88"/>
    <w:rsid w:val="00596DDC"/>
    <w:rsid w:val="0059722E"/>
    <w:rsid w:val="00597404"/>
    <w:rsid w:val="00597407"/>
    <w:rsid w:val="00597424"/>
    <w:rsid w:val="005975A7"/>
    <w:rsid w:val="00597C10"/>
    <w:rsid w:val="005A0496"/>
    <w:rsid w:val="005A06D7"/>
    <w:rsid w:val="005A073D"/>
    <w:rsid w:val="005A13A9"/>
    <w:rsid w:val="005A1707"/>
    <w:rsid w:val="005A1AE9"/>
    <w:rsid w:val="005A26D1"/>
    <w:rsid w:val="005A28EA"/>
    <w:rsid w:val="005A2E91"/>
    <w:rsid w:val="005A2F55"/>
    <w:rsid w:val="005A387D"/>
    <w:rsid w:val="005A39D6"/>
    <w:rsid w:val="005A3A01"/>
    <w:rsid w:val="005A4047"/>
    <w:rsid w:val="005A4128"/>
    <w:rsid w:val="005A4384"/>
    <w:rsid w:val="005A460F"/>
    <w:rsid w:val="005A4690"/>
    <w:rsid w:val="005A4FB0"/>
    <w:rsid w:val="005A55EE"/>
    <w:rsid w:val="005A59C5"/>
    <w:rsid w:val="005A5CD9"/>
    <w:rsid w:val="005A5F7D"/>
    <w:rsid w:val="005A602D"/>
    <w:rsid w:val="005A6602"/>
    <w:rsid w:val="005A6CD2"/>
    <w:rsid w:val="005A6D4A"/>
    <w:rsid w:val="005A7012"/>
    <w:rsid w:val="005A72B3"/>
    <w:rsid w:val="005A74FE"/>
    <w:rsid w:val="005A780F"/>
    <w:rsid w:val="005A7A5E"/>
    <w:rsid w:val="005A7B73"/>
    <w:rsid w:val="005A7DB1"/>
    <w:rsid w:val="005B013E"/>
    <w:rsid w:val="005B07B5"/>
    <w:rsid w:val="005B0AF4"/>
    <w:rsid w:val="005B16DA"/>
    <w:rsid w:val="005B1850"/>
    <w:rsid w:val="005B1C07"/>
    <w:rsid w:val="005B209D"/>
    <w:rsid w:val="005B211A"/>
    <w:rsid w:val="005B25BF"/>
    <w:rsid w:val="005B25C8"/>
    <w:rsid w:val="005B2CDD"/>
    <w:rsid w:val="005B2D87"/>
    <w:rsid w:val="005B3205"/>
    <w:rsid w:val="005B3289"/>
    <w:rsid w:val="005B3432"/>
    <w:rsid w:val="005B36E6"/>
    <w:rsid w:val="005B3B32"/>
    <w:rsid w:val="005B3B6F"/>
    <w:rsid w:val="005B3BD6"/>
    <w:rsid w:val="005B446F"/>
    <w:rsid w:val="005B476B"/>
    <w:rsid w:val="005B4D5D"/>
    <w:rsid w:val="005B5040"/>
    <w:rsid w:val="005B52CC"/>
    <w:rsid w:val="005B539F"/>
    <w:rsid w:val="005B54EF"/>
    <w:rsid w:val="005B571B"/>
    <w:rsid w:val="005B5722"/>
    <w:rsid w:val="005B584C"/>
    <w:rsid w:val="005B5BC5"/>
    <w:rsid w:val="005B5F79"/>
    <w:rsid w:val="005B62E0"/>
    <w:rsid w:val="005B7346"/>
    <w:rsid w:val="005B7503"/>
    <w:rsid w:val="005B7830"/>
    <w:rsid w:val="005B7A2C"/>
    <w:rsid w:val="005B7B09"/>
    <w:rsid w:val="005B7D6C"/>
    <w:rsid w:val="005B7E95"/>
    <w:rsid w:val="005C02B7"/>
    <w:rsid w:val="005C057B"/>
    <w:rsid w:val="005C0612"/>
    <w:rsid w:val="005C069D"/>
    <w:rsid w:val="005C07C8"/>
    <w:rsid w:val="005C23D8"/>
    <w:rsid w:val="005C2404"/>
    <w:rsid w:val="005C2414"/>
    <w:rsid w:val="005C2BF6"/>
    <w:rsid w:val="005C2DDC"/>
    <w:rsid w:val="005C3244"/>
    <w:rsid w:val="005C32B8"/>
    <w:rsid w:val="005C3340"/>
    <w:rsid w:val="005C33F8"/>
    <w:rsid w:val="005C4277"/>
    <w:rsid w:val="005C448B"/>
    <w:rsid w:val="005C4493"/>
    <w:rsid w:val="005C44A9"/>
    <w:rsid w:val="005C45D7"/>
    <w:rsid w:val="005C4B23"/>
    <w:rsid w:val="005C51EC"/>
    <w:rsid w:val="005C5BC4"/>
    <w:rsid w:val="005C5CB5"/>
    <w:rsid w:val="005C60FE"/>
    <w:rsid w:val="005C61D6"/>
    <w:rsid w:val="005C65AC"/>
    <w:rsid w:val="005C6871"/>
    <w:rsid w:val="005C6970"/>
    <w:rsid w:val="005C6A1A"/>
    <w:rsid w:val="005C6F0F"/>
    <w:rsid w:val="005C6F34"/>
    <w:rsid w:val="005C7083"/>
    <w:rsid w:val="005C7215"/>
    <w:rsid w:val="005C73C4"/>
    <w:rsid w:val="005C7E32"/>
    <w:rsid w:val="005C7EE5"/>
    <w:rsid w:val="005D00EA"/>
    <w:rsid w:val="005D01CF"/>
    <w:rsid w:val="005D023B"/>
    <w:rsid w:val="005D02C4"/>
    <w:rsid w:val="005D055F"/>
    <w:rsid w:val="005D064B"/>
    <w:rsid w:val="005D069A"/>
    <w:rsid w:val="005D0786"/>
    <w:rsid w:val="005D091E"/>
    <w:rsid w:val="005D092D"/>
    <w:rsid w:val="005D0CEB"/>
    <w:rsid w:val="005D1190"/>
    <w:rsid w:val="005D15C5"/>
    <w:rsid w:val="005D1CD6"/>
    <w:rsid w:val="005D2278"/>
    <w:rsid w:val="005D2304"/>
    <w:rsid w:val="005D2797"/>
    <w:rsid w:val="005D2915"/>
    <w:rsid w:val="005D2AE7"/>
    <w:rsid w:val="005D2DB2"/>
    <w:rsid w:val="005D30FE"/>
    <w:rsid w:val="005D33DE"/>
    <w:rsid w:val="005D3A04"/>
    <w:rsid w:val="005D3D98"/>
    <w:rsid w:val="005D45FA"/>
    <w:rsid w:val="005D48FE"/>
    <w:rsid w:val="005D4E95"/>
    <w:rsid w:val="005D566D"/>
    <w:rsid w:val="005D57C0"/>
    <w:rsid w:val="005D5C64"/>
    <w:rsid w:val="005D5F1B"/>
    <w:rsid w:val="005D6081"/>
    <w:rsid w:val="005D66B4"/>
    <w:rsid w:val="005D67D8"/>
    <w:rsid w:val="005D6F2D"/>
    <w:rsid w:val="005D70C1"/>
    <w:rsid w:val="005D70C5"/>
    <w:rsid w:val="005D720B"/>
    <w:rsid w:val="005D7304"/>
    <w:rsid w:val="005D7471"/>
    <w:rsid w:val="005D749D"/>
    <w:rsid w:val="005D765A"/>
    <w:rsid w:val="005D7775"/>
    <w:rsid w:val="005D7803"/>
    <w:rsid w:val="005D7863"/>
    <w:rsid w:val="005D79FF"/>
    <w:rsid w:val="005D7DA1"/>
    <w:rsid w:val="005E0086"/>
    <w:rsid w:val="005E029F"/>
    <w:rsid w:val="005E0465"/>
    <w:rsid w:val="005E05FD"/>
    <w:rsid w:val="005E11AA"/>
    <w:rsid w:val="005E126E"/>
    <w:rsid w:val="005E1442"/>
    <w:rsid w:val="005E16C6"/>
    <w:rsid w:val="005E16E7"/>
    <w:rsid w:val="005E1CFF"/>
    <w:rsid w:val="005E2702"/>
    <w:rsid w:val="005E2AD3"/>
    <w:rsid w:val="005E3025"/>
    <w:rsid w:val="005E30D6"/>
    <w:rsid w:val="005E3A76"/>
    <w:rsid w:val="005E3BA2"/>
    <w:rsid w:val="005E43F6"/>
    <w:rsid w:val="005E48C6"/>
    <w:rsid w:val="005E4B17"/>
    <w:rsid w:val="005E5874"/>
    <w:rsid w:val="005E5B31"/>
    <w:rsid w:val="005E5B3A"/>
    <w:rsid w:val="005E5CFA"/>
    <w:rsid w:val="005E5DB9"/>
    <w:rsid w:val="005E5DCB"/>
    <w:rsid w:val="005E5DD9"/>
    <w:rsid w:val="005E63B2"/>
    <w:rsid w:val="005E6524"/>
    <w:rsid w:val="005E6649"/>
    <w:rsid w:val="005E6AAC"/>
    <w:rsid w:val="005E6C51"/>
    <w:rsid w:val="005E71F6"/>
    <w:rsid w:val="005E7418"/>
    <w:rsid w:val="005E75D5"/>
    <w:rsid w:val="005E77AA"/>
    <w:rsid w:val="005E77FB"/>
    <w:rsid w:val="005F04F5"/>
    <w:rsid w:val="005F07DC"/>
    <w:rsid w:val="005F08E6"/>
    <w:rsid w:val="005F14C4"/>
    <w:rsid w:val="005F1555"/>
    <w:rsid w:val="005F1691"/>
    <w:rsid w:val="005F1B46"/>
    <w:rsid w:val="005F1F1D"/>
    <w:rsid w:val="005F24CE"/>
    <w:rsid w:val="005F2978"/>
    <w:rsid w:val="005F298E"/>
    <w:rsid w:val="005F2CB8"/>
    <w:rsid w:val="005F2F8A"/>
    <w:rsid w:val="005F300D"/>
    <w:rsid w:val="005F331E"/>
    <w:rsid w:val="005F33B2"/>
    <w:rsid w:val="005F3415"/>
    <w:rsid w:val="005F36EB"/>
    <w:rsid w:val="005F3AFC"/>
    <w:rsid w:val="005F3BD7"/>
    <w:rsid w:val="005F3F2A"/>
    <w:rsid w:val="005F4373"/>
    <w:rsid w:val="005F44AF"/>
    <w:rsid w:val="005F4721"/>
    <w:rsid w:val="005F4789"/>
    <w:rsid w:val="005F499C"/>
    <w:rsid w:val="005F4BF2"/>
    <w:rsid w:val="005F4E87"/>
    <w:rsid w:val="005F5150"/>
    <w:rsid w:val="005F52DC"/>
    <w:rsid w:val="005F61F9"/>
    <w:rsid w:val="005F62DC"/>
    <w:rsid w:val="005F6412"/>
    <w:rsid w:val="005F6DA6"/>
    <w:rsid w:val="005F6EF8"/>
    <w:rsid w:val="005F6F9F"/>
    <w:rsid w:val="005F7011"/>
    <w:rsid w:val="005F720A"/>
    <w:rsid w:val="005F7749"/>
    <w:rsid w:val="005F7DDC"/>
    <w:rsid w:val="006000C8"/>
    <w:rsid w:val="0060033B"/>
    <w:rsid w:val="006006B4"/>
    <w:rsid w:val="00600C07"/>
    <w:rsid w:val="006012D2"/>
    <w:rsid w:val="006016C7"/>
    <w:rsid w:val="00601830"/>
    <w:rsid w:val="00601EAE"/>
    <w:rsid w:val="0060252B"/>
    <w:rsid w:val="00602784"/>
    <w:rsid w:val="006029B8"/>
    <w:rsid w:val="00602BDF"/>
    <w:rsid w:val="00602D54"/>
    <w:rsid w:val="00602F43"/>
    <w:rsid w:val="0060320A"/>
    <w:rsid w:val="0060386D"/>
    <w:rsid w:val="00603B08"/>
    <w:rsid w:val="00603C01"/>
    <w:rsid w:val="00603C95"/>
    <w:rsid w:val="00603FF1"/>
    <w:rsid w:val="0060413A"/>
    <w:rsid w:val="00605351"/>
    <w:rsid w:val="00605359"/>
    <w:rsid w:val="00605776"/>
    <w:rsid w:val="00605887"/>
    <w:rsid w:val="00605A01"/>
    <w:rsid w:val="00605E92"/>
    <w:rsid w:val="00606811"/>
    <w:rsid w:val="006069EC"/>
    <w:rsid w:val="00606DF2"/>
    <w:rsid w:val="0060707D"/>
    <w:rsid w:val="00607215"/>
    <w:rsid w:val="006072C3"/>
    <w:rsid w:val="00607552"/>
    <w:rsid w:val="0060781A"/>
    <w:rsid w:val="00607BBC"/>
    <w:rsid w:val="00610162"/>
    <w:rsid w:val="0061022F"/>
    <w:rsid w:val="006107CF"/>
    <w:rsid w:val="00610ABA"/>
    <w:rsid w:val="00610B4A"/>
    <w:rsid w:val="00610F9E"/>
    <w:rsid w:val="006114FA"/>
    <w:rsid w:val="006115D0"/>
    <w:rsid w:val="00611A2B"/>
    <w:rsid w:val="00611CBD"/>
    <w:rsid w:val="006121E3"/>
    <w:rsid w:val="0061229C"/>
    <w:rsid w:val="006123DF"/>
    <w:rsid w:val="006124E7"/>
    <w:rsid w:val="00612633"/>
    <w:rsid w:val="006127B5"/>
    <w:rsid w:val="00613037"/>
    <w:rsid w:val="006135AB"/>
    <w:rsid w:val="006138E4"/>
    <w:rsid w:val="0061395E"/>
    <w:rsid w:val="006144F6"/>
    <w:rsid w:val="006148A6"/>
    <w:rsid w:val="00614EA2"/>
    <w:rsid w:val="006150E1"/>
    <w:rsid w:val="006151BF"/>
    <w:rsid w:val="006156AB"/>
    <w:rsid w:val="00615811"/>
    <w:rsid w:val="00616139"/>
    <w:rsid w:val="00616407"/>
    <w:rsid w:val="0061648B"/>
    <w:rsid w:val="006165AD"/>
    <w:rsid w:val="006166E3"/>
    <w:rsid w:val="0061680F"/>
    <w:rsid w:val="00616AAD"/>
    <w:rsid w:val="00617111"/>
    <w:rsid w:val="00617381"/>
    <w:rsid w:val="00617DC9"/>
    <w:rsid w:val="00620289"/>
    <w:rsid w:val="006202F2"/>
    <w:rsid w:val="00620560"/>
    <w:rsid w:val="00620686"/>
    <w:rsid w:val="006209BF"/>
    <w:rsid w:val="00620A0D"/>
    <w:rsid w:val="00620B58"/>
    <w:rsid w:val="00620E5A"/>
    <w:rsid w:val="0062178A"/>
    <w:rsid w:val="00621993"/>
    <w:rsid w:val="00621A56"/>
    <w:rsid w:val="00621B48"/>
    <w:rsid w:val="00622072"/>
    <w:rsid w:val="00622627"/>
    <w:rsid w:val="0062278C"/>
    <w:rsid w:val="00622941"/>
    <w:rsid w:val="00622ACE"/>
    <w:rsid w:val="00622B0C"/>
    <w:rsid w:val="00622EDB"/>
    <w:rsid w:val="006234F0"/>
    <w:rsid w:val="00623637"/>
    <w:rsid w:val="00623B99"/>
    <w:rsid w:val="0062446C"/>
    <w:rsid w:val="00624939"/>
    <w:rsid w:val="00624B4C"/>
    <w:rsid w:val="00624E92"/>
    <w:rsid w:val="006250AD"/>
    <w:rsid w:val="006250E9"/>
    <w:rsid w:val="00625309"/>
    <w:rsid w:val="006256A0"/>
    <w:rsid w:val="0062573F"/>
    <w:rsid w:val="00625745"/>
    <w:rsid w:val="00625828"/>
    <w:rsid w:val="00625A18"/>
    <w:rsid w:val="00625C22"/>
    <w:rsid w:val="00627AE5"/>
    <w:rsid w:val="0063016B"/>
    <w:rsid w:val="00630296"/>
    <w:rsid w:val="006302AE"/>
    <w:rsid w:val="00630726"/>
    <w:rsid w:val="00631324"/>
    <w:rsid w:val="006316CD"/>
    <w:rsid w:val="0063185B"/>
    <w:rsid w:val="00631B9A"/>
    <w:rsid w:val="00631C30"/>
    <w:rsid w:val="00631D79"/>
    <w:rsid w:val="006324AE"/>
    <w:rsid w:val="006326F3"/>
    <w:rsid w:val="00632935"/>
    <w:rsid w:val="00632CCE"/>
    <w:rsid w:val="00632CDF"/>
    <w:rsid w:val="00633818"/>
    <w:rsid w:val="0063381C"/>
    <w:rsid w:val="00633B2F"/>
    <w:rsid w:val="0063423A"/>
    <w:rsid w:val="0063450E"/>
    <w:rsid w:val="00634687"/>
    <w:rsid w:val="00634774"/>
    <w:rsid w:val="00634797"/>
    <w:rsid w:val="00634AB3"/>
    <w:rsid w:val="00634B3A"/>
    <w:rsid w:val="00634E62"/>
    <w:rsid w:val="006350EB"/>
    <w:rsid w:val="00635358"/>
    <w:rsid w:val="0063539B"/>
    <w:rsid w:val="006355C6"/>
    <w:rsid w:val="00635770"/>
    <w:rsid w:val="00635A3F"/>
    <w:rsid w:val="00635D27"/>
    <w:rsid w:val="00635FFA"/>
    <w:rsid w:val="00636134"/>
    <w:rsid w:val="00636483"/>
    <w:rsid w:val="00636670"/>
    <w:rsid w:val="00636712"/>
    <w:rsid w:val="00636780"/>
    <w:rsid w:val="00636B88"/>
    <w:rsid w:val="0063761F"/>
    <w:rsid w:val="00637B83"/>
    <w:rsid w:val="00637F8F"/>
    <w:rsid w:val="00640435"/>
    <w:rsid w:val="006405D1"/>
    <w:rsid w:val="0064072B"/>
    <w:rsid w:val="006409B4"/>
    <w:rsid w:val="00640A44"/>
    <w:rsid w:val="00640C31"/>
    <w:rsid w:val="00640DA3"/>
    <w:rsid w:val="00641276"/>
    <w:rsid w:val="006416BF"/>
    <w:rsid w:val="00641750"/>
    <w:rsid w:val="0064186C"/>
    <w:rsid w:val="00641C88"/>
    <w:rsid w:val="00642192"/>
    <w:rsid w:val="00642423"/>
    <w:rsid w:val="00642466"/>
    <w:rsid w:val="006428DA"/>
    <w:rsid w:val="00642A54"/>
    <w:rsid w:val="00642C76"/>
    <w:rsid w:val="00642EEB"/>
    <w:rsid w:val="00643226"/>
    <w:rsid w:val="006434FC"/>
    <w:rsid w:val="00643633"/>
    <w:rsid w:val="00643782"/>
    <w:rsid w:val="00643811"/>
    <w:rsid w:val="00643849"/>
    <w:rsid w:val="00643B8B"/>
    <w:rsid w:val="00643BA7"/>
    <w:rsid w:val="00643C15"/>
    <w:rsid w:val="00643E24"/>
    <w:rsid w:val="00644117"/>
    <w:rsid w:val="006441D5"/>
    <w:rsid w:val="00644D4A"/>
    <w:rsid w:val="006459EF"/>
    <w:rsid w:val="00645E99"/>
    <w:rsid w:val="006463B1"/>
    <w:rsid w:val="006465F3"/>
    <w:rsid w:val="006467CD"/>
    <w:rsid w:val="006469D8"/>
    <w:rsid w:val="00646C0A"/>
    <w:rsid w:val="00646D0F"/>
    <w:rsid w:val="00646D7C"/>
    <w:rsid w:val="00646DA6"/>
    <w:rsid w:val="00646E0D"/>
    <w:rsid w:val="006476FF"/>
    <w:rsid w:val="00647A88"/>
    <w:rsid w:val="00647F23"/>
    <w:rsid w:val="00650724"/>
    <w:rsid w:val="00650838"/>
    <w:rsid w:val="00650B7B"/>
    <w:rsid w:val="00650C43"/>
    <w:rsid w:val="00651101"/>
    <w:rsid w:val="006514B7"/>
    <w:rsid w:val="0065165B"/>
    <w:rsid w:val="00651671"/>
    <w:rsid w:val="00651818"/>
    <w:rsid w:val="00651E3D"/>
    <w:rsid w:val="00651F2A"/>
    <w:rsid w:val="006523AA"/>
    <w:rsid w:val="00652662"/>
    <w:rsid w:val="0065300F"/>
    <w:rsid w:val="00653388"/>
    <w:rsid w:val="006534BF"/>
    <w:rsid w:val="00653516"/>
    <w:rsid w:val="00653583"/>
    <w:rsid w:val="00653747"/>
    <w:rsid w:val="006537D7"/>
    <w:rsid w:val="00653E12"/>
    <w:rsid w:val="00653FCA"/>
    <w:rsid w:val="006540C7"/>
    <w:rsid w:val="00654406"/>
    <w:rsid w:val="0065444A"/>
    <w:rsid w:val="006545CA"/>
    <w:rsid w:val="00654ACA"/>
    <w:rsid w:val="00654C06"/>
    <w:rsid w:val="00654DF3"/>
    <w:rsid w:val="00654E80"/>
    <w:rsid w:val="00654F68"/>
    <w:rsid w:val="0065501E"/>
    <w:rsid w:val="00655321"/>
    <w:rsid w:val="006554C8"/>
    <w:rsid w:val="0065563A"/>
    <w:rsid w:val="006556BD"/>
    <w:rsid w:val="0065570C"/>
    <w:rsid w:val="00655AAF"/>
    <w:rsid w:val="00655B2D"/>
    <w:rsid w:val="00655CF9"/>
    <w:rsid w:val="00655D45"/>
    <w:rsid w:val="006566D1"/>
    <w:rsid w:val="00656746"/>
    <w:rsid w:val="0065714C"/>
    <w:rsid w:val="00657249"/>
    <w:rsid w:val="00657359"/>
    <w:rsid w:val="006574D7"/>
    <w:rsid w:val="00657591"/>
    <w:rsid w:val="00657F10"/>
    <w:rsid w:val="0066035A"/>
    <w:rsid w:val="00660432"/>
    <w:rsid w:val="0066070F"/>
    <w:rsid w:val="00660893"/>
    <w:rsid w:val="00660A74"/>
    <w:rsid w:val="00661618"/>
    <w:rsid w:val="00661739"/>
    <w:rsid w:val="006618A4"/>
    <w:rsid w:val="00661936"/>
    <w:rsid w:val="00661AC3"/>
    <w:rsid w:val="00661C8E"/>
    <w:rsid w:val="00661F1B"/>
    <w:rsid w:val="00661FBA"/>
    <w:rsid w:val="00662133"/>
    <w:rsid w:val="0066222D"/>
    <w:rsid w:val="006628E2"/>
    <w:rsid w:val="00662B5A"/>
    <w:rsid w:val="00662E36"/>
    <w:rsid w:val="00662E5F"/>
    <w:rsid w:val="00663139"/>
    <w:rsid w:val="00663193"/>
    <w:rsid w:val="006633B8"/>
    <w:rsid w:val="006634BF"/>
    <w:rsid w:val="00663BA4"/>
    <w:rsid w:val="00663CF3"/>
    <w:rsid w:val="006640B3"/>
    <w:rsid w:val="00664434"/>
    <w:rsid w:val="00664446"/>
    <w:rsid w:val="00664681"/>
    <w:rsid w:val="00664B63"/>
    <w:rsid w:val="00664FD6"/>
    <w:rsid w:val="0066550E"/>
    <w:rsid w:val="00665564"/>
    <w:rsid w:val="0066561F"/>
    <w:rsid w:val="00665E3B"/>
    <w:rsid w:val="0066616A"/>
    <w:rsid w:val="00666381"/>
    <w:rsid w:val="00666962"/>
    <w:rsid w:val="00666A58"/>
    <w:rsid w:val="00666CA9"/>
    <w:rsid w:val="00666D28"/>
    <w:rsid w:val="006678BD"/>
    <w:rsid w:val="00667B3F"/>
    <w:rsid w:val="00667D99"/>
    <w:rsid w:val="006705B5"/>
    <w:rsid w:val="00670650"/>
    <w:rsid w:val="0067123C"/>
    <w:rsid w:val="006712BE"/>
    <w:rsid w:val="006712C0"/>
    <w:rsid w:val="006714D1"/>
    <w:rsid w:val="00671672"/>
    <w:rsid w:val="006717D3"/>
    <w:rsid w:val="00671BAB"/>
    <w:rsid w:val="00672B5D"/>
    <w:rsid w:val="00672F99"/>
    <w:rsid w:val="0067375E"/>
    <w:rsid w:val="00673991"/>
    <w:rsid w:val="00673B62"/>
    <w:rsid w:val="00673EE8"/>
    <w:rsid w:val="0067402E"/>
    <w:rsid w:val="006744AC"/>
    <w:rsid w:val="0067473D"/>
    <w:rsid w:val="00674792"/>
    <w:rsid w:val="00674B61"/>
    <w:rsid w:val="00674C7D"/>
    <w:rsid w:val="00674F49"/>
    <w:rsid w:val="00674F6A"/>
    <w:rsid w:val="006753F6"/>
    <w:rsid w:val="0067548F"/>
    <w:rsid w:val="006757C7"/>
    <w:rsid w:val="00675852"/>
    <w:rsid w:val="00675871"/>
    <w:rsid w:val="00675D30"/>
    <w:rsid w:val="00676077"/>
    <w:rsid w:val="0067608B"/>
    <w:rsid w:val="006762E3"/>
    <w:rsid w:val="00676368"/>
    <w:rsid w:val="006764EF"/>
    <w:rsid w:val="00676937"/>
    <w:rsid w:val="006772C0"/>
    <w:rsid w:val="00677607"/>
    <w:rsid w:val="0067777E"/>
    <w:rsid w:val="006778EF"/>
    <w:rsid w:val="006801E3"/>
    <w:rsid w:val="006802AA"/>
    <w:rsid w:val="00680314"/>
    <w:rsid w:val="00680B40"/>
    <w:rsid w:val="00680B7F"/>
    <w:rsid w:val="00680D7E"/>
    <w:rsid w:val="00680DDE"/>
    <w:rsid w:val="00680E49"/>
    <w:rsid w:val="00680E72"/>
    <w:rsid w:val="006813A7"/>
    <w:rsid w:val="0068145A"/>
    <w:rsid w:val="00681961"/>
    <w:rsid w:val="00681B61"/>
    <w:rsid w:val="00681C10"/>
    <w:rsid w:val="00681C32"/>
    <w:rsid w:val="00681EC9"/>
    <w:rsid w:val="00682062"/>
    <w:rsid w:val="006822FA"/>
    <w:rsid w:val="0068253F"/>
    <w:rsid w:val="0068288C"/>
    <w:rsid w:val="00682996"/>
    <w:rsid w:val="00682F1A"/>
    <w:rsid w:val="00683066"/>
    <w:rsid w:val="006830BD"/>
    <w:rsid w:val="006836DB"/>
    <w:rsid w:val="00683CA3"/>
    <w:rsid w:val="00683F36"/>
    <w:rsid w:val="0068430D"/>
    <w:rsid w:val="006849CD"/>
    <w:rsid w:val="00684A70"/>
    <w:rsid w:val="00684AD2"/>
    <w:rsid w:val="00684D95"/>
    <w:rsid w:val="00684DA8"/>
    <w:rsid w:val="00684E3A"/>
    <w:rsid w:val="00685269"/>
    <w:rsid w:val="00685589"/>
    <w:rsid w:val="006859A8"/>
    <w:rsid w:val="00685A69"/>
    <w:rsid w:val="00685CFF"/>
    <w:rsid w:val="00685D96"/>
    <w:rsid w:val="006860BF"/>
    <w:rsid w:val="0068682C"/>
    <w:rsid w:val="00686CE0"/>
    <w:rsid w:val="00686F42"/>
    <w:rsid w:val="00687214"/>
    <w:rsid w:val="00687623"/>
    <w:rsid w:val="0068767B"/>
    <w:rsid w:val="006878AB"/>
    <w:rsid w:val="006878F0"/>
    <w:rsid w:val="0068799D"/>
    <w:rsid w:val="0069001E"/>
    <w:rsid w:val="006901C2"/>
    <w:rsid w:val="0069077A"/>
    <w:rsid w:val="006907B9"/>
    <w:rsid w:val="006908B4"/>
    <w:rsid w:val="00690C7E"/>
    <w:rsid w:val="00690CD5"/>
    <w:rsid w:val="0069152A"/>
    <w:rsid w:val="00691882"/>
    <w:rsid w:val="006919F0"/>
    <w:rsid w:val="0069276F"/>
    <w:rsid w:val="00692A9A"/>
    <w:rsid w:val="00692AD7"/>
    <w:rsid w:val="00692F62"/>
    <w:rsid w:val="00692FCB"/>
    <w:rsid w:val="0069313B"/>
    <w:rsid w:val="006936CF"/>
    <w:rsid w:val="006938AA"/>
    <w:rsid w:val="00693A37"/>
    <w:rsid w:val="00693CA6"/>
    <w:rsid w:val="00693CEC"/>
    <w:rsid w:val="00693F3D"/>
    <w:rsid w:val="0069466D"/>
    <w:rsid w:val="0069468D"/>
    <w:rsid w:val="0069474B"/>
    <w:rsid w:val="0069475D"/>
    <w:rsid w:val="00694B41"/>
    <w:rsid w:val="00694BBF"/>
    <w:rsid w:val="00695147"/>
    <w:rsid w:val="006952C6"/>
    <w:rsid w:val="00695DE6"/>
    <w:rsid w:val="00695E45"/>
    <w:rsid w:val="00695FD6"/>
    <w:rsid w:val="00696653"/>
    <w:rsid w:val="00696727"/>
    <w:rsid w:val="006969BE"/>
    <w:rsid w:val="00696AAC"/>
    <w:rsid w:val="0069717D"/>
    <w:rsid w:val="00697857"/>
    <w:rsid w:val="00697966"/>
    <w:rsid w:val="006979F7"/>
    <w:rsid w:val="00697FE9"/>
    <w:rsid w:val="006A002A"/>
    <w:rsid w:val="006A02C7"/>
    <w:rsid w:val="006A05DB"/>
    <w:rsid w:val="006A065E"/>
    <w:rsid w:val="006A0A62"/>
    <w:rsid w:val="006A0B86"/>
    <w:rsid w:val="006A0CFC"/>
    <w:rsid w:val="006A0DEB"/>
    <w:rsid w:val="006A1215"/>
    <w:rsid w:val="006A1E71"/>
    <w:rsid w:val="006A23F3"/>
    <w:rsid w:val="006A25DB"/>
    <w:rsid w:val="006A267E"/>
    <w:rsid w:val="006A28CC"/>
    <w:rsid w:val="006A2AE7"/>
    <w:rsid w:val="006A2BDA"/>
    <w:rsid w:val="006A2E7C"/>
    <w:rsid w:val="006A31B9"/>
    <w:rsid w:val="006A36EE"/>
    <w:rsid w:val="006A391D"/>
    <w:rsid w:val="006A3A2B"/>
    <w:rsid w:val="006A3B7B"/>
    <w:rsid w:val="006A3CC5"/>
    <w:rsid w:val="006A4175"/>
    <w:rsid w:val="006A41A4"/>
    <w:rsid w:val="006A482B"/>
    <w:rsid w:val="006A4959"/>
    <w:rsid w:val="006A4EE1"/>
    <w:rsid w:val="006A51EE"/>
    <w:rsid w:val="006A5241"/>
    <w:rsid w:val="006A5333"/>
    <w:rsid w:val="006A55F7"/>
    <w:rsid w:val="006A5671"/>
    <w:rsid w:val="006A581D"/>
    <w:rsid w:val="006A5DBC"/>
    <w:rsid w:val="006A5E46"/>
    <w:rsid w:val="006A5F66"/>
    <w:rsid w:val="006A60A1"/>
    <w:rsid w:val="006A638B"/>
    <w:rsid w:val="006A6BC6"/>
    <w:rsid w:val="006A6BF1"/>
    <w:rsid w:val="006A74F1"/>
    <w:rsid w:val="006A7558"/>
    <w:rsid w:val="006A7612"/>
    <w:rsid w:val="006A795E"/>
    <w:rsid w:val="006A7B6D"/>
    <w:rsid w:val="006A7C20"/>
    <w:rsid w:val="006B0039"/>
    <w:rsid w:val="006B0300"/>
    <w:rsid w:val="006B06E3"/>
    <w:rsid w:val="006B0D7C"/>
    <w:rsid w:val="006B1141"/>
    <w:rsid w:val="006B1628"/>
    <w:rsid w:val="006B1A67"/>
    <w:rsid w:val="006B1A8F"/>
    <w:rsid w:val="006B1AAC"/>
    <w:rsid w:val="006B1E93"/>
    <w:rsid w:val="006B20E9"/>
    <w:rsid w:val="006B23F1"/>
    <w:rsid w:val="006B289F"/>
    <w:rsid w:val="006B28EC"/>
    <w:rsid w:val="006B2912"/>
    <w:rsid w:val="006B299E"/>
    <w:rsid w:val="006B2F5B"/>
    <w:rsid w:val="006B3032"/>
    <w:rsid w:val="006B313E"/>
    <w:rsid w:val="006B3239"/>
    <w:rsid w:val="006B32F6"/>
    <w:rsid w:val="006B376B"/>
    <w:rsid w:val="006B381E"/>
    <w:rsid w:val="006B3865"/>
    <w:rsid w:val="006B39B4"/>
    <w:rsid w:val="006B3A7D"/>
    <w:rsid w:val="006B4744"/>
    <w:rsid w:val="006B4856"/>
    <w:rsid w:val="006B4AF6"/>
    <w:rsid w:val="006B4B4A"/>
    <w:rsid w:val="006B4C00"/>
    <w:rsid w:val="006B4D1D"/>
    <w:rsid w:val="006B5433"/>
    <w:rsid w:val="006B6074"/>
    <w:rsid w:val="006B6573"/>
    <w:rsid w:val="006B65BE"/>
    <w:rsid w:val="006B75C6"/>
    <w:rsid w:val="006B780D"/>
    <w:rsid w:val="006B78D3"/>
    <w:rsid w:val="006B790D"/>
    <w:rsid w:val="006C00A0"/>
    <w:rsid w:val="006C0165"/>
    <w:rsid w:val="006C1183"/>
    <w:rsid w:val="006C1253"/>
    <w:rsid w:val="006C14C0"/>
    <w:rsid w:val="006C1602"/>
    <w:rsid w:val="006C242B"/>
    <w:rsid w:val="006C261E"/>
    <w:rsid w:val="006C354C"/>
    <w:rsid w:val="006C3788"/>
    <w:rsid w:val="006C378F"/>
    <w:rsid w:val="006C3820"/>
    <w:rsid w:val="006C3B1C"/>
    <w:rsid w:val="006C3B76"/>
    <w:rsid w:val="006C3D64"/>
    <w:rsid w:val="006C3F1A"/>
    <w:rsid w:val="006C4572"/>
    <w:rsid w:val="006C4773"/>
    <w:rsid w:val="006C48CC"/>
    <w:rsid w:val="006C4A56"/>
    <w:rsid w:val="006C4B15"/>
    <w:rsid w:val="006C4B40"/>
    <w:rsid w:val="006C4F78"/>
    <w:rsid w:val="006C50D2"/>
    <w:rsid w:val="006C52BB"/>
    <w:rsid w:val="006C599D"/>
    <w:rsid w:val="006C5A18"/>
    <w:rsid w:val="006C5E58"/>
    <w:rsid w:val="006C6030"/>
    <w:rsid w:val="006C640B"/>
    <w:rsid w:val="006C6B6B"/>
    <w:rsid w:val="006C71D5"/>
    <w:rsid w:val="006C74C3"/>
    <w:rsid w:val="006C75E2"/>
    <w:rsid w:val="006C7B03"/>
    <w:rsid w:val="006C7DF0"/>
    <w:rsid w:val="006D01EF"/>
    <w:rsid w:val="006D0360"/>
    <w:rsid w:val="006D05DF"/>
    <w:rsid w:val="006D0AD2"/>
    <w:rsid w:val="006D0D2A"/>
    <w:rsid w:val="006D0EC2"/>
    <w:rsid w:val="006D1A20"/>
    <w:rsid w:val="006D1EF0"/>
    <w:rsid w:val="006D20A1"/>
    <w:rsid w:val="006D24FF"/>
    <w:rsid w:val="006D2858"/>
    <w:rsid w:val="006D2AAC"/>
    <w:rsid w:val="006D2ACA"/>
    <w:rsid w:val="006D2C87"/>
    <w:rsid w:val="006D2CAE"/>
    <w:rsid w:val="006D2D1A"/>
    <w:rsid w:val="006D332D"/>
    <w:rsid w:val="006D3EC7"/>
    <w:rsid w:val="006D40CC"/>
    <w:rsid w:val="006D40D0"/>
    <w:rsid w:val="006D437D"/>
    <w:rsid w:val="006D4490"/>
    <w:rsid w:val="006D4C72"/>
    <w:rsid w:val="006D4E4C"/>
    <w:rsid w:val="006D504E"/>
    <w:rsid w:val="006D5104"/>
    <w:rsid w:val="006D5131"/>
    <w:rsid w:val="006D52FD"/>
    <w:rsid w:val="006D5585"/>
    <w:rsid w:val="006D573A"/>
    <w:rsid w:val="006D5F2F"/>
    <w:rsid w:val="006D5F76"/>
    <w:rsid w:val="006D63CB"/>
    <w:rsid w:val="006D661F"/>
    <w:rsid w:val="006D6692"/>
    <w:rsid w:val="006D67AB"/>
    <w:rsid w:val="006D690B"/>
    <w:rsid w:val="006D6B06"/>
    <w:rsid w:val="006D6B36"/>
    <w:rsid w:val="006D6D96"/>
    <w:rsid w:val="006D6DF3"/>
    <w:rsid w:val="006D6FBC"/>
    <w:rsid w:val="006D7141"/>
    <w:rsid w:val="006D7211"/>
    <w:rsid w:val="006D7333"/>
    <w:rsid w:val="006D74A3"/>
    <w:rsid w:val="006D7546"/>
    <w:rsid w:val="006D75C8"/>
    <w:rsid w:val="006D760F"/>
    <w:rsid w:val="006D7731"/>
    <w:rsid w:val="006D7DED"/>
    <w:rsid w:val="006D7F1F"/>
    <w:rsid w:val="006E0041"/>
    <w:rsid w:val="006E060E"/>
    <w:rsid w:val="006E0BC4"/>
    <w:rsid w:val="006E12E7"/>
    <w:rsid w:val="006E1710"/>
    <w:rsid w:val="006E1804"/>
    <w:rsid w:val="006E1B85"/>
    <w:rsid w:val="006E1B8A"/>
    <w:rsid w:val="006E1E53"/>
    <w:rsid w:val="006E1F53"/>
    <w:rsid w:val="006E2251"/>
    <w:rsid w:val="006E2260"/>
    <w:rsid w:val="006E2281"/>
    <w:rsid w:val="006E257C"/>
    <w:rsid w:val="006E280B"/>
    <w:rsid w:val="006E2829"/>
    <w:rsid w:val="006E294A"/>
    <w:rsid w:val="006E2B87"/>
    <w:rsid w:val="006E3036"/>
    <w:rsid w:val="006E3075"/>
    <w:rsid w:val="006E3085"/>
    <w:rsid w:val="006E3125"/>
    <w:rsid w:val="006E31B8"/>
    <w:rsid w:val="006E3820"/>
    <w:rsid w:val="006E3B4B"/>
    <w:rsid w:val="006E404E"/>
    <w:rsid w:val="006E43EF"/>
    <w:rsid w:val="006E4588"/>
    <w:rsid w:val="006E4C0F"/>
    <w:rsid w:val="006E5030"/>
    <w:rsid w:val="006E51CB"/>
    <w:rsid w:val="006E5621"/>
    <w:rsid w:val="006E59B4"/>
    <w:rsid w:val="006E6534"/>
    <w:rsid w:val="006E673F"/>
    <w:rsid w:val="006E6A73"/>
    <w:rsid w:val="006E6C0E"/>
    <w:rsid w:val="006E6CDE"/>
    <w:rsid w:val="006E6D8A"/>
    <w:rsid w:val="006E6DC6"/>
    <w:rsid w:val="006E6E1E"/>
    <w:rsid w:val="006E7900"/>
    <w:rsid w:val="006E7F1D"/>
    <w:rsid w:val="006E7F51"/>
    <w:rsid w:val="006F0227"/>
    <w:rsid w:val="006F0D46"/>
    <w:rsid w:val="006F0EC2"/>
    <w:rsid w:val="006F0EEF"/>
    <w:rsid w:val="006F10E0"/>
    <w:rsid w:val="006F10FF"/>
    <w:rsid w:val="006F1118"/>
    <w:rsid w:val="006F138F"/>
    <w:rsid w:val="006F153E"/>
    <w:rsid w:val="006F15D4"/>
    <w:rsid w:val="006F185A"/>
    <w:rsid w:val="006F18E7"/>
    <w:rsid w:val="006F1CE8"/>
    <w:rsid w:val="006F1FB2"/>
    <w:rsid w:val="006F226C"/>
    <w:rsid w:val="006F23DD"/>
    <w:rsid w:val="006F2518"/>
    <w:rsid w:val="006F2712"/>
    <w:rsid w:val="006F2748"/>
    <w:rsid w:val="006F27D5"/>
    <w:rsid w:val="006F2A97"/>
    <w:rsid w:val="006F2ADF"/>
    <w:rsid w:val="006F2F90"/>
    <w:rsid w:val="006F3338"/>
    <w:rsid w:val="006F3754"/>
    <w:rsid w:val="006F3782"/>
    <w:rsid w:val="006F3AB5"/>
    <w:rsid w:val="006F3D44"/>
    <w:rsid w:val="006F406F"/>
    <w:rsid w:val="006F4072"/>
    <w:rsid w:val="006F4194"/>
    <w:rsid w:val="006F451D"/>
    <w:rsid w:val="006F4C2B"/>
    <w:rsid w:val="006F5158"/>
    <w:rsid w:val="006F5672"/>
    <w:rsid w:val="006F56A0"/>
    <w:rsid w:val="006F5DB2"/>
    <w:rsid w:val="006F5FF0"/>
    <w:rsid w:val="006F6268"/>
    <w:rsid w:val="006F6C4D"/>
    <w:rsid w:val="006F76FC"/>
    <w:rsid w:val="006F77E1"/>
    <w:rsid w:val="006F7963"/>
    <w:rsid w:val="006F796B"/>
    <w:rsid w:val="006F7991"/>
    <w:rsid w:val="006F7EAC"/>
    <w:rsid w:val="0070027C"/>
    <w:rsid w:val="00700950"/>
    <w:rsid w:val="00700F36"/>
    <w:rsid w:val="00700FBF"/>
    <w:rsid w:val="007010E0"/>
    <w:rsid w:val="00701136"/>
    <w:rsid w:val="00702054"/>
    <w:rsid w:val="007025E1"/>
    <w:rsid w:val="0070260D"/>
    <w:rsid w:val="00702632"/>
    <w:rsid w:val="0070287D"/>
    <w:rsid w:val="00702E76"/>
    <w:rsid w:val="00702F5B"/>
    <w:rsid w:val="0070319A"/>
    <w:rsid w:val="00703533"/>
    <w:rsid w:val="00703B7F"/>
    <w:rsid w:val="00703CB4"/>
    <w:rsid w:val="00704142"/>
    <w:rsid w:val="007047B9"/>
    <w:rsid w:val="00704A52"/>
    <w:rsid w:val="00704C3E"/>
    <w:rsid w:val="00705A7E"/>
    <w:rsid w:val="007061F5"/>
    <w:rsid w:val="007063D3"/>
    <w:rsid w:val="007063E2"/>
    <w:rsid w:val="00706492"/>
    <w:rsid w:val="0070692B"/>
    <w:rsid w:val="00706C77"/>
    <w:rsid w:val="00706D49"/>
    <w:rsid w:val="0070703E"/>
    <w:rsid w:val="007072CA"/>
    <w:rsid w:val="00707335"/>
    <w:rsid w:val="007077BF"/>
    <w:rsid w:val="007078C4"/>
    <w:rsid w:val="007078F8"/>
    <w:rsid w:val="00707924"/>
    <w:rsid w:val="00707A96"/>
    <w:rsid w:val="00707C18"/>
    <w:rsid w:val="00707DA3"/>
    <w:rsid w:val="00707E5F"/>
    <w:rsid w:val="00707F32"/>
    <w:rsid w:val="007103A9"/>
    <w:rsid w:val="0071040A"/>
    <w:rsid w:val="007109CA"/>
    <w:rsid w:val="00710E2E"/>
    <w:rsid w:val="00711063"/>
    <w:rsid w:val="00711096"/>
    <w:rsid w:val="00711108"/>
    <w:rsid w:val="0071151D"/>
    <w:rsid w:val="007119C9"/>
    <w:rsid w:val="00711F42"/>
    <w:rsid w:val="00712075"/>
    <w:rsid w:val="00712440"/>
    <w:rsid w:val="00712591"/>
    <w:rsid w:val="007125DD"/>
    <w:rsid w:val="0071266C"/>
    <w:rsid w:val="00712ACB"/>
    <w:rsid w:val="00712BFA"/>
    <w:rsid w:val="00713288"/>
    <w:rsid w:val="007136EF"/>
    <w:rsid w:val="007138D2"/>
    <w:rsid w:val="00714268"/>
    <w:rsid w:val="00714CCF"/>
    <w:rsid w:val="007153C0"/>
    <w:rsid w:val="00715540"/>
    <w:rsid w:val="00715A03"/>
    <w:rsid w:val="007166B8"/>
    <w:rsid w:val="007167EF"/>
    <w:rsid w:val="007169D5"/>
    <w:rsid w:val="00716AD2"/>
    <w:rsid w:val="00716B9B"/>
    <w:rsid w:val="00716BB3"/>
    <w:rsid w:val="00716DB7"/>
    <w:rsid w:val="007171A9"/>
    <w:rsid w:val="0071789A"/>
    <w:rsid w:val="00717CD2"/>
    <w:rsid w:val="00717D55"/>
    <w:rsid w:val="0072016E"/>
    <w:rsid w:val="007203CA"/>
    <w:rsid w:val="00720848"/>
    <w:rsid w:val="00720C6D"/>
    <w:rsid w:val="00720E90"/>
    <w:rsid w:val="0072116B"/>
    <w:rsid w:val="007218C1"/>
    <w:rsid w:val="00722437"/>
    <w:rsid w:val="007226F5"/>
    <w:rsid w:val="00722D89"/>
    <w:rsid w:val="00723113"/>
    <w:rsid w:val="00723640"/>
    <w:rsid w:val="007237B9"/>
    <w:rsid w:val="00723820"/>
    <w:rsid w:val="00723B2C"/>
    <w:rsid w:val="00724019"/>
    <w:rsid w:val="0072411C"/>
    <w:rsid w:val="00724148"/>
    <w:rsid w:val="00724559"/>
    <w:rsid w:val="00724ED0"/>
    <w:rsid w:val="00724F92"/>
    <w:rsid w:val="007253D6"/>
    <w:rsid w:val="00725687"/>
    <w:rsid w:val="0072578A"/>
    <w:rsid w:val="0072597A"/>
    <w:rsid w:val="00725C59"/>
    <w:rsid w:val="00725D02"/>
    <w:rsid w:val="00726149"/>
    <w:rsid w:val="0072634F"/>
    <w:rsid w:val="0072639F"/>
    <w:rsid w:val="00726542"/>
    <w:rsid w:val="0072656E"/>
    <w:rsid w:val="0072696C"/>
    <w:rsid w:val="00726C84"/>
    <w:rsid w:val="00726D5D"/>
    <w:rsid w:val="00726F8C"/>
    <w:rsid w:val="007277C4"/>
    <w:rsid w:val="00727802"/>
    <w:rsid w:val="00727A20"/>
    <w:rsid w:val="00727BC3"/>
    <w:rsid w:val="007302A9"/>
    <w:rsid w:val="007306B5"/>
    <w:rsid w:val="00730E7B"/>
    <w:rsid w:val="00731049"/>
    <w:rsid w:val="007312B5"/>
    <w:rsid w:val="007313C5"/>
    <w:rsid w:val="007314B5"/>
    <w:rsid w:val="00731620"/>
    <w:rsid w:val="00731768"/>
    <w:rsid w:val="00731D94"/>
    <w:rsid w:val="00732585"/>
    <w:rsid w:val="00732E32"/>
    <w:rsid w:val="00732E5F"/>
    <w:rsid w:val="00732E93"/>
    <w:rsid w:val="00733509"/>
    <w:rsid w:val="00733595"/>
    <w:rsid w:val="00733600"/>
    <w:rsid w:val="00733723"/>
    <w:rsid w:val="00733939"/>
    <w:rsid w:val="00733AEB"/>
    <w:rsid w:val="00733EA5"/>
    <w:rsid w:val="00734452"/>
    <w:rsid w:val="007345D9"/>
    <w:rsid w:val="00734F67"/>
    <w:rsid w:val="00735576"/>
    <w:rsid w:val="0073582D"/>
    <w:rsid w:val="00735A71"/>
    <w:rsid w:val="00735CE3"/>
    <w:rsid w:val="00735E44"/>
    <w:rsid w:val="00735FC9"/>
    <w:rsid w:val="00736074"/>
    <w:rsid w:val="0073608A"/>
    <w:rsid w:val="0073623C"/>
    <w:rsid w:val="00736322"/>
    <w:rsid w:val="00736668"/>
    <w:rsid w:val="00736C33"/>
    <w:rsid w:val="0073708E"/>
    <w:rsid w:val="007370BC"/>
    <w:rsid w:val="0073719D"/>
    <w:rsid w:val="007371AE"/>
    <w:rsid w:val="0073730E"/>
    <w:rsid w:val="007377AA"/>
    <w:rsid w:val="0073780B"/>
    <w:rsid w:val="007378DF"/>
    <w:rsid w:val="0073792C"/>
    <w:rsid w:val="00737A13"/>
    <w:rsid w:val="00737F48"/>
    <w:rsid w:val="00740062"/>
    <w:rsid w:val="00740180"/>
    <w:rsid w:val="007402CA"/>
    <w:rsid w:val="00740885"/>
    <w:rsid w:val="00740C55"/>
    <w:rsid w:val="00740C75"/>
    <w:rsid w:val="00740FA0"/>
    <w:rsid w:val="00741850"/>
    <w:rsid w:val="00741FCB"/>
    <w:rsid w:val="00742269"/>
    <w:rsid w:val="00742353"/>
    <w:rsid w:val="0074257A"/>
    <w:rsid w:val="00742841"/>
    <w:rsid w:val="00742C82"/>
    <w:rsid w:val="00742E83"/>
    <w:rsid w:val="00742F1D"/>
    <w:rsid w:val="007438DF"/>
    <w:rsid w:val="00743945"/>
    <w:rsid w:val="00743C91"/>
    <w:rsid w:val="00743CA8"/>
    <w:rsid w:val="00743DA9"/>
    <w:rsid w:val="007440A0"/>
    <w:rsid w:val="007442E3"/>
    <w:rsid w:val="00744827"/>
    <w:rsid w:val="00744C5B"/>
    <w:rsid w:val="00744F07"/>
    <w:rsid w:val="00745025"/>
    <w:rsid w:val="00745596"/>
    <w:rsid w:val="007455CE"/>
    <w:rsid w:val="00745693"/>
    <w:rsid w:val="007456C9"/>
    <w:rsid w:val="007456FC"/>
    <w:rsid w:val="00745B1F"/>
    <w:rsid w:val="00745B8B"/>
    <w:rsid w:val="00745C3E"/>
    <w:rsid w:val="00745CD1"/>
    <w:rsid w:val="00746093"/>
    <w:rsid w:val="00746354"/>
    <w:rsid w:val="00746BF1"/>
    <w:rsid w:val="00747002"/>
    <w:rsid w:val="00747434"/>
    <w:rsid w:val="0074788B"/>
    <w:rsid w:val="007478DD"/>
    <w:rsid w:val="007479AA"/>
    <w:rsid w:val="0075017B"/>
    <w:rsid w:val="00750AEA"/>
    <w:rsid w:val="00750CEC"/>
    <w:rsid w:val="0075137C"/>
    <w:rsid w:val="007515C4"/>
    <w:rsid w:val="007518DD"/>
    <w:rsid w:val="007519F9"/>
    <w:rsid w:val="00751A83"/>
    <w:rsid w:val="00751BD9"/>
    <w:rsid w:val="00751CA1"/>
    <w:rsid w:val="0075234F"/>
    <w:rsid w:val="00752440"/>
    <w:rsid w:val="007524F8"/>
    <w:rsid w:val="00752865"/>
    <w:rsid w:val="00752ABE"/>
    <w:rsid w:val="00752B03"/>
    <w:rsid w:val="00752C01"/>
    <w:rsid w:val="00752FC0"/>
    <w:rsid w:val="00752FD3"/>
    <w:rsid w:val="00753157"/>
    <w:rsid w:val="007535A4"/>
    <w:rsid w:val="00753753"/>
    <w:rsid w:val="00753E7C"/>
    <w:rsid w:val="0075412D"/>
    <w:rsid w:val="0075418A"/>
    <w:rsid w:val="007543C4"/>
    <w:rsid w:val="007543E9"/>
    <w:rsid w:val="00754A73"/>
    <w:rsid w:val="00754D3C"/>
    <w:rsid w:val="00754EF7"/>
    <w:rsid w:val="0075519B"/>
    <w:rsid w:val="0075522A"/>
    <w:rsid w:val="007552A5"/>
    <w:rsid w:val="0075554A"/>
    <w:rsid w:val="0075569D"/>
    <w:rsid w:val="00755B9A"/>
    <w:rsid w:val="00755C13"/>
    <w:rsid w:val="00756316"/>
    <w:rsid w:val="0075640A"/>
    <w:rsid w:val="00756518"/>
    <w:rsid w:val="00756692"/>
    <w:rsid w:val="0075690E"/>
    <w:rsid w:val="00756BB2"/>
    <w:rsid w:val="00756C0E"/>
    <w:rsid w:val="00757087"/>
    <w:rsid w:val="007576B0"/>
    <w:rsid w:val="007577A3"/>
    <w:rsid w:val="00757F0F"/>
    <w:rsid w:val="0076014B"/>
    <w:rsid w:val="0076018B"/>
    <w:rsid w:val="00760761"/>
    <w:rsid w:val="00760DC9"/>
    <w:rsid w:val="007612E1"/>
    <w:rsid w:val="00761594"/>
    <w:rsid w:val="007616C4"/>
    <w:rsid w:val="0076260D"/>
    <w:rsid w:val="00762723"/>
    <w:rsid w:val="00762955"/>
    <w:rsid w:val="007629B2"/>
    <w:rsid w:val="007631AF"/>
    <w:rsid w:val="00763625"/>
    <w:rsid w:val="00763B77"/>
    <w:rsid w:val="00763D7D"/>
    <w:rsid w:val="007640C6"/>
    <w:rsid w:val="00764769"/>
    <w:rsid w:val="00764CB5"/>
    <w:rsid w:val="0076553B"/>
    <w:rsid w:val="00765747"/>
    <w:rsid w:val="00765F18"/>
    <w:rsid w:val="00765F7D"/>
    <w:rsid w:val="00765FC4"/>
    <w:rsid w:val="00766006"/>
    <w:rsid w:val="00766014"/>
    <w:rsid w:val="007663C3"/>
    <w:rsid w:val="007665D8"/>
    <w:rsid w:val="00766670"/>
    <w:rsid w:val="00766E89"/>
    <w:rsid w:val="0076702C"/>
    <w:rsid w:val="007675BF"/>
    <w:rsid w:val="00767953"/>
    <w:rsid w:val="00767A99"/>
    <w:rsid w:val="00767BE8"/>
    <w:rsid w:val="00767C1E"/>
    <w:rsid w:val="00767C25"/>
    <w:rsid w:val="00767E0B"/>
    <w:rsid w:val="00767F6C"/>
    <w:rsid w:val="007700E8"/>
    <w:rsid w:val="0077038B"/>
    <w:rsid w:val="007708FD"/>
    <w:rsid w:val="00770F41"/>
    <w:rsid w:val="00771170"/>
    <w:rsid w:val="00771477"/>
    <w:rsid w:val="007715CE"/>
    <w:rsid w:val="007716E1"/>
    <w:rsid w:val="00771E76"/>
    <w:rsid w:val="007720A0"/>
    <w:rsid w:val="0077278F"/>
    <w:rsid w:val="00772829"/>
    <w:rsid w:val="00772A34"/>
    <w:rsid w:val="00772BDA"/>
    <w:rsid w:val="00772CC6"/>
    <w:rsid w:val="00772DD1"/>
    <w:rsid w:val="00772DFD"/>
    <w:rsid w:val="00773037"/>
    <w:rsid w:val="00773342"/>
    <w:rsid w:val="007736CB"/>
    <w:rsid w:val="00773E22"/>
    <w:rsid w:val="0077458E"/>
    <w:rsid w:val="00774A60"/>
    <w:rsid w:val="00774BB0"/>
    <w:rsid w:val="00774DA6"/>
    <w:rsid w:val="00774DAC"/>
    <w:rsid w:val="00774E6D"/>
    <w:rsid w:val="00775142"/>
    <w:rsid w:val="007752C7"/>
    <w:rsid w:val="007753FC"/>
    <w:rsid w:val="007758E4"/>
    <w:rsid w:val="007759A7"/>
    <w:rsid w:val="00775AA4"/>
    <w:rsid w:val="0077606B"/>
    <w:rsid w:val="00776246"/>
    <w:rsid w:val="00776305"/>
    <w:rsid w:val="00776646"/>
    <w:rsid w:val="007767D9"/>
    <w:rsid w:val="00776B50"/>
    <w:rsid w:val="00776BC1"/>
    <w:rsid w:val="00776D28"/>
    <w:rsid w:val="00776DC9"/>
    <w:rsid w:val="00776E04"/>
    <w:rsid w:val="00776E6C"/>
    <w:rsid w:val="00776E8C"/>
    <w:rsid w:val="00776EA0"/>
    <w:rsid w:val="0077733A"/>
    <w:rsid w:val="007774FF"/>
    <w:rsid w:val="00777848"/>
    <w:rsid w:val="00777893"/>
    <w:rsid w:val="007779C9"/>
    <w:rsid w:val="00777E0C"/>
    <w:rsid w:val="00780278"/>
    <w:rsid w:val="00780345"/>
    <w:rsid w:val="0078041C"/>
    <w:rsid w:val="007804AF"/>
    <w:rsid w:val="00780676"/>
    <w:rsid w:val="007806E3"/>
    <w:rsid w:val="00780703"/>
    <w:rsid w:val="00780A8A"/>
    <w:rsid w:val="00780AC1"/>
    <w:rsid w:val="0078146D"/>
    <w:rsid w:val="007819EF"/>
    <w:rsid w:val="00781F88"/>
    <w:rsid w:val="00782049"/>
    <w:rsid w:val="007823E0"/>
    <w:rsid w:val="00782667"/>
    <w:rsid w:val="0078286F"/>
    <w:rsid w:val="007829A1"/>
    <w:rsid w:val="00783499"/>
    <w:rsid w:val="00783A4F"/>
    <w:rsid w:val="00783C37"/>
    <w:rsid w:val="00783F97"/>
    <w:rsid w:val="00784341"/>
    <w:rsid w:val="0078465A"/>
    <w:rsid w:val="00784D80"/>
    <w:rsid w:val="00784F88"/>
    <w:rsid w:val="007852E9"/>
    <w:rsid w:val="00785385"/>
    <w:rsid w:val="007853D6"/>
    <w:rsid w:val="007859BB"/>
    <w:rsid w:val="00785B73"/>
    <w:rsid w:val="007862B9"/>
    <w:rsid w:val="007862CD"/>
    <w:rsid w:val="0078643C"/>
    <w:rsid w:val="007865FB"/>
    <w:rsid w:val="007867E4"/>
    <w:rsid w:val="00786890"/>
    <w:rsid w:val="00786D54"/>
    <w:rsid w:val="0078744F"/>
    <w:rsid w:val="007879BC"/>
    <w:rsid w:val="00787A6C"/>
    <w:rsid w:val="00787B1F"/>
    <w:rsid w:val="00787F0E"/>
    <w:rsid w:val="00787F84"/>
    <w:rsid w:val="0079060A"/>
    <w:rsid w:val="00790923"/>
    <w:rsid w:val="00790B15"/>
    <w:rsid w:val="00790BE8"/>
    <w:rsid w:val="00790BEB"/>
    <w:rsid w:val="00790E56"/>
    <w:rsid w:val="00790F49"/>
    <w:rsid w:val="007914A2"/>
    <w:rsid w:val="007918B7"/>
    <w:rsid w:val="00791AE8"/>
    <w:rsid w:val="00791DBB"/>
    <w:rsid w:val="00792221"/>
    <w:rsid w:val="00792258"/>
    <w:rsid w:val="00792498"/>
    <w:rsid w:val="00792C77"/>
    <w:rsid w:val="00792DD1"/>
    <w:rsid w:val="00792DE5"/>
    <w:rsid w:val="00792E87"/>
    <w:rsid w:val="00793000"/>
    <w:rsid w:val="007931CB"/>
    <w:rsid w:val="00793229"/>
    <w:rsid w:val="007937BE"/>
    <w:rsid w:val="00793977"/>
    <w:rsid w:val="00793AF6"/>
    <w:rsid w:val="007942C5"/>
    <w:rsid w:val="0079491A"/>
    <w:rsid w:val="00794C98"/>
    <w:rsid w:val="007951D4"/>
    <w:rsid w:val="00795576"/>
    <w:rsid w:val="007955A2"/>
    <w:rsid w:val="0079562C"/>
    <w:rsid w:val="007957B9"/>
    <w:rsid w:val="00795C14"/>
    <w:rsid w:val="00795D43"/>
    <w:rsid w:val="00795D66"/>
    <w:rsid w:val="00795F56"/>
    <w:rsid w:val="007971E1"/>
    <w:rsid w:val="00797402"/>
    <w:rsid w:val="00797416"/>
    <w:rsid w:val="00797649"/>
    <w:rsid w:val="00797696"/>
    <w:rsid w:val="00797C46"/>
    <w:rsid w:val="007A0343"/>
    <w:rsid w:val="007A0689"/>
    <w:rsid w:val="007A08E2"/>
    <w:rsid w:val="007A0953"/>
    <w:rsid w:val="007A0C78"/>
    <w:rsid w:val="007A1261"/>
    <w:rsid w:val="007A19F6"/>
    <w:rsid w:val="007A1DA1"/>
    <w:rsid w:val="007A1FCE"/>
    <w:rsid w:val="007A1FF7"/>
    <w:rsid w:val="007A2199"/>
    <w:rsid w:val="007A271E"/>
    <w:rsid w:val="007A2B65"/>
    <w:rsid w:val="007A2B73"/>
    <w:rsid w:val="007A2C51"/>
    <w:rsid w:val="007A2EB6"/>
    <w:rsid w:val="007A330A"/>
    <w:rsid w:val="007A342F"/>
    <w:rsid w:val="007A36F7"/>
    <w:rsid w:val="007A3757"/>
    <w:rsid w:val="007A3B6A"/>
    <w:rsid w:val="007A3C92"/>
    <w:rsid w:val="007A41EC"/>
    <w:rsid w:val="007A4442"/>
    <w:rsid w:val="007A491D"/>
    <w:rsid w:val="007A4A1A"/>
    <w:rsid w:val="007A4AD8"/>
    <w:rsid w:val="007A4B85"/>
    <w:rsid w:val="007A54DE"/>
    <w:rsid w:val="007A54F2"/>
    <w:rsid w:val="007A5617"/>
    <w:rsid w:val="007A5D92"/>
    <w:rsid w:val="007A65B4"/>
    <w:rsid w:val="007A6D33"/>
    <w:rsid w:val="007A6E53"/>
    <w:rsid w:val="007A7251"/>
    <w:rsid w:val="007A73D7"/>
    <w:rsid w:val="007A7A80"/>
    <w:rsid w:val="007B0245"/>
    <w:rsid w:val="007B0760"/>
    <w:rsid w:val="007B083F"/>
    <w:rsid w:val="007B0880"/>
    <w:rsid w:val="007B0888"/>
    <w:rsid w:val="007B0C90"/>
    <w:rsid w:val="007B0D01"/>
    <w:rsid w:val="007B1833"/>
    <w:rsid w:val="007B1C17"/>
    <w:rsid w:val="007B202B"/>
    <w:rsid w:val="007B2085"/>
    <w:rsid w:val="007B2FDC"/>
    <w:rsid w:val="007B315F"/>
    <w:rsid w:val="007B32EA"/>
    <w:rsid w:val="007B3601"/>
    <w:rsid w:val="007B38A0"/>
    <w:rsid w:val="007B38B7"/>
    <w:rsid w:val="007B3AAF"/>
    <w:rsid w:val="007B3E38"/>
    <w:rsid w:val="007B3FAE"/>
    <w:rsid w:val="007B4387"/>
    <w:rsid w:val="007B4B96"/>
    <w:rsid w:val="007B4E21"/>
    <w:rsid w:val="007B4F7B"/>
    <w:rsid w:val="007B5104"/>
    <w:rsid w:val="007B5213"/>
    <w:rsid w:val="007B583D"/>
    <w:rsid w:val="007B5CCB"/>
    <w:rsid w:val="007B6482"/>
    <w:rsid w:val="007B6684"/>
    <w:rsid w:val="007B68B7"/>
    <w:rsid w:val="007B6B21"/>
    <w:rsid w:val="007B6C95"/>
    <w:rsid w:val="007B7024"/>
    <w:rsid w:val="007B703B"/>
    <w:rsid w:val="007B71D2"/>
    <w:rsid w:val="007B78EF"/>
    <w:rsid w:val="007B798C"/>
    <w:rsid w:val="007B7ABC"/>
    <w:rsid w:val="007B7CC2"/>
    <w:rsid w:val="007B7F32"/>
    <w:rsid w:val="007B7FCA"/>
    <w:rsid w:val="007C0137"/>
    <w:rsid w:val="007C0390"/>
    <w:rsid w:val="007C0BA8"/>
    <w:rsid w:val="007C0C14"/>
    <w:rsid w:val="007C0F43"/>
    <w:rsid w:val="007C1313"/>
    <w:rsid w:val="007C14A2"/>
    <w:rsid w:val="007C15CD"/>
    <w:rsid w:val="007C166D"/>
    <w:rsid w:val="007C1C90"/>
    <w:rsid w:val="007C1EE8"/>
    <w:rsid w:val="007C2839"/>
    <w:rsid w:val="007C2876"/>
    <w:rsid w:val="007C2B9D"/>
    <w:rsid w:val="007C2EBB"/>
    <w:rsid w:val="007C2F5B"/>
    <w:rsid w:val="007C2F71"/>
    <w:rsid w:val="007C300E"/>
    <w:rsid w:val="007C328D"/>
    <w:rsid w:val="007C336F"/>
    <w:rsid w:val="007C3403"/>
    <w:rsid w:val="007C38E0"/>
    <w:rsid w:val="007C3D06"/>
    <w:rsid w:val="007C4056"/>
    <w:rsid w:val="007C41B1"/>
    <w:rsid w:val="007C488C"/>
    <w:rsid w:val="007C4C37"/>
    <w:rsid w:val="007C4D01"/>
    <w:rsid w:val="007C5595"/>
    <w:rsid w:val="007C55FB"/>
    <w:rsid w:val="007C5613"/>
    <w:rsid w:val="007C5C73"/>
    <w:rsid w:val="007C604C"/>
    <w:rsid w:val="007C6A01"/>
    <w:rsid w:val="007C6E48"/>
    <w:rsid w:val="007C7010"/>
    <w:rsid w:val="007C724C"/>
    <w:rsid w:val="007C7388"/>
    <w:rsid w:val="007C7D61"/>
    <w:rsid w:val="007C7E20"/>
    <w:rsid w:val="007C7FCC"/>
    <w:rsid w:val="007D0762"/>
    <w:rsid w:val="007D07E8"/>
    <w:rsid w:val="007D0825"/>
    <w:rsid w:val="007D0E6C"/>
    <w:rsid w:val="007D13CB"/>
    <w:rsid w:val="007D1B50"/>
    <w:rsid w:val="007D1E2D"/>
    <w:rsid w:val="007D1FE4"/>
    <w:rsid w:val="007D229E"/>
    <w:rsid w:val="007D2764"/>
    <w:rsid w:val="007D30B7"/>
    <w:rsid w:val="007D3AB3"/>
    <w:rsid w:val="007D516B"/>
    <w:rsid w:val="007D54E4"/>
    <w:rsid w:val="007D5524"/>
    <w:rsid w:val="007D55CA"/>
    <w:rsid w:val="007D56EF"/>
    <w:rsid w:val="007D574F"/>
    <w:rsid w:val="007D5A1B"/>
    <w:rsid w:val="007D5A1C"/>
    <w:rsid w:val="007D693A"/>
    <w:rsid w:val="007D6E6C"/>
    <w:rsid w:val="007D70F7"/>
    <w:rsid w:val="007D7600"/>
    <w:rsid w:val="007D7810"/>
    <w:rsid w:val="007D7E46"/>
    <w:rsid w:val="007E001E"/>
    <w:rsid w:val="007E0024"/>
    <w:rsid w:val="007E06D6"/>
    <w:rsid w:val="007E0EA9"/>
    <w:rsid w:val="007E15AD"/>
    <w:rsid w:val="007E1987"/>
    <w:rsid w:val="007E1A6B"/>
    <w:rsid w:val="007E1C6D"/>
    <w:rsid w:val="007E216A"/>
    <w:rsid w:val="007E23F3"/>
    <w:rsid w:val="007E24C7"/>
    <w:rsid w:val="007E25ED"/>
    <w:rsid w:val="007E2951"/>
    <w:rsid w:val="007E29BC"/>
    <w:rsid w:val="007E2A11"/>
    <w:rsid w:val="007E2BC0"/>
    <w:rsid w:val="007E33D2"/>
    <w:rsid w:val="007E39B9"/>
    <w:rsid w:val="007E39D5"/>
    <w:rsid w:val="007E3B6D"/>
    <w:rsid w:val="007E3DF0"/>
    <w:rsid w:val="007E3FF1"/>
    <w:rsid w:val="007E3FF3"/>
    <w:rsid w:val="007E40D5"/>
    <w:rsid w:val="007E428D"/>
    <w:rsid w:val="007E4646"/>
    <w:rsid w:val="007E58D1"/>
    <w:rsid w:val="007E5EDC"/>
    <w:rsid w:val="007E601B"/>
    <w:rsid w:val="007E6890"/>
    <w:rsid w:val="007E6C1A"/>
    <w:rsid w:val="007E6C5A"/>
    <w:rsid w:val="007E6E8D"/>
    <w:rsid w:val="007E7693"/>
    <w:rsid w:val="007E78BB"/>
    <w:rsid w:val="007E79DE"/>
    <w:rsid w:val="007E7E3C"/>
    <w:rsid w:val="007F012E"/>
    <w:rsid w:val="007F0622"/>
    <w:rsid w:val="007F0981"/>
    <w:rsid w:val="007F0BFE"/>
    <w:rsid w:val="007F156D"/>
    <w:rsid w:val="007F16FC"/>
    <w:rsid w:val="007F18C4"/>
    <w:rsid w:val="007F19B1"/>
    <w:rsid w:val="007F1A70"/>
    <w:rsid w:val="007F1BCE"/>
    <w:rsid w:val="007F1CC4"/>
    <w:rsid w:val="007F1FBD"/>
    <w:rsid w:val="007F25E5"/>
    <w:rsid w:val="007F3024"/>
    <w:rsid w:val="007F3077"/>
    <w:rsid w:val="007F3B94"/>
    <w:rsid w:val="007F3CA5"/>
    <w:rsid w:val="007F3FA2"/>
    <w:rsid w:val="007F42BB"/>
    <w:rsid w:val="007F5162"/>
    <w:rsid w:val="007F534F"/>
    <w:rsid w:val="007F5BE3"/>
    <w:rsid w:val="007F5D50"/>
    <w:rsid w:val="007F60FF"/>
    <w:rsid w:val="007F63BD"/>
    <w:rsid w:val="007F67E9"/>
    <w:rsid w:val="007F6FA4"/>
    <w:rsid w:val="007F7048"/>
    <w:rsid w:val="007F7316"/>
    <w:rsid w:val="007F7437"/>
    <w:rsid w:val="007F762B"/>
    <w:rsid w:val="007F76BB"/>
    <w:rsid w:val="007F7744"/>
    <w:rsid w:val="007F7783"/>
    <w:rsid w:val="007F7A52"/>
    <w:rsid w:val="007F7A82"/>
    <w:rsid w:val="007F7C7B"/>
    <w:rsid w:val="008007BB"/>
    <w:rsid w:val="00800B88"/>
    <w:rsid w:val="00801490"/>
    <w:rsid w:val="008015B7"/>
    <w:rsid w:val="008016AC"/>
    <w:rsid w:val="008018F4"/>
    <w:rsid w:val="00801E5F"/>
    <w:rsid w:val="00801FFA"/>
    <w:rsid w:val="008021EC"/>
    <w:rsid w:val="0080228D"/>
    <w:rsid w:val="00802E69"/>
    <w:rsid w:val="00802F34"/>
    <w:rsid w:val="0080303F"/>
    <w:rsid w:val="00803570"/>
    <w:rsid w:val="0080409D"/>
    <w:rsid w:val="008040A2"/>
    <w:rsid w:val="008043A2"/>
    <w:rsid w:val="00804632"/>
    <w:rsid w:val="008046F7"/>
    <w:rsid w:val="008049EE"/>
    <w:rsid w:val="00804D85"/>
    <w:rsid w:val="00805022"/>
    <w:rsid w:val="008054D9"/>
    <w:rsid w:val="00805990"/>
    <w:rsid w:val="00805A39"/>
    <w:rsid w:val="00805AE6"/>
    <w:rsid w:val="008063DE"/>
    <w:rsid w:val="00806688"/>
    <w:rsid w:val="00806830"/>
    <w:rsid w:val="00806955"/>
    <w:rsid w:val="00806FDE"/>
    <w:rsid w:val="008076D7"/>
    <w:rsid w:val="00807A3E"/>
    <w:rsid w:val="00810338"/>
    <w:rsid w:val="0081070F"/>
    <w:rsid w:val="00810825"/>
    <w:rsid w:val="0081086F"/>
    <w:rsid w:val="008108BA"/>
    <w:rsid w:val="00810AA5"/>
    <w:rsid w:val="00810C76"/>
    <w:rsid w:val="00810D9B"/>
    <w:rsid w:val="008111DB"/>
    <w:rsid w:val="008114F5"/>
    <w:rsid w:val="008115C8"/>
    <w:rsid w:val="008117BD"/>
    <w:rsid w:val="008120C0"/>
    <w:rsid w:val="00812282"/>
    <w:rsid w:val="00812632"/>
    <w:rsid w:val="00812813"/>
    <w:rsid w:val="008129D5"/>
    <w:rsid w:val="00812B6E"/>
    <w:rsid w:val="008130D9"/>
    <w:rsid w:val="00813571"/>
    <w:rsid w:val="00813931"/>
    <w:rsid w:val="0081397B"/>
    <w:rsid w:val="00814018"/>
    <w:rsid w:val="00814224"/>
    <w:rsid w:val="008143C5"/>
    <w:rsid w:val="008145D1"/>
    <w:rsid w:val="008148E4"/>
    <w:rsid w:val="00815161"/>
    <w:rsid w:val="0081521F"/>
    <w:rsid w:val="00815395"/>
    <w:rsid w:val="008157F1"/>
    <w:rsid w:val="00815BC4"/>
    <w:rsid w:val="008164E9"/>
    <w:rsid w:val="00816607"/>
    <w:rsid w:val="00816EC2"/>
    <w:rsid w:val="008171FC"/>
    <w:rsid w:val="00817467"/>
    <w:rsid w:val="008179E2"/>
    <w:rsid w:val="00817BB2"/>
    <w:rsid w:val="00817CA2"/>
    <w:rsid w:val="00820455"/>
    <w:rsid w:val="00820DAA"/>
    <w:rsid w:val="00821300"/>
    <w:rsid w:val="00821449"/>
    <w:rsid w:val="00821BEC"/>
    <w:rsid w:val="00821C58"/>
    <w:rsid w:val="0082232D"/>
    <w:rsid w:val="0082288B"/>
    <w:rsid w:val="00822F7A"/>
    <w:rsid w:val="008236E1"/>
    <w:rsid w:val="0082385D"/>
    <w:rsid w:val="00823AAD"/>
    <w:rsid w:val="00823EB7"/>
    <w:rsid w:val="00823FA8"/>
    <w:rsid w:val="00824458"/>
    <w:rsid w:val="0082449D"/>
    <w:rsid w:val="008245AB"/>
    <w:rsid w:val="008246A1"/>
    <w:rsid w:val="0082493E"/>
    <w:rsid w:val="00824967"/>
    <w:rsid w:val="008249F7"/>
    <w:rsid w:val="00824B74"/>
    <w:rsid w:val="00824C5A"/>
    <w:rsid w:val="0082550C"/>
    <w:rsid w:val="00825A17"/>
    <w:rsid w:val="00825E67"/>
    <w:rsid w:val="00826463"/>
    <w:rsid w:val="00826920"/>
    <w:rsid w:val="00826E07"/>
    <w:rsid w:val="00827027"/>
    <w:rsid w:val="0082769E"/>
    <w:rsid w:val="00827C73"/>
    <w:rsid w:val="00827D90"/>
    <w:rsid w:val="00827F63"/>
    <w:rsid w:val="008305FE"/>
    <w:rsid w:val="00830AFD"/>
    <w:rsid w:val="00830DEA"/>
    <w:rsid w:val="00830E3D"/>
    <w:rsid w:val="0083121C"/>
    <w:rsid w:val="008312B3"/>
    <w:rsid w:val="00831921"/>
    <w:rsid w:val="00831D0E"/>
    <w:rsid w:val="0083261F"/>
    <w:rsid w:val="008328D3"/>
    <w:rsid w:val="008331F3"/>
    <w:rsid w:val="0083363A"/>
    <w:rsid w:val="0083403D"/>
    <w:rsid w:val="008347B9"/>
    <w:rsid w:val="00834888"/>
    <w:rsid w:val="00834978"/>
    <w:rsid w:val="00834BB6"/>
    <w:rsid w:val="00835023"/>
    <w:rsid w:val="00835079"/>
    <w:rsid w:val="008357D0"/>
    <w:rsid w:val="00835DD4"/>
    <w:rsid w:val="00835EC9"/>
    <w:rsid w:val="00835F13"/>
    <w:rsid w:val="008372C0"/>
    <w:rsid w:val="00837648"/>
    <w:rsid w:val="00837C9F"/>
    <w:rsid w:val="00840049"/>
    <w:rsid w:val="0084005A"/>
    <w:rsid w:val="00840210"/>
    <w:rsid w:val="008404A4"/>
    <w:rsid w:val="008404AA"/>
    <w:rsid w:val="00840577"/>
    <w:rsid w:val="00840760"/>
    <w:rsid w:val="00840BA8"/>
    <w:rsid w:val="0084100C"/>
    <w:rsid w:val="00841388"/>
    <w:rsid w:val="00841672"/>
    <w:rsid w:val="00841EFB"/>
    <w:rsid w:val="00841F44"/>
    <w:rsid w:val="0084209E"/>
    <w:rsid w:val="00842649"/>
    <w:rsid w:val="00842C76"/>
    <w:rsid w:val="00842C82"/>
    <w:rsid w:val="0084330A"/>
    <w:rsid w:val="008436D7"/>
    <w:rsid w:val="00843734"/>
    <w:rsid w:val="00843B67"/>
    <w:rsid w:val="00843BD4"/>
    <w:rsid w:val="008440FE"/>
    <w:rsid w:val="008441F8"/>
    <w:rsid w:val="008442A2"/>
    <w:rsid w:val="00844560"/>
    <w:rsid w:val="0084457B"/>
    <w:rsid w:val="008445E3"/>
    <w:rsid w:val="00844905"/>
    <w:rsid w:val="00844D30"/>
    <w:rsid w:val="0084510D"/>
    <w:rsid w:val="00845245"/>
    <w:rsid w:val="00845599"/>
    <w:rsid w:val="0084595D"/>
    <w:rsid w:val="00845A22"/>
    <w:rsid w:val="00845AD8"/>
    <w:rsid w:val="00845F2D"/>
    <w:rsid w:val="00845F3F"/>
    <w:rsid w:val="00845F48"/>
    <w:rsid w:val="00846119"/>
    <w:rsid w:val="00846987"/>
    <w:rsid w:val="008474E3"/>
    <w:rsid w:val="00847661"/>
    <w:rsid w:val="008502FB"/>
    <w:rsid w:val="008504E8"/>
    <w:rsid w:val="00850864"/>
    <w:rsid w:val="0085089E"/>
    <w:rsid w:val="0085110D"/>
    <w:rsid w:val="008515DE"/>
    <w:rsid w:val="00851648"/>
    <w:rsid w:val="00851A3A"/>
    <w:rsid w:val="00851BB5"/>
    <w:rsid w:val="00851E5C"/>
    <w:rsid w:val="00851EB7"/>
    <w:rsid w:val="008522D7"/>
    <w:rsid w:val="008526E6"/>
    <w:rsid w:val="008527ED"/>
    <w:rsid w:val="00852CE8"/>
    <w:rsid w:val="00852EA8"/>
    <w:rsid w:val="008530A8"/>
    <w:rsid w:val="00853461"/>
    <w:rsid w:val="00853620"/>
    <w:rsid w:val="008537F7"/>
    <w:rsid w:val="00854480"/>
    <w:rsid w:val="008544A3"/>
    <w:rsid w:val="0085455B"/>
    <w:rsid w:val="008546BE"/>
    <w:rsid w:val="0085484A"/>
    <w:rsid w:val="00854CB5"/>
    <w:rsid w:val="00854F20"/>
    <w:rsid w:val="00854F8F"/>
    <w:rsid w:val="008550BE"/>
    <w:rsid w:val="008557A5"/>
    <w:rsid w:val="008558BC"/>
    <w:rsid w:val="00855B19"/>
    <w:rsid w:val="00855D56"/>
    <w:rsid w:val="00855E95"/>
    <w:rsid w:val="00856032"/>
    <w:rsid w:val="00856074"/>
    <w:rsid w:val="008560C1"/>
    <w:rsid w:val="008561D4"/>
    <w:rsid w:val="00856365"/>
    <w:rsid w:val="00856C6F"/>
    <w:rsid w:val="00856D32"/>
    <w:rsid w:val="00856E85"/>
    <w:rsid w:val="00856F42"/>
    <w:rsid w:val="008570BF"/>
    <w:rsid w:val="00857761"/>
    <w:rsid w:val="00857800"/>
    <w:rsid w:val="00857949"/>
    <w:rsid w:val="00857BC0"/>
    <w:rsid w:val="00860210"/>
    <w:rsid w:val="00860242"/>
    <w:rsid w:val="0086049D"/>
    <w:rsid w:val="00860CED"/>
    <w:rsid w:val="00860EC0"/>
    <w:rsid w:val="008616E8"/>
    <w:rsid w:val="008618B5"/>
    <w:rsid w:val="008618FE"/>
    <w:rsid w:val="00861B2F"/>
    <w:rsid w:val="00861B41"/>
    <w:rsid w:val="008622A3"/>
    <w:rsid w:val="0086278A"/>
    <w:rsid w:val="008627AF"/>
    <w:rsid w:val="00862906"/>
    <w:rsid w:val="0086341F"/>
    <w:rsid w:val="00863510"/>
    <w:rsid w:val="00863A0C"/>
    <w:rsid w:val="00863BE3"/>
    <w:rsid w:val="00863D0B"/>
    <w:rsid w:val="00864162"/>
    <w:rsid w:val="008643DF"/>
    <w:rsid w:val="00864618"/>
    <w:rsid w:val="008647ED"/>
    <w:rsid w:val="00864882"/>
    <w:rsid w:val="00864B23"/>
    <w:rsid w:val="00864C40"/>
    <w:rsid w:val="00865390"/>
    <w:rsid w:val="00865483"/>
    <w:rsid w:val="00865B9D"/>
    <w:rsid w:val="00865CA6"/>
    <w:rsid w:val="00865E18"/>
    <w:rsid w:val="00865E83"/>
    <w:rsid w:val="00865FAF"/>
    <w:rsid w:val="0086621B"/>
    <w:rsid w:val="00866830"/>
    <w:rsid w:val="00866925"/>
    <w:rsid w:val="00866BD0"/>
    <w:rsid w:val="00866ECA"/>
    <w:rsid w:val="0086766B"/>
    <w:rsid w:val="0086797D"/>
    <w:rsid w:val="0087086A"/>
    <w:rsid w:val="00871183"/>
    <w:rsid w:val="008711C4"/>
    <w:rsid w:val="008718DF"/>
    <w:rsid w:val="008719C2"/>
    <w:rsid w:val="0087204C"/>
    <w:rsid w:val="0087277A"/>
    <w:rsid w:val="0087289E"/>
    <w:rsid w:val="00872979"/>
    <w:rsid w:val="00872A47"/>
    <w:rsid w:val="00872BFC"/>
    <w:rsid w:val="008731AA"/>
    <w:rsid w:val="00873281"/>
    <w:rsid w:val="008732CD"/>
    <w:rsid w:val="008736E2"/>
    <w:rsid w:val="00873B48"/>
    <w:rsid w:val="00873CCA"/>
    <w:rsid w:val="00873E10"/>
    <w:rsid w:val="00873E7B"/>
    <w:rsid w:val="00874565"/>
    <w:rsid w:val="00874722"/>
    <w:rsid w:val="0087476E"/>
    <w:rsid w:val="00875302"/>
    <w:rsid w:val="00875400"/>
    <w:rsid w:val="00875499"/>
    <w:rsid w:val="0087551A"/>
    <w:rsid w:val="008756A2"/>
    <w:rsid w:val="008758ED"/>
    <w:rsid w:val="00875933"/>
    <w:rsid w:val="00876024"/>
    <w:rsid w:val="00876252"/>
    <w:rsid w:val="00876679"/>
    <w:rsid w:val="008766D1"/>
    <w:rsid w:val="0087676D"/>
    <w:rsid w:val="00876770"/>
    <w:rsid w:val="008769D0"/>
    <w:rsid w:val="00876A99"/>
    <w:rsid w:val="00876DB6"/>
    <w:rsid w:val="00876E63"/>
    <w:rsid w:val="00877247"/>
    <w:rsid w:val="008777BD"/>
    <w:rsid w:val="00877DB7"/>
    <w:rsid w:val="008801AE"/>
    <w:rsid w:val="00880261"/>
    <w:rsid w:val="00880560"/>
    <w:rsid w:val="0088074E"/>
    <w:rsid w:val="00880798"/>
    <w:rsid w:val="008809AA"/>
    <w:rsid w:val="00880AA3"/>
    <w:rsid w:val="00880E5B"/>
    <w:rsid w:val="00880E83"/>
    <w:rsid w:val="00880FE2"/>
    <w:rsid w:val="008811F0"/>
    <w:rsid w:val="00881305"/>
    <w:rsid w:val="0088187F"/>
    <w:rsid w:val="00881918"/>
    <w:rsid w:val="00881C05"/>
    <w:rsid w:val="00881C2F"/>
    <w:rsid w:val="00881EE9"/>
    <w:rsid w:val="008828BE"/>
    <w:rsid w:val="008829C3"/>
    <w:rsid w:val="00882D7C"/>
    <w:rsid w:val="00882DE1"/>
    <w:rsid w:val="00883669"/>
    <w:rsid w:val="00883B26"/>
    <w:rsid w:val="008840AE"/>
    <w:rsid w:val="0088421C"/>
    <w:rsid w:val="0088437A"/>
    <w:rsid w:val="0088445B"/>
    <w:rsid w:val="008854D1"/>
    <w:rsid w:val="008856DF"/>
    <w:rsid w:val="008864A9"/>
    <w:rsid w:val="0088676A"/>
    <w:rsid w:val="00886C9F"/>
    <w:rsid w:val="00886EB1"/>
    <w:rsid w:val="008872F1"/>
    <w:rsid w:val="00887E72"/>
    <w:rsid w:val="0089128A"/>
    <w:rsid w:val="008913AF"/>
    <w:rsid w:val="00891458"/>
    <w:rsid w:val="0089173A"/>
    <w:rsid w:val="00891AF6"/>
    <w:rsid w:val="00891BC3"/>
    <w:rsid w:val="00891C41"/>
    <w:rsid w:val="008925D6"/>
    <w:rsid w:val="0089293F"/>
    <w:rsid w:val="00892D3F"/>
    <w:rsid w:val="00892DD9"/>
    <w:rsid w:val="008933FF"/>
    <w:rsid w:val="00893789"/>
    <w:rsid w:val="008937C8"/>
    <w:rsid w:val="008938CE"/>
    <w:rsid w:val="00893EE1"/>
    <w:rsid w:val="00894C3D"/>
    <w:rsid w:val="00895E41"/>
    <w:rsid w:val="00895E90"/>
    <w:rsid w:val="00895FF3"/>
    <w:rsid w:val="00896165"/>
    <w:rsid w:val="00896170"/>
    <w:rsid w:val="008967C4"/>
    <w:rsid w:val="00896C25"/>
    <w:rsid w:val="008972CB"/>
    <w:rsid w:val="00897379"/>
    <w:rsid w:val="00897385"/>
    <w:rsid w:val="008974A9"/>
    <w:rsid w:val="008976E0"/>
    <w:rsid w:val="0089797B"/>
    <w:rsid w:val="00897AE9"/>
    <w:rsid w:val="00897E6C"/>
    <w:rsid w:val="008A0302"/>
    <w:rsid w:val="008A0476"/>
    <w:rsid w:val="008A07F4"/>
    <w:rsid w:val="008A089B"/>
    <w:rsid w:val="008A0982"/>
    <w:rsid w:val="008A0D2A"/>
    <w:rsid w:val="008A12DF"/>
    <w:rsid w:val="008A1533"/>
    <w:rsid w:val="008A1592"/>
    <w:rsid w:val="008A1693"/>
    <w:rsid w:val="008A1973"/>
    <w:rsid w:val="008A1D62"/>
    <w:rsid w:val="008A2390"/>
    <w:rsid w:val="008A254F"/>
    <w:rsid w:val="008A2630"/>
    <w:rsid w:val="008A26EC"/>
    <w:rsid w:val="008A2A60"/>
    <w:rsid w:val="008A2B6E"/>
    <w:rsid w:val="008A2FD3"/>
    <w:rsid w:val="008A326A"/>
    <w:rsid w:val="008A387F"/>
    <w:rsid w:val="008A3D0D"/>
    <w:rsid w:val="008A3EA9"/>
    <w:rsid w:val="008A46C5"/>
    <w:rsid w:val="008A4906"/>
    <w:rsid w:val="008A5269"/>
    <w:rsid w:val="008A53CD"/>
    <w:rsid w:val="008A57AB"/>
    <w:rsid w:val="008A57D1"/>
    <w:rsid w:val="008A5833"/>
    <w:rsid w:val="008A5D08"/>
    <w:rsid w:val="008A5DB0"/>
    <w:rsid w:val="008A664F"/>
    <w:rsid w:val="008A6913"/>
    <w:rsid w:val="008A699A"/>
    <w:rsid w:val="008A6A79"/>
    <w:rsid w:val="008A6C77"/>
    <w:rsid w:val="008A6DBA"/>
    <w:rsid w:val="008A6F1A"/>
    <w:rsid w:val="008A6F34"/>
    <w:rsid w:val="008A6F68"/>
    <w:rsid w:val="008A6FF0"/>
    <w:rsid w:val="008A76DE"/>
    <w:rsid w:val="008A7859"/>
    <w:rsid w:val="008A78B1"/>
    <w:rsid w:val="008A7B41"/>
    <w:rsid w:val="008B028E"/>
    <w:rsid w:val="008B0DAD"/>
    <w:rsid w:val="008B0EF2"/>
    <w:rsid w:val="008B1E51"/>
    <w:rsid w:val="008B1FBC"/>
    <w:rsid w:val="008B2242"/>
    <w:rsid w:val="008B24C3"/>
    <w:rsid w:val="008B28F9"/>
    <w:rsid w:val="008B2FB6"/>
    <w:rsid w:val="008B3106"/>
    <w:rsid w:val="008B32CC"/>
    <w:rsid w:val="008B335B"/>
    <w:rsid w:val="008B3447"/>
    <w:rsid w:val="008B3460"/>
    <w:rsid w:val="008B35E1"/>
    <w:rsid w:val="008B3A88"/>
    <w:rsid w:val="008B3AE2"/>
    <w:rsid w:val="008B3E22"/>
    <w:rsid w:val="008B4077"/>
    <w:rsid w:val="008B465F"/>
    <w:rsid w:val="008B4BFC"/>
    <w:rsid w:val="008B4FCE"/>
    <w:rsid w:val="008B5189"/>
    <w:rsid w:val="008B51B4"/>
    <w:rsid w:val="008B55A0"/>
    <w:rsid w:val="008B5928"/>
    <w:rsid w:val="008B5A8E"/>
    <w:rsid w:val="008B5B67"/>
    <w:rsid w:val="008B5D7A"/>
    <w:rsid w:val="008B6040"/>
    <w:rsid w:val="008B607C"/>
    <w:rsid w:val="008B6087"/>
    <w:rsid w:val="008B66E3"/>
    <w:rsid w:val="008B7515"/>
    <w:rsid w:val="008B77AE"/>
    <w:rsid w:val="008B7848"/>
    <w:rsid w:val="008B7917"/>
    <w:rsid w:val="008B7DEB"/>
    <w:rsid w:val="008C00C1"/>
    <w:rsid w:val="008C077A"/>
    <w:rsid w:val="008C0F9A"/>
    <w:rsid w:val="008C1281"/>
    <w:rsid w:val="008C1741"/>
    <w:rsid w:val="008C196A"/>
    <w:rsid w:val="008C19F3"/>
    <w:rsid w:val="008C1AF7"/>
    <w:rsid w:val="008C1B15"/>
    <w:rsid w:val="008C1E05"/>
    <w:rsid w:val="008C21A9"/>
    <w:rsid w:val="008C29E7"/>
    <w:rsid w:val="008C2A44"/>
    <w:rsid w:val="008C2DBA"/>
    <w:rsid w:val="008C2E72"/>
    <w:rsid w:val="008C2F2C"/>
    <w:rsid w:val="008C34BB"/>
    <w:rsid w:val="008C3522"/>
    <w:rsid w:val="008C3834"/>
    <w:rsid w:val="008C41FB"/>
    <w:rsid w:val="008C45E2"/>
    <w:rsid w:val="008C4727"/>
    <w:rsid w:val="008C4AD1"/>
    <w:rsid w:val="008C4F91"/>
    <w:rsid w:val="008C5188"/>
    <w:rsid w:val="008C5512"/>
    <w:rsid w:val="008C61B9"/>
    <w:rsid w:val="008C684C"/>
    <w:rsid w:val="008C6C1F"/>
    <w:rsid w:val="008C6E33"/>
    <w:rsid w:val="008C72EB"/>
    <w:rsid w:val="008C73A2"/>
    <w:rsid w:val="008C7584"/>
    <w:rsid w:val="008C7A65"/>
    <w:rsid w:val="008C7AD3"/>
    <w:rsid w:val="008C7C46"/>
    <w:rsid w:val="008C7CBB"/>
    <w:rsid w:val="008C7FA1"/>
    <w:rsid w:val="008D0869"/>
    <w:rsid w:val="008D0C3A"/>
    <w:rsid w:val="008D0EDE"/>
    <w:rsid w:val="008D0F28"/>
    <w:rsid w:val="008D0FA6"/>
    <w:rsid w:val="008D1774"/>
    <w:rsid w:val="008D1B2C"/>
    <w:rsid w:val="008D1D78"/>
    <w:rsid w:val="008D2F4A"/>
    <w:rsid w:val="008D34AD"/>
    <w:rsid w:val="008D3651"/>
    <w:rsid w:val="008D3726"/>
    <w:rsid w:val="008D3813"/>
    <w:rsid w:val="008D3B55"/>
    <w:rsid w:val="008D3E5C"/>
    <w:rsid w:val="008D401B"/>
    <w:rsid w:val="008D4799"/>
    <w:rsid w:val="008D4AC5"/>
    <w:rsid w:val="008D4CB0"/>
    <w:rsid w:val="008D4EC4"/>
    <w:rsid w:val="008D5019"/>
    <w:rsid w:val="008D51DC"/>
    <w:rsid w:val="008D5E2A"/>
    <w:rsid w:val="008D5FBE"/>
    <w:rsid w:val="008D6397"/>
    <w:rsid w:val="008D64B2"/>
    <w:rsid w:val="008D6CCB"/>
    <w:rsid w:val="008D6DB4"/>
    <w:rsid w:val="008D73B4"/>
    <w:rsid w:val="008D73C9"/>
    <w:rsid w:val="008D777D"/>
    <w:rsid w:val="008D7851"/>
    <w:rsid w:val="008D7A5B"/>
    <w:rsid w:val="008D7B5F"/>
    <w:rsid w:val="008D7B9F"/>
    <w:rsid w:val="008D7BDE"/>
    <w:rsid w:val="008D7CEC"/>
    <w:rsid w:val="008D7F4C"/>
    <w:rsid w:val="008E07C7"/>
    <w:rsid w:val="008E0D29"/>
    <w:rsid w:val="008E1167"/>
    <w:rsid w:val="008E13C7"/>
    <w:rsid w:val="008E16BF"/>
    <w:rsid w:val="008E1927"/>
    <w:rsid w:val="008E19E0"/>
    <w:rsid w:val="008E1A61"/>
    <w:rsid w:val="008E1B53"/>
    <w:rsid w:val="008E24BA"/>
    <w:rsid w:val="008E28E9"/>
    <w:rsid w:val="008E2914"/>
    <w:rsid w:val="008E2AC4"/>
    <w:rsid w:val="008E2ACC"/>
    <w:rsid w:val="008E2C03"/>
    <w:rsid w:val="008E2F04"/>
    <w:rsid w:val="008E3049"/>
    <w:rsid w:val="008E33EC"/>
    <w:rsid w:val="008E3448"/>
    <w:rsid w:val="008E35A3"/>
    <w:rsid w:val="008E3E2B"/>
    <w:rsid w:val="008E3EF1"/>
    <w:rsid w:val="008E408D"/>
    <w:rsid w:val="008E4335"/>
    <w:rsid w:val="008E44BC"/>
    <w:rsid w:val="008E44D9"/>
    <w:rsid w:val="008E45F5"/>
    <w:rsid w:val="008E4CB9"/>
    <w:rsid w:val="008E4CBE"/>
    <w:rsid w:val="008E4DAF"/>
    <w:rsid w:val="008E4FB7"/>
    <w:rsid w:val="008E50C7"/>
    <w:rsid w:val="008E5A05"/>
    <w:rsid w:val="008E5E49"/>
    <w:rsid w:val="008E5EFB"/>
    <w:rsid w:val="008E5F37"/>
    <w:rsid w:val="008E61A9"/>
    <w:rsid w:val="008E646D"/>
    <w:rsid w:val="008E6ABA"/>
    <w:rsid w:val="008E6EC1"/>
    <w:rsid w:val="008E6F44"/>
    <w:rsid w:val="008E6F78"/>
    <w:rsid w:val="008E712D"/>
    <w:rsid w:val="008E7274"/>
    <w:rsid w:val="008E777E"/>
    <w:rsid w:val="008E79D0"/>
    <w:rsid w:val="008E7D17"/>
    <w:rsid w:val="008F0120"/>
    <w:rsid w:val="008F01B7"/>
    <w:rsid w:val="008F031D"/>
    <w:rsid w:val="008F0562"/>
    <w:rsid w:val="008F0EA5"/>
    <w:rsid w:val="008F187B"/>
    <w:rsid w:val="008F1D4B"/>
    <w:rsid w:val="008F1FF7"/>
    <w:rsid w:val="008F230B"/>
    <w:rsid w:val="008F23B9"/>
    <w:rsid w:val="008F260B"/>
    <w:rsid w:val="008F323E"/>
    <w:rsid w:val="008F35EE"/>
    <w:rsid w:val="008F3D5C"/>
    <w:rsid w:val="008F3F55"/>
    <w:rsid w:val="008F4039"/>
    <w:rsid w:val="008F4123"/>
    <w:rsid w:val="008F41D9"/>
    <w:rsid w:val="008F42A0"/>
    <w:rsid w:val="008F5BA9"/>
    <w:rsid w:val="008F5F4C"/>
    <w:rsid w:val="008F61E5"/>
    <w:rsid w:val="008F62D6"/>
    <w:rsid w:val="008F62F1"/>
    <w:rsid w:val="008F63A9"/>
    <w:rsid w:val="008F6517"/>
    <w:rsid w:val="008F651E"/>
    <w:rsid w:val="008F71BF"/>
    <w:rsid w:val="008F78BF"/>
    <w:rsid w:val="008F7CBE"/>
    <w:rsid w:val="008F7DCD"/>
    <w:rsid w:val="00900353"/>
    <w:rsid w:val="009004D3"/>
    <w:rsid w:val="009007A2"/>
    <w:rsid w:val="00900F05"/>
    <w:rsid w:val="0090132A"/>
    <w:rsid w:val="0090174C"/>
    <w:rsid w:val="00902137"/>
    <w:rsid w:val="009023BD"/>
    <w:rsid w:val="00902539"/>
    <w:rsid w:val="00902C5F"/>
    <w:rsid w:val="00902EC7"/>
    <w:rsid w:val="0090379B"/>
    <w:rsid w:val="00903AC5"/>
    <w:rsid w:val="009040B6"/>
    <w:rsid w:val="009041D7"/>
    <w:rsid w:val="00904352"/>
    <w:rsid w:val="009044A3"/>
    <w:rsid w:val="00904A31"/>
    <w:rsid w:val="00904AD1"/>
    <w:rsid w:val="00904BBF"/>
    <w:rsid w:val="00904DF7"/>
    <w:rsid w:val="00905492"/>
    <w:rsid w:val="0090563D"/>
    <w:rsid w:val="00905DE9"/>
    <w:rsid w:val="00905DFF"/>
    <w:rsid w:val="009066B2"/>
    <w:rsid w:val="00906821"/>
    <w:rsid w:val="00906A0A"/>
    <w:rsid w:val="00906AE5"/>
    <w:rsid w:val="00906E65"/>
    <w:rsid w:val="009071E9"/>
    <w:rsid w:val="00907395"/>
    <w:rsid w:val="0090745D"/>
    <w:rsid w:val="0090760F"/>
    <w:rsid w:val="0090797A"/>
    <w:rsid w:val="009079A0"/>
    <w:rsid w:val="00907B39"/>
    <w:rsid w:val="00907B86"/>
    <w:rsid w:val="009106BE"/>
    <w:rsid w:val="009106E9"/>
    <w:rsid w:val="00911414"/>
    <w:rsid w:val="00911772"/>
    <w:rsid w:val="009118E1"/>
    <w:rsid w:val="00911916"/>
    <w:rsid w:val="00911A9F"/>
    <w:rsid w:val="0091211E"/>
    <w:rsid w:val="00912255"/>
    <w:rsid w:val="0091255D"/>
    <w:rsid w:val="00912EAD"/>
    <w:rsid w:val="00912EDE"/>
    <w:rsid w:val="0091384A"/>
    <w:rsid w:val="00914128"/>
    <w:rsid w:val="009141C1"/>
    <w:rsid w:val="009144D5"/>
    <w:rsid w:val="00914930"/>
    <w:rsid w:val="00914A09"/>
    <w:rsid w:val="0091517F"/>
    <w:rsid w:val="0091567F"/>
    <w:rsid w:val="00915F98"/>
    <w:rsid w:val="00915FA3"/>
    <w:rsid w:val="00915FBC"/>
    <w:rsid w:val="00916153"/>
    <w:rsid w:val="00916268"/>
    <w:rsid w:val="009162C0"/>
    <w:rsid w:val="009164A1"/>
    <w:rsid w:val="00916F46"/>
    <w:rsid w:val="00917009"/>
    <w:rsid w:val="00917077"/>
    <w:rsid w:val="009176C9"/>
    <w:rsid w:val="00917CAF"/>
    <w:rsid w:val="00920339"/>
    <w:rsid w:val="0092082A"/>
    <w:rsid w:val="00920944"/>
    <w:rsid w:val="00920A37"/>
    <w:rsid w:val="00921016"/>
    <w:rsid w:val="00921112"/>
    <w:rsid w:val="00921450"/>
    <w:rsid w:val="0092160C"/>
    <w:rsid w:val="009217F8"/>
    <w:rsid w:val="00921FC1"/>
    <w:rsid w:val="0092204C"/>
    <w:rsid w:val="00922488"/>
    <w:rsid w:val="00922876"/>
    <w:rsid w:val="00922B19"/>
    <w:rsid w:val="00923D39"/>
    <w:rsid w:val="00924357"/>
    <w:rsid w:val="0092470E"/>
    <w:rsid w:val="0092509A"/>
    <w:rsid w:val="00925187"/>
    <w:rsid w:val="00925513"/>
    <w:rsid w:val="0092551D"/>
    <w:rsid w:val="00925A4B"/>
    <w:rsid w:val="00925B08"/>
    <w:rsid w:val="00925CEA"/>
    <w:rsid w:val="00926119"/>
    <w:rsid w:val="00926188"/>
    <w:rsid w:val="009263DD"/>
    <w:rsid w:val="009266A8"/>
    <w:rsid w:val="00926EE6"/>
    <w:rsid w:val="0092709C"/>
    <w:rsid w:val="0092717F"/>
    <w:rsid w:val="00927631"/>
    <w:rsid w:val="00927744"/>
    <w:rsid w:val="00927B05"/>
    <w:rsid w:val="00930888"/>
    <w:rsid w:val="009308E0"/>
    <w:rsid w:val="009309A9"/>
    <w:rsid w:val="00930CA8"/>
    <w:rsid w:val="00930F4E"/>
    <w:rsid w:val="009311A2"/>
    <w:rsid w:val="00931572"/>
    <w:rsid w:val="009318B2"/>
    <w:rsid w:val="00931948"/>
    <w:rsid w:val="009319E4"/>
    <w:rsid w:val="00931B41"/>
    <w:rsid w:val="009324D2"/>
    <w:rsid w:val="00932883"/>
    <w:rsid w:val="00932DE9"/>
    <w:rsid w:val="0093344D"/>
    <w:rsid w:val="00933759"/>
    <w:rsid w:val="00933BA0"/>
    <w:rsid w:val="009341BD"/>
    <w:rsid w:val="009344E8"/>
    <w:rsid w:val="00934D55"/>
    <w:rsid w:val="0093541F"/>
    <w:rsid w:val="009355D0"/>
    <w:rsid w:val="00935623"/>
    <w:rsid w:val="009359E2"/>
    <w:rsid w:val="00935D1F"/>
    <w:rsid w:val="00935E01"/>
    <w:rsid w:val="00935F97"/>
    <w:rsid w:val="00935FE6"/>
    <w:rsid w:val="00936062"/>
    <w:rsid w:val="009360A3"/>
    <w:rsid w:val="0093677C"/>
    <w:rsid w:val="009372C3"/>
    <w:rsid w:val="009378CE"/>
    <w:rsid w:val="00937CBE"/>
    <w:rsid w:val="00937EAE"/>
    <w:rsid w:val="00940189"/>
    <w:rsid w:val="00940756"/>
    <w:rsid w:val="00940A77"/>
    <w:rsid w:val="00940B4F"/>
    <w:rsid w:val="00940CEF"/>
    <w:rsid w:val="009410A1"/>
    <w:rsid w:val="009412DC"/>
    <w:rsid w:val="00941785"/>
    <w:rsid w:val="00941A23"/>
    <w:rsid w:val="00941C51"/>
    <w:rsid w:val="00941CBE"/>
    <w:rsid w:val="00941CD0"/>
    <w:rsid w:val="00941DB4"/>
    <w:rsid w:val="009421BD"/>
    <w:rsid w:val="0094243C"/>
    <w:rsid w:val="00942668"/>
    <w:rsid w:val="009427BE"/>
    <w:rsid w:val="00942947"/>
    <w:rsid w:val="009429B4"/>
    <w:rsid w:val="00942BD1"/>
    <w:rsid w:val="00943259"/>
    <w:rsid w:val="00943762"/>
    <w:rsid w:val="00943B68"/>
    <w:rsid w:val="00944027"/>
    <w:rsid w:val="00944087"/>
    <w:rsid w:val="00944099"/>
    <w:rsid w:val="0094469C"/>
    <w:rsid w:val="00944B44"/>
    <w:rsid w:val="00944E74"/>
    <w:rsid w:val="00945583"/>
    <w:rsid w:val="00945D14"/>
    <w:rsid w:val="00945D79"/>
    <w:rsid w:val="00946795"/>
    <w:rsid w:val="009467C6"/>
    <w:rsid w:val="00946F32"/>
    <w:rsid w:val="0094742E"/>
    <w:rsid w:val="0094773A"/>
    <w:rsid w:val="00947D44"/>
    <w:rsid w:val="0095005C"/>
    <w:rsid w:val="0095012E"/>
    <w:rsid w:val="009505F5"/>
    <w:rsid w:val="00950DF3"/>
    <w:rsid w:val="00951934"/>
    <w:rsid w:val="0095207B"/>
    <w:rsid w:val="00952485"/>
    <w:rsid w:val="00952565"/>
    <w:rsid w:val="0095338E"/>
    <w:rsid w:val="00953D83"/>
    <w:rsid w:val="0095425A"/>
    <w:rsid w:val="00954666"/>
    <w:rsid w:val="009549CB"/>
    <w:rsid w:val="00954A6D"/>
    <w:rsid w:val="00954AB5"/>
    <w:rsid w:val="00954C8C"/>
    <w:rsid w:val="00955208"/>
    <w:rsid w:val="00955407"/>
    <w:rsid w:val="00955616"/>
    <w:rsid w:val="0095575E"/>
    <w:rsid w:val="009559FA"/>
    <w:rsid w:val="00955CB2"/>
    <w:rsid w:val="0095619D"/>
    <w:rsid w:val="009565E0"/>
    <w:rsid w:val="0095671E"/>
    <w:rsid w:val="009567F8"/>
    <w:rsid w:val="009569AB"/>
    <w:rsid w:val="00956ACE"/>
    <w:rsid w:val="00956DA2"/>
    <w:rsid w:val="00956E6E"/>
    <w:rsid w:val="00957049"/>
    <w:rsid w:val="009571F9"/>
    <w:rsid w:val="009572A0"/>
    <w:rsid w:val="00957A14"/>
    <w:rsid w:val="00957B35"/>
    <w:rsid w:val="00957D24"/>
    <w:rsid w:val="00957EC5"/>
    <w:rsid w:val="0096036E"/>
    <w:rsid w:val="0096078A"/>
    <w:rsid w:val="00960862"/>
    <w:rsid w:val="00960DCF"/>
    <w:rsid w:val="00961124"/>
    <w:rsid w:val="00961428"/>
    <w:rsid w:val="0096144E"/>
    <w:rsid w:val="009614F2"/>
    <w:rsid w:val="00961B53"/>
    <w:rsid w:val="00961DB8"/>
    <w:rsid w:val="00962083"/>
    <w:rsid w:val="00962103"/>
    <w:rsid w:val="00962164"/>
    <w:rsid w:val="009622FE"/>
    <w:rsid w:val="009624E0"/>
    <w:rsid w:val="00962DF8"/>
    <w:rsid w:val="009630B9"/>
    <w:rsid w:val="00963264"/>
    <w:rsid w:val="00963549"/>
    <w:rsid w:val="0096389D"/>
    <w:rsid w:val="00963AA9"/>
    <w:rsid w:val="00963FD6"/>
    <w:rsid w:val="00964017"/>
    <w:rsid w:val="009644F0"/>
    <w:rsid w:val="00964590"/>
    <w:rsid w:val="00964AD3"/>
    <w:rsid w:val="00964D24"/>
    <w:rsid w:val="0096512E"/>
    <w:rsid w:val="00965775"/>
    <w:rsid w:val="00965B8D"/>
    <w:rsid w:val="00965DD8"/>
    <w:rsid w:val="0096631C"/>
    <w:rsid w:val="00966626"/>
    <w:rsid w:val="00966654"/>
    <w:rsid w:val="00966C12"/>
    <w:rsid w:val="00966D22"/>
    <w:rsid w:val="00966DD9"/>
    <w:rsid w:val="00967292"/>
    <w:rsid w:val="009676C0"/>
    <w:rsid w:val="00967832"/>
    <w:rsid w:val="00967873"/>
    <w:rsid w:val="00967BA6"/>
    <w:rsid w:val="00967C9E"/>
    <w:rsid w:val="009703A0"/>
    <w:rsid w:val="0097062E"/>
    <w:rsid w:val="00970BBA"/>
    <w:rsid w:val="00970C76"/>
    <w:rsid w:val="00970D9E"/>
    <w:rsid w:val="00971216"/>
    <w:rsid w:val="0097141B"/>
    <w:rsid w:val="00971930"/>
    <w:rsid w:val="00971941"/>
    <w:rsid w:val="00971B0C"/>
    <w:rsid w:val="00971E03"/>
    <w:rsid w:val="00971EF5"/>
    <w:rsid w:val="0097291E"/>
    <w:rsid w:val="00972CA0"/>
    <w:rsid w:val="009743DD"/>
    <w:rsid w:val="009743FF"/>
    <w:rsid w:val="009745CA"/>
    <w:rsid w:val="0097504F"/>
    <w:rsid w:val="009751CF"/>
    <w:rsid w:val="00975698"/>
    <w:rsid w:val="00975B7E"/>
    <w:rsid w:val="00975BF0"/>
    <w:rsid w:val="00975CB8"/>
    <w:rsid w:val="0097612B"/>
    <w:rsid w:val="0097662E"/>
    <w:rsid w:val="009766C6"/>
    <w:rsid w:val="00977454"/>
    <w:rsid w:val="009776E4"/>
    <w:rsid w:val="00977EB7"/>
    <w:rsid w:val="0098013D"/>
    <w:rsid w:val="009803A9"/>
    <w:rsid w:val="009803CB"/>
    <w:rsid w:val="009803D4"/>
    <w:rsid w:val="00980445"/>
    <w:rsid w:val="009806B4"/>
    <w:rsid w:val="009807A2"/>
    <w:rsid w:val="00980B28"/>
    <w:rsid w:val="00980CF9"/>
    <w:rsid w:val="00981439"/>
    <w:rsid w:val="00981752"/>
    <w:rsid w:val="0098199C"/>
    <w:rsid w:val="00981B10"/>
    <w:rsid w:val="00981C43"/>
    <w:rsid w:val="00981D15"/>
    <w:rsid w:val="00981D23"/>
    <w:rsid w:val="0098207F"/>
    <w:rsid w:val="009826E7"/>
    <w:rsid w:val="00982913"/>
    <w:rsid w:val="00982CF0"/>
    <w:rsid w:val="00982EA4"/>
    <w:rsid w:val="00983573"/>
    <w:rsid w:val="00983EF3"/>
    <w:rsid w:val="009844BD"/>
    <w:rsid w:val="00984751"/>
    <w:rsid w:val="0098493D"/>
    <w:rsid w:val="00984A19"/>
    <w:rsid w:val="00985450"/>
    <w:rsid w:val="0098559A"/>
    <w:rsid w:val="00985B0E"/>
    <w:rsid w:val="00985F47"/>
    <w:rsid w:val="009861B5"/>
    <w:rsid w:val="00986319"/>
    <w:rsid w:val="0098675F"/>
    <w:rsid w:val="00986AC4"/>
    <w:rsid w:val="00986F65"/>
    <w:rsid w:val="009873F3"/>
    <w:rsid w:val="00987B8D"/>
    <w:rsid w:val="009906DF"/>
    <w:rsid w:val="009906F2"/>
    <w:rsid w:val="00991153"/>
    <w:rsid w:val="00991194"/>
    <w:rsid w:val="009918FA"/>
    <w:rsid w:val="00991C63"/>
    <w:rsid w:val="009923B6"/>
    <w:rsid w:val="009928ED"/>
    <w:rsid w:val="00992986"/>
    <w:rsid w:val="00992FC1"/>
    <w:rsid w:val="009934E9"/>
    <w:rsid w:val="00993AC8"/>
    <w:rsid w:val="00993F86"/>
    <w:rsid w:val="009945F3"/>
    <w:rsid w:val="00994908"/>
    <w:rsid w:val="00995129"/>
    <w:rsid w:val="00995316"/>
    <w:rsid w:val="009954DA"/>
    <w:rsid w:val="009955BD"/>
    <w:rsid w:val="00995E47"/>
    <w:rsid w:val="00995E98"/>
    <w:rsid w:val="009962D5"/>
    <w:rsid w:val="009969CA"/>
    <w:rsid w:val="00996CDA"/>
    <w:rsid w:val="00996E48"/>
    <w:rsid w:val="00996F15"/>
    <w:rsid w:val="009970F9"/>
    <w:rsid w:val="009972B0"/>
    <w:rsid w:val="00997BA8"/>
    <w:rsid w:val="00997EAE"/>
    <w:rsid w:val="00997EDC"/>
    <w:rsid w:val="00997FB5"/>
    <w:rsid w:val="009A047A"/>
    <w:rsid w:val="009A06F4"/>
    <w:rsid w:val="009A084D"/>
    <w:rsid w:val="009A08CB"/>
    <w:rsid w:val="009A0927"/>
    <w:rsid w:val="009A09A2"/>
    <w:rsid w:val="009A0FD4"/>
    <w:rsid w:val="009A12AC"/>
    <w:rsid w:val="009A1742"/>
    <w:rsid w:val="009A1804"/>
    <w:rsid w:val="009A1B4B"/>
    <w:rsid w:val="009A1C19"/>
    <w:rsid w:val="009A1D67"/>
    <w:rsid w:val="009A21D9"/>
    <w:rsid w:val="009A2AE5"/>
    <w:rsid w:val="009A2DCB"/>
    <w:rsid w:val="009A32A8"/>
    <w:rsid w:val="009A3373"/>
    <w:rsid w:val="009A3778"/>
    <w:rsid w:val="009A3833"/>
    <w:rsid w:val="009A38B2"/>
    <w:rsid w:val="009A3E2E"/>
    <w:rsid w:val="009A3F2C"/>
    <w:rsid w:val="009A40DA"/>
    <w:rsid w:val="009A462A"/>
    <w:rsid w:val="009A4D43"/>
    <w:rsid w:val="009A4D49"/>
    <w:rsid w:val="009A4E18"/>
    <w:rsid w:val="009A4FD2"/>
    <w:rsid w:val="009A528E"/>
    <w:rsid w:val="009A535B"/>
    <w:rsid w:val="009A5382"/>
    <w:rsid w:val="009A5D8E"/>
    <w:rsid w:val="009A6562"/>
    <w:rsid w:val="009A67FE"/>
    <w:rsid w:val="009A69B1"/>
    <w:rsid w:val="009A6B6D"/>
    <w:rsid w:val="009A6C67"/>
    <w:rsid w:val="009A78D5"/>
    <w:rsid w:val="009A7E3F"/>
    <w:rsid w:val="009A7F34"/>
    <w:rsid w:val="009B0232"/>
    <w:rsid w:val="009B0503"/>
    <w:rsid w:val="009B0537"/>
    <w:rsid w:val="009B05EB"/>
    <w:rsid w:val="009B0BFF"/>
    <w:rsid w:val="009B0E17"/>
    <w:rsid w:val="009B17D7"/>
    <w:rsid w:val="009B17E1"/>
    <w:rsid w:val="009B1B08"/>
    <w:rsid w:val="009B2245"/>
    <w:rsid w:val="009B22AF"/>
    <w:rsid w:val="009B22F3"/>
    <w:rsid w:val="009B2457"/>
    <w:rsid w:val="009B258E"/>
    <w:rsid w:val="009B2C2F"/>
    <w:rsid w:val="009B2C84"/>
    <w:rsid w:val="009B3150"/>
    <w:rsid w:val="009B32CC"/>
    <w:rsid w:val="009B360A"/>
    <w:rsid w:val="009B3B0C"/>
    <w:rsid w:val="009B4797"/>
    <w:rsid w:val="009B47BB"/>
    <w:rsid w:val="009B4F78"/>
    <w:rsid w:val="009B5302"/>
    <w:rsid w:val="009B5808"/>
    <w:rsid w:val="009B5997"/>
    <w:rsid w:val="009B5AF0"/>
    <w:rsid w:val="009B5E6B"/>
    <w:rsid w:val="009B62D2"/>
    <w:rsid w:val="009B63FE"/>
    <w:rsid w:val="009B6B23"/>
    <w:rsid w:val="009B6E2A"/>
    <w:rsid w:val="009B760F"/>
    <w:rsid w:val="009B78CB"/>
    <w:rsid w:val="009B7ABD"/>
    <w:rsid w:val="009B7BA2"/>
    <w:rsid w:val="009B7BEF"/>
    <w:rsid w:val="009B7BF3"/>
    <w:rsid w:val="009B7CE7"/>
    <w:rsid w:val="009B7D39"/>
    <w:rsid w:val="009C021F"/>
    <w:rsid w:val="009C0600"/>
    <w:rsid w:val="009C0716"/>
    <w:rsid w:val="009C073A"/>
    <w:rsid w:val="009C0987"/>
    <w:rsid w:val="009C0B16"/>
    <w:rsid w:val="009C0DD2"/>
    <w:rsid w:val="009C12E0"/>
    <w:rsid w:val="009C193A"/>
    <w:rsid w:val="009C1D27"/>
    <w:rsid w:val="009C2082"/>
    <w:rsid w:val="009C214B"/>
    <w:rsid w:val="009C2636"/>
    <w:rsid w:val="009C3193"/>
    <w:rsid w:val="009C3312"/>
    <w:rsid w:val="009C38EE"/>
    <w:rsid w:val="009C3BA6"/>
    <w:rsid w:val="009C3BD9"/>
    <w:rsid w:val="009C3D10"/>
    <w:rsid w:val="009C4448"/>
    <w:rsid w:val="009C489D"/>
    <w:rsid w:val="009C4939"/>
    <w:rsid w:val="009C4975"/>
    <w:rsid w:val="009C550B"/>
    <w:rsid w:val="009C5625"/>
    <w:rsid w:val="009C5B03"/>
    <w:rsid w:val="009C5B82"/>
    <w:rsid w:val="009C5C5B"/>
    <w:rsid w:val="009C5C9A"/>
    <w:rsid w:val="009C6051"/>
    <w:rsid w:val="009C6293"/>
    <w:rsid w:val="009C638C"/>
    <w:rsid w:val="009C6606"/>
    <w:rsid w:val="009C6B37"/>
    <w:rsid w:val="009C71D0"/>
    <w:rsid w:val="009C73BD"/>
    <w:rsid w:val="009C756E"/>
    <w:rsid w:val="009C77A0"/>
    <w:rsid w:val="009C7805"/>
    <w:rsid w:val="009C790C"/>
    <w:rsid w:val="009C7D8B"/>
    <w:rsid w:val="009C7D92"/>
    <w:rsid w:val="009C7ECD"/>
    <w:rsid w:val="009D0A5C"/>
    <w:rsid w:val="009D0B21"/>
    <w:rsid w:val="009D10AF"/>
    <w:rsid w:val="009D16BC"/>
    <w:rsid w:val="009D16DF"/>
    <w:rsid w:val="009D1A52"/>
    <w:rsid w:val="009D1C67"/>
    <w:rsid w:val="009D1E14"/>
    <w:rsid w:val="009D1E99"/>
    <w:rsid w:val="009D21BE"/>
    <w:rsid w:val="009D21F2"/>
    <w:rsid w:val="009D2847"/>
    <w:rsid w:val="009D2A89"/>
    <w:rsid w:val="009D2B4E"/>
    <w:rsid w:val="009D2CDD"/>
    <w:rsid w:val="009D2CFE"/>
    <w:rsid w:val="009D34AE"/>
    <w:rsid w:val="009D380B"/>
    <w:rsid w:val="009D3C3D"/>
    <w:rsid w:val="009D3E3D"/>
    <w:rsid w:val="009D3F8F"/>
    <w:rsid w:val="009D403F"/>
    <w:rsid w:val="009D43EF"/>
    <w:rsid w:val="009D46B1"/>
    <w:rsid w:val="009D4AC1"/>
    <w:rsid w:val="009D4C45"/>
    <w:rsid w:val="009D5246"/>
    <w:rsid w:val="009D5288"/>
    <w:rsid w:val="009D5483"/>
    <w:rsid w:val="009D54CF"/>
    <w:rsid w:val="009D57EE"/>
    <w:rsid w:val="009D5E06"/>
    <w:rsid w:val="009D60C5"/>
    <w:rsid w:val="009D61A0"/>
    <w:rsid w:val="009D67B9"/>
    <w:rsid w:val="009D6AEE"/>
    <w:rsid w:val="009D7005"/>
    <w:rsid w:val="009D793B"/>
    <w:rsid w:val="009D7C51"/>
    <w:rsid w:val="009D7FF6"/>
    <w:rsid w:val="009E03B1"/>
    <w:rsid w:val="009E0B78"/>
    <w:rsid w:val="009E0CE9"/>
    <w:rsid w:val="009E0F1F"/>
    <w:rsid w:val="009E1784"/>
    <w:rsid w:val="009E22DC"/>
    <w:rsid w:val="009E2305"/>
    <w:rsid w:val="009E28AB"/>
    <w:rsid w:val="009E2AC4"/>
    <w:rsid w:val="009E2AD3"/>
    <w:rsid w:val="009E2FC8"/>
    <w:rsid w:val="009E3083"/>
    <w:rsid w:val="009E3105"/>
    <w:rsid w:val="009E3809"/>
    <w:rsid w:val="009E3DCE"/>
    <w:rsid w:val="009E4483"/>
    <w:rsid w:val="009E452C"/>
    <w:rsid w:val="009E47CF"/>
    <w:rsid w:val="009E47E5"/>
    <w:rsid w:val="009E49E6"/>
    <w:rsid w:val="009E4D79"/>
    <w:rsid w:val="009E538A"/>
    <w:rsid w:val="009E58DC"/>
    <w:rsid w:val="009E5BFA"/>
    <w:rsid w:val="009E5D08"/>
    <w:rsid w:val="009E60EE"/>
    <w:rsid w:val="009E6101"/>
    <w:rsid w:val="009E6306"/>
    <w:rsid w:val="009E6A19"/>
    <w:rsid w:val="009E711A"/>
    <w:rsid w:val="009E75F3"/>
    <w:rsid w:val="009E761B"/>
    <w:rsid w:val="009E7B67"/>
    <w:rsid w:val="009E7E3B"/>
    <w:rsid w:val="009E7F77"/>
    <w:rsid w:val="009F090E"/>
    <w:rsid w:val="009F10A7"/>
    <w:rsid w:val="009F146F"/>
    <w:rsid w:val="009F149D"/>
    <w:rsid w:val="009F1543"/>
    <w:rsid w:val="009F20CE"/>
    <w:rsid w:val="009F2445"/>
    <w:rsid w:val="009F2EC1"/>
    <w:rsid w:val="009F31FF"/>
    <w:rsid w:val="009F3477"/>
    <w:rsid w:val="009F351E"/>
    <w:rsid w:val="009F370D"/>
    <w:rsid w:val="009F3BD8"/>
    <w:rsid w:val="009F3C75"/>
    <w:rsid w:val="009F3C9D"/>
    <w:rsid w:val="009F3CD6"/>
    <w:rsid w:val="009F3FA5"/>
    <w:rsid w:val="009F40A5"/>
    <w:rsid w:val="009F41F8"/>
    <w:rsid w:val="009F453D"/>
    <w:rsid w:val="009F4778"/>
    <w:rsid w:val="009F47FE"/>
    <w:rsid w:val="009F49C0"/>
    <w:rsid w:val="009F4AF6"/>
    <w:rsid w:val="009F5385"/>
    <w:rsid w:val="009F58E8"/>
    <w:rsid w:val="009F5E3C"/>
    <w:rsid w:val="009F5F43"/>
    <w:rsid w:val="009F61C2"/>
    <w:rsid w:val="009F653A"/>
    <w:rsid w:val="009F6907"/>
    <w:rsid w:val="009F6E76"/>
    <w:rsid w:val="009F7105"/>
    <w:rsid w:val="009F732D"/>
    <w:rsid w:val="009F778C"/>
    <w:rsid w:val="009F7861"/>
    <w:rsid w:val="009F7B9F"/>
    <w:rsid w:val="009F7C8F"/>
    <w:rsid w:val="00A00129"/>
    <w:rsid w:val="00A0024F"/>
    <w:rsid w:val="00A00287"/>
    <w:rsid w:val="00A0037E"/>
    <w:rsid w:val="00A00416"/>
    <w:rsid w:val="00A007BD"/>
    <w:rsid w:val="00A00849"/>
    <w:rsid w:val="00A00AC8"/>
    <w:rsid w:val="00A00BAD"/>
    <w:rsid w:val="00A00FFC"/>
    <w:rsid w:val="00A01303"/>
    <w:rsid w:val="00A015A5"/>
    <w:rsid w:val="00A01BD9"/>
    <w:rsid w:val="00A0226E"/>
    <w:rsid w:val="00A028D5"/>
    <w:rsid w:val="00A0292F"/>
    <w:rsid w:val="00A02A21"/>
    <w:rsid w:val="00A02B14"/>
    <w:rsid w:val="00A02C4F"/>
    <w:rsid w:val="00A03323"/>
    <w:rsid w:val="00A0336A"/>
    <w:rsid w:val="00A035A3"/>
    <w:rsid w:val="00A035AE"/>
    <w:rsid w:val="00A03832"/>
    <w:rsid w:val="00A03D58"/>
    <w:rsid w:val="00A04126"/>
    <w:rsid w:val="00A04153"/>
    <w:rsid w:val="00A044BE"/>
    <w:rsid w:val="00A047F7"/>
    <w:rsid w:val="00A04811"/>
    <w:rsid w:val="00A04A09"/>
    <w:rsid w:val="00A04B36"/>
    <w:rsid w:val="00A0500D"/>
    <w:rsid w:val="00A05821"/>
    <w:rsid w:val="00A05844"/>
    <w:rsid w:val="00A0596F"/>
    <w:rsid w:val="00A05A75"/>
    <w:rsid w:val="00A05D1D"/>
    <w:rsid w:val="00A05EA2"/>
    <w:rsid w:val="00A060F2"/>
    <w:rsid w:val="00A0651C"/>
    <w:rsid w:val="00A068AC"/>
    <w:rsid w:val="00A06AA9"/>
    <w:rsid w:val="00A07051"/>
    <w:rsid w:val="00A07248"/>
    <w:rsid w:val="00A07382"/>
    <w:rsid w:val="00A0761A"/>
    <w:rsid w:val="00A076CC"/>
    <w:rsid w:val="00A07939"/>
    <w:rsid w:val="00A10089"/>
    <w:rsid w:val="00A108D5"/>
    <w:rsid w:val="00A10F90"/>
    <w:rsid w:val="00A11537"/>
    <w:rsid w:val="00A1165C"/>
    <w:rsid w:val="00A117A8"/>
    <w:rsid w:val="00A11E93"/>
    <w:rsid w:val="00A11EF4"/>
    <w:rsid w:val="00A12120"/>
    <w:rsid w:val="00A12282"/>
    <w:rsid w:val="00A125D6"/>
    <w:rsid w:val="00A12C5B"/>
    <w:rsid w:val="00A12D2F"/>
    <w:rsid w:val="00A12DFA"/>
    <w:rsid w:val="00A134CA"/>
    <w:rsid w:val="00A1358C"/>
    <w:rsid w:val="00A142D7"/>
    <w:rsid w:val="00A14E53"/>
    <w:rsid w:val="00A150CD"/>
    <w:rsid w:val="00A1522F"/>
    <w:rsid w:val="00A153D3"/>
    <w:rsid w:val="00A15540"/>
    <w:rsid w:val="00A15580"/>
    <w:rsid w:val="00A160B3"/>
    <w:rsid w:val="00A16449"/>
    <w:rsid w:val="00A16DDF"/>
    <w:rsid w:val="00A17109"/>
    <w:rsid w:val="00A17414"/>
    <w:rsid w:val="00A17424"/>
    <w:rsid w:val="00A1760D"/>
    <w:rsid w:val="00A1780C"/>
    <w:rsid w:val="00A17866"/>
    <w:rsid w:val="00A17A0E"/>
    <w:rsid w:val="00A20297"/>
    <w:rsid w:val="00A202D6"/>
    <w:rsid w:val="00A20853"/>
    <w:rsid w:val="00A219AE"/>
    <w:rsid w:val="00A21F42"/>
    <w:rsid w:val="00A224DA"/>
    <w:rsid w:val="00A2284C"/>
    <w:rsid w:val="00A22EFC"/>
    <w:rsid w:val="00A2334D"/>
    <w:rsid w:val="00A23770"/>
    <w:rsid w:val="00A23C5F"/>
    <w:rsid w:val="00A23CD8"/>
    <w:rsid w:val="00A23F7C"/>
    <w:rsid w:val="00A24627"/>
    <w:rsid w:val="00A24AF9"/>
    <w:rsid w:val="00A24CFE"/>
    <w:rsid w:val="00A250A5"/>
    <w:rsid w:val="00A25125"/>
    <w:rsid w:val="00A25FE9"/>
    <w:rsid w:val="00A260CA"/>
    <w:rsid w:val="00A261B0"/>
    <w:rsid w:val="00A26389"/>
    <w:rsid w:val="00A263F6"/>
    <w:rsid w:val="00A26533"/>
    <w:rsid w:val="00A269F1"/>
    <w:rsid w:val="00A27882"/>
    <w:rsid w:val="00A27ABF"/>
    <w:rsid w:val="00A27D27"/>
    <w:rsid w:val="00A27EAC"/>
    <w:rsid w:val="00A3035D"/>
    <w:rsid w:val="00A303B8"/>
    <w:rsid w:val="00A30444"/>
    <w:rsid w:val="00A30863"/>
    <w:rsid w:val="00A30DE0"/>
    <w:rsid w:val="00A30E09"/>
    <w:rsid w:val="00A310A4"/>
    <w:rsid w:val="00A316E0"/>
    <w:rsid w:val="00A317CB"/>
    <w:rsid w:val="00A319A7"/>
    <w:rsid w:val="00A31A55"/>
    <w:rsid w:val="00A31B14"/>
    <w:rsid w:val="00A31B28"/>
    <w:rsid w:val="00A31B78"/>
    <w:rsid w:val="00A31BC9"/>
    <w:rsid w:val="00A31FE3"/>
    <w:rsid w:val="00A32221"/>
    <w:rsid w:val="00A32927"/>
    <w:rsid w:val="00A32A75"/>
    <w:rsid w:val="00A32AD4"/>
    <w:rsid w:val="00A32ADB"/>
    <w:rsid w:val="00A32B5D"/>
    <w:rsid w:val="00A3300D"/>
    <w:rsid w:val="00A33700"/>
    <w:rsid w:val="00A33A8E"/>
    <w:rsid w:val="00A33BC6"/>
    <w:rsid w:val="00A34083"/>
    <w:rsid w:val="00A3455A"/>
    <w:rsid w:val="00A34636"/>
    <w:rsid w:val="00A34735"/>
    <w:rsid w:val="00A3474E"/>
    <w:rsid w:val="00A347DD"/>
    <w:rsid w:val="00A3489E"/>
    <w:rsid w:val="00A3495F"/>
    <w:rsid w:val="00A34C96"/>
    <w:rsid w:val="00A34EB5"/>
    <w:rsid w:val="00A35420"/>
    <w:rsid w:val="00A35620"/>
    <w:rsid w:val="00A35676"/>
    <w:rsid w:val="00A35809"/>
    <w:rsid w:val="00A35E34"/>
    <w:rsid w:val="00A36062"/>
    <w:rsid w:val="00A3607A"/>
    <w:rsid w:val="00A36182"/>
    <w:rsid w:val="00A361C3"/>
    <w:rsid w:val="00A36764"/>
    <w:rsid w:val="00A368EE"/>
    <w:rsid w:val="00A36B69"/>
    <w:rsid w:val="00A374E7"/>
    <w:rsid w:val="00A37F52"/>
    <w:rsid w:val="00A37F78"/>
    <w:rsid w:val="00A401E3"/>
    <w:rsid w:val="00A40263"/>
    <w:rsid w:val="00A40514"/>
    <w:rsid w:val="00A40907"/>
    <w:rsid w:val="00A40AE4"/>
    <w:rsid w:val="00A41069"/>
    <w:rsid w:val="00A411FA"/>
    <w:rsid w:val="00A413FD"/>
    <w:rsid w:val="00A4168E"/>
    <w:rsid w:val="00A41C69"/>
    <w:rsid w:val="00A41D5F"/>
    <w:rsid w:val="00A41E75"/>
    <w:rsid w:val="00A42050"/>
    <w:rsid w:val="00A42427"/>
    <w:rsid w:val="00A4243D"/>
    <w:rsid w:val="00A42A6F"/>
    <w:rsid w:val="00A42C1E"/>
    <w:rsid w:val="00A43479"/>
    <w:rsid w:val="00A4350D"/>
    <w:rsid w:val="00A4356C"/>
    <w:rsid w:val="00A4370C"/>
    <w:rsid w:val="00A43755"/>
    <w:rsid w:val="00A438DB"/>
    <w:rsid w:val="00A43BB8"/>
    <w:rsid w:val="00A43EA1"/>
    <w:rsid w:val="00A44423"/>
    <w:rsid w:val="00A44A40"/>
    <w:rsid w:val="00A44EC1"/>
    <w:rsid w:val="00A454B3"/>
    <w:rsid w:val="00A45D01"/>
    <w:rsid w:val="00A45E52"/>
    <w:rsid w:val="00A4610D"/>
    <w:rsid w:val="00A46652"/>
    <w:rsid w:val="00A46C0C"/>
    <w:rsid w:val="00A46D15"/>
    <w:rsid w:val="00A4711C"/>
    <w:rsid w:val="00A4713D"/>
    <w:rsid w:val="00A474E9"/>
    <w:rsid w:val="00A4771B"/>
    <w:rsid w:val="00A477AD"/>
    <w:rsid w:val="00A47BE9"/>
    <w:rsid w:val="00A47D50"/>
    <w:rsid w:val="00A47D8F"/>
    <w:rsid w:val="00A47EB8"/>
    <w:rsid w:val="00A50297"/>
    <w:rsid w:val="00A50A23"/>
    <w:rsid w:val="00A50F3E"/>
    <w:rsid w:val="00A51307"/>
    <w:rsid w:val="00A51B8C"/>
    <w:rsid w:val="00A51CDA"/>
    <w:rsid w:val="00A5200D"/>
    <w:rsid w:val="00A524F5"/>
    <w:rsid w:val="00A5252F"/>
    <w:rsid w:val="00A52873"/>
    <w:rsid w:val="00A52D5C"/>
    <w:rsid w:val="00A5323B"/>
    <w:rsid w:val="00A53333"/>
    <w:rsid w:val="00A53382"/>
    <w:rsid w:val="00A53B5C"/>
    <w:rsid w:val="00A53C46"/>
    <w:rsid w:val="00A5437D"/>
    <w:rsid w:val="00A54451"/>
    <w:rsid w:val="00A547A6"/>
    <w:rsid w:val="00A549BD"/>
    <w:rsid w:val="00A54BE0"/>
    <w:rsid w:val="00A54BFF"/>
    <w:rsid w:val="00A54D32"/>
    <w:rsid w:val="00A54F98"/>
    <w:rsid w:val="00A54FB4"/>
    <w:rsid w:val="00A5593D"/>
    <w:rsid w:val="00A55CBE"/>
    <w:rsid w:val="00A55E2B"/>
    <w:rsid w:val="00A55E74"/>
    <w:rsid w:val="00A56139"/>
    <w:rsid w:val="00A56DE0"/>
    <w:rsid w:val="00A56FC9"/>
    <w:rsid w:val="00A57439"/>
    <w:rsid w:val="00A57ABC"/>
    <w:rsid w:val="00A60320"/>
    <w:rsid w:val="00A603F2"/>
    <w:rsid w:val="00A60439"/>
    <w:rsid w:val="00A6091F"/>
    <w:rsid w:val="00A60A56"/>
    <w:rsid w:val="00A60A61"/>
    <w:rsid w:val="00A60E04"/>
    <w:rsid w:val="00A61111"/>
    <w:rsid w:val="00A618C9"/>
    <w:rsid w:val="00A61A10"/>
    <w:rsid w:val="00A61B3D"/>
    <w:rsid w:val="00A61C9F"/>
    <w:rsid w:val="00A61E0E"/>
    <w:rsid w:val="00A61E90"/>
    <w:rsid w:val="00A624FB"/>
    <w:rsid w:val="00A62640"/>
    <w:rsid w:val="00A628B7"/>
    <w:rsid w:val="00A62964"/>
    <w:rsid w:val="00A62A83"/>
    <w:rsid w:val="00A62DBE"/>
    <w:rsid w:val="00A62FB1"/>
    <w:rsid w:val="00A6323A"/>
    <w:rsid w:val="00A63252"/>
    <w:rsid w:val="00A6346F"/>
    <w:rsid w:val="00A63A3E"/>
    <w:rsid w:val="00A63C18"/>
    <w:rsid w:val="00A63F88"/>
    <w:rsid w:val="00A642D8"/>
    <w:rsid w:val="00A644AD"/>
    <w:rsid w:val="00A64765"/>
    <w:rsid w:val="00A64E5F"/>
    <w:rsid w:val="00A6514F"/>
    <w:rsid w:val="00A65466"/>
    <w:rsid w:val="00A65576"/>
    <w:rsid w:val="00A65667"/>
    <w:rsid w:val="00A656A3"/>
    <w:rsid w:val="00A658FF"/>
    <w:rsid w:val="00A65A30"/>
    <w:rsid w:val="00A662DC"/>
    <w:rsid w:val="00A66A10"/>
    <w:rsid w:val="00A6734D"/>
    <w:rsid w:val="00A6741B"/>
    <w:rsid w:val="00A67470"/>
    <w:rsid w:val="00A675DD"/>
    <w:rsid w:val="00A67A9D"/>
    <w:rsid w:val="00A67C1F"/>
    <w:rsid w:val="00A67F0B"/>
    <w:rsid w:val="00A70350"/>
    <w:rsid w:val="00A7041D"/>
    <w:rsid w:val="00A70920"/>
    <w:rsid w:val="00A70BC1"/>
    <w:rsid w:val="00A71409"/>
    <w:rsid w:val="00A71471"/>
    <w:rsid w:val="00A71532"/>
    <w:rsid w:val="00A71601"/>
    <w:rsid w:val="00A716A9"/>
    <w:rsid w:val="00A71813"/>
    <w:rsid w:val="00A71833"/>
    <w:rsid w:val="00A71B6E"/>
    <w:rsid w:val="00A71F5E"/>
    <w:rsid w:val="00A72923"/>
    <w:rsid w:val="00A73571"/>
    <w:rsid w:val="00A73964"/>
    <w:rsid w:val="00A73B4D"/>
    <w:rsid w:val="00A74226"/>
    <w:rsid w:val="00A74304"/>
    <w:rsid w:val="00A74CFC"/>
    <w:rsid w:val="00A74F7E"/>
    <w:rsid w:val="00A74FAE"/>
    <w:rsid w:val="00A752CC"/>
    <w:rsid w:val="00A7561B"/>
    <w:rsid w:val="00A757B0"/>
    <w:rsid w:val="00A758EF"/>
    <w:rsid w:val="00A75C24"/>
    <w:rsid w:val="00A75E6D"/>
    <w:rsid w:val="00A76605"/>
    <w:rsid w:val="00A76770"/>
    <w:rsid w:val="00A769D6"/>
    <w:rsid w:val="00A76F09"/>
    <w:rsid w:val="00A76F20"/>
    <w:rsid w:val="00A7715B"/>
    <w:rsid w:val="00A776A4"/>
    <w:rsid w:val="00A7776B"/>
    <w:rsid w:val="00A779BF"/>
    <w:rsid w:val="00A77A58"/>
    <w:rsid w:val="00A77BBE"/>
    <w:rsid w:val="00A8049D"/>
    <w:rsid w:val="00A805F7"/>
    <w:rsid w:val="00A8075B"/>
    <w:rsid w:val="00A80771"/>
    <w:rsid w:val="00A81BF0"/>
    <w:rsid w:val="00A82107"/>
    <w:rsid w:val="00A821F1"/>
    <w:rsid w:val="00A822C2"/>
    <w:rsid w:val="00A82673"/>
    <w:rsid w:val="00A826D9"/>
    <w:rsid w:val="00A82990"/>
    <w:rsid w:val="00A829E7"/>
    <w:rsid w:val="00A82B58"/>
    <w:rsid w:val="00A82CCD"/>
    <w:rsid w:val="00A82DF9"/>
    <w:rsid w:val="00A82ED6"/>
    <w:rsid w:val="00A8385A"/>
    <w:rsid w:val="00A83A9D"/>
    <w:rsid w:val="00A83C5F"/>
    <w:rsid w:val="00A83F10"/>
    <w:rsid w:val="00A84270"/>
    <w:rsid w:val="00A84333"/>
    <w:rsid w:val="00A84C60"/>
    <w:rsid w:val="00A869C4"/>
    <w:rsid w:val="00A86A1D"/>
    <w:rsid w:val="00A86A78"/>
    <w:rsid w:val="00A86FC1"/>
    <w:rsid w:val="00A87376"/>
    <w:rsid w:val="00A876A3"/>
    <w:rsid w:val="00A87D4C"/>
    <w:rsid w:val="00A87EFE"/>
    <w:rsid w:val="00A90015"/>
    <w:rsid w:val="00A90124"/>
    <w:rsid w:val="00A9032D"/>
    <w:rsid w:val="00A90401"/>
    <w:rsid w:val="00A90AFB"/>
    <w:rsid w:val="00A9123A"/>
    <w:rsid w:val="00A912FE"/>
    <w:rsid w:val="00A9177B"/>
    <w:rsid w:val="00A921C9"/>
    <w:rsid w:val="00A921E3"/>
    <w:rsid w:val="00A92A8C"/>
    <w:rsid w:val="00A92EB0"/>
    <w:rsid w:val="00A92F58"/>
    <w:rsid w:val="00A93340"/>
    <w:rsid w:val="00A9362C"/>
    <w:rsid w:val="00A9378E"/>
    <w:rsid w:val="00A939B0"/>
    <w:rsid w:val="00A93D52"/>
    <w:rsid w:val="00A94AC4"/>
    <w:rsid w:val="00A94B13"/>
    <w:rsid w:val="00A94D20"/>
    <w:rsid w:val="00A95057"/>
    <w:rsid w:val="00A958F1"/>
    <w:rsid w:val="00A9598F"/>
    <w:rsid w:val="00A95B29"/>
    <w:rsid w:val="00A95D2E"/>
    <w:rsid w:val="00A95DC7"/>
    <w:rsid w:val="00A963B9"/>
    <w:rsid w:val="00A9647C"/>
    <w:rsid w:val="00A966CF"/>
    <w:rsid w:val="00A96F92"/>
    <w:rsid w:val="00A97352"/>
    <w:rsid w:val="00A97479"/>
    <w:rsid w:val="00A9752B"/>
    <w:rsid w:val="00A978CD"/>
    <w:rsid w:val="00A97D88"/>
    <w:rsid w:val="00A97FBA"/>
    <w:rsid w:val="00AA01D6"/>
    <w:rsid w:val="00AA05B1"/>
    <w:rsid w:val="00AA0A8E"/>
    <w:rsid w:val="00AA0D14"/>
    <w:rsid w:val="00AA1050"/>
    <w:rsid w:val="00AA2421"/>
    <w:rsid w:val="00AA2461"/>
    <w:rsid w:val="00AA2564"/>
    <w:rsid w:val="00AA2865"/>
    <w:rsid w:val="00AA2C19"/>
    <w:rsid w:val="00AA3289"/>
    <w:rsid w:val="00AA32FA"/>
    <w:rsid w:val="00AA35A7"/>
    <w:rsid w:val="00AA360C"/>
    <w:rsid w:val="00AA37D8"/>
    <w:rsid w:val="00AA3A42"/>
    <w:rsid w:val="00AA3A9B"/>
    <w:rsid w:val="00AA3BF1"/>
    <w:rsid w:val="00AA3E2E"/>
    <w:rsid w:val="00AA420E"/>
    <w:rsid w:val="00AA43CA"/>
    <w:rsid w:val="00AA4809"/>
    <w:rsid w:val="00AA4EB7"/>
    <w:rsid w:val="00AA53DD"/>
    <w:rsid w:val="00AA5410"/>
    <w:rsid w:val="00AA5558"/>
    <w:rsid w:val="00AA573B"/>
    <w:rsid w:val="00AA5B1D"/>
    <w:rsid w:val="00AA5C58"/>
    <w:rsid w:val="00AA5D53"/>
    <w:rsid w:val="00AA635A"/>
    <w:rsid w:val="00AA64DF"/>
    <w:rsid w:val="00AA676E"/>
    <w:rsid w:val="00AA6A66"/>
    <w:rsid w:val="00AA6A90"/>
    <w:rsid w:val="00AA6E45"/>
    <w:rsid w:val="00AA71C6"/>
    <w:rsid w:val="00AA7440"/>
    <w:rsid w:val="00AA76E8"/>
    <w:rsid w:val="00AA7707"/>
    <w:rsid w:val="00AA7AAE"/>
    <w:rsid w:val="00AB030F"/>
    <w:rsid w:val="00AB0321"/>
    <w:rsid w:val="00AB0B4F"/>
    <w:rsid w:val="00AB0B74"/>
    <w:rsid w:val="00AB0F7B"/>
    <w:rsid w:val="00AB1285"/>
    <w:rsid w:val="00AB13E7"/>
    <w:rsid w:val="00AB1669"/>
    <w:rsid w:val="00AB1794"/>
    <w:rsid w:val="00AB18E2"/>
    <w:rsid w:val="00AB196F"/>
    <w:rsid w:val="00AB1972"/>
    <w:rsid w:val="00AB1D0B"/>
    <w:rsid w:val="00AB1F6E"/>
    <w:rsid w:val="00AB21C6"/>
    <w:rsid w:val="00AB2841"/>
    <w:rsid w:val="00AB2EA8"/>
    <w:rsid w:val="00AB2FA2"/>
    <w:rsid w:val="00AB365B"/>
    <w:rsid w:val="00AB3768"/>
    <w:rsid w:val="00AB3A16"/>
    <w:rsid w:val="00AB3B80"/>
    <w:rsid w:val="00AB3EFC"/>
    <w:rsid w:val="00AB456A"/>
    <w:rsid w:val="00AB4592"/>
    <w:rsid w:val="00AB4984"/>
    <w:rsid w:val="00AB4A1B"/>
    <w:rsid w:val="00AB4E67"/>
    <w:rsid w:val="00AB4F01"/>
    <w:rsid w:val="00AB4F18"/>
    <w:rsid w:val="00AB54B3"/>
    <w:rsid w:val="00AB606B"/>
    <w:rsid w:val="00AB675F"/>
    <w:rsid w:val="00AB68BF"/>
    <w:rsid w:val="00AB728E"/>
    <w:rsid w:val="00AB747B"/>
    <w:rsid w:val="00AB74D1"/>
    <w:rsid w:val="00AB7B42"/>
    <w:rsid w:val="00AC0356"/>
    <w:rsid w:val="00AC07F4"/>
    <w:rsid w:val="00AC087C"/>
    <w:rsid w:val="00AC0A66"/>
    <w:rsid w:val="00AC0F07"/>
    <w:rsid w:val="00AC1237"/>
    <w:rsid w:val="00AC1378"/>
    <w:rsid w:val="00AC157B"/>
    <w:rsid w:val="00AC15C8"/>
    <w:rsid w:val="00AC1705"/>
    <w:rsid w:val="00AC1739"/>
    <w:rsid w:val="00AC18BF"/>
    <w:rsid w:val="00AC1B3A"/>
    <w:rsid w:val="00AC1F22"/>
    <w:rsid w:val="00AC20CD"/>
    <w:rsid w:val="00AC21BF"/>
    <w:rsid w:val="00AC2222"/>
    <w:rsid w:val="00AC226A"/>
    <w:rsid w:val="00AC23EE"/>
    <w:rsid w:val="00AC23FC"/>
    <w:rsid w:val="00AC2629"/>
    <w:rsid w:val="00AC2A31"/>
    <w:rsid w:val="00AC2B1D"/>
    <w:rsid w:val="00AC2EEE"/>
    <w:rsid w:val="00AC3319"/>
    <w:rsid w:val="00AC35D5"/>
    <w:rsid w:val="00AC3721"/>
    <w:rsid w:val="00AC3D2B"/>
    <w:rsid w:val="00AC40E8"/>
    <w:rsid w:val="00AC4404"/>
    <w:rsid w:val="00AC45BC"/>
    <w:rsid w:val="00AC47AD"/>
    <w:rsid w:val="00AC4BEF"/>
    <w:rsid w:val="00AC4C44"/>
    <w:rsid w:val="00AC4D16"/>
    <w:rsid w:val="00AC4F17"/>
    <w:rsid w:val="00AC519D"/>
    <w:rsid w:val="00AC5281"/>
    <w:rsid w:val="00AC52FA"/>
    <w:rsid w:val="00AC55EA"/>
    <w:rsid w:val="00AC569F"/>
    <w:rsid w:val="00AC5A26"/>
    <w:rsid w:val="00AC5BBA"/>
    <w:rsid w:val="00AC5BE0"/>
    <w:rsid w:val="00AC5ECF"/>
    <w:rsid w:val="00AC5F81"/>
    <w:rsid w:val="00AC6069"/>
    <w:rsid w:val="00AC644C"/>
    <w:rsid w:val="00AC665B"/>
    <w:rsid w:val="00AC69CC"/>
    <w:rsid w:val="00AC6F7D"/>
    <w:rsid w:val="00AC720A"/>
    <w:rsid w:val="00AC7DCA"/>
    <w:rsid w:val="00AD0186"/>
    <w:rsid w:val="00AD04AB"/>
    <w:rsid w:val="00AD04E6"/>
    <w:rsid w:val="00AD0607"/>
    <w:rsid w:val="00AD08FF"/>
    <w:rsid w:val="00AD0972"/>
    <w:rsid w:val="00AD1761"/>
    <w:rsid w:val="00AD186E"/>
    <w:rsid w:val="00AD2093"/>
    <w:rsid w:val="00AD2421"/>
    <w:rsid w:val="00AD24E4"/>
    <w:rsid w:val="00AD27DE"/>
    <w:rsid w:val="00AD2C1E"/>
    <w:rsid w:val="00AD2D7B"/>
    <w:rsid w:val="00AD2DF7"/>
    <w:rsid w:val="00AD34CD"/>
    <w:rsid w:val="00AD379E"/>
    <w:rsid w:val="00AD3825"/>
    <w:rsid w:val="00AD383E"/>
    <w:rsid w:val="00AD393E"/>
    <w:rsid w:val="00AD3BB2"/>
    <w:rsid w:val="00AD3BF0"/>
    <w:rsid w:val="00AD410B"/>
    <w:rsid w:val="00AD446A"/>
    <w:rsid w:val="00AD447F"/>
    <w:rsid w:val="00AD44E9"/>
    <w:rsid w:val="00AD4C11"/>
    <w:rsid w:val="00AD51EC"/>
    <w:rsid w:val="00AD5224"/>
    <w:rsid w:val="00AD5528"/>
    <w:rsid w:val="00AD5569"/>
    <w:rsid w:val="00AD590A"/>
    <w:rsid w:val="00AD5E9C"/>
    <w:rsid w:val="00AD60EA"/>
    <w:rsid w:val="00AD61F0"/>
    <w:rsid w:val="00AD6601"/>
    <w:rsid w:val="00AD66D4"/>
    <w:rsid w:val="00AD67D4"/>
    <w:rsid w:val="00AD6947"/>
    <w:rsid w:val="00AD6AEE"/>
    <w:rsid w:val="00AD6C47"/>
    <w:rsid w:val="00AD7477"/>
    <w:rsid w:val="00AD74C9"/>
    <w:rsid w:val="00AD79C3"/>
    <w:rsid w:val="00AD7FD6"/>
    <w:rsid w:val="00AE005E"/>
    <w:rsid w:val="00AE0180"/>
    <w:rsid w:val="00AE023A"/>
    <w:rsid w:val="00AE02B6"/>
    <w:rsid w:val="00AE0925"/>
    <w:rsid w:val="00AE0998"/>
    <w:rsid w:val="00AE0E49"/>
    <w:rsid w:val="00AE0F6C"/>
    <w:rsid w:val="00AE1130"/>
    <w:rsid w:val="00AE1234"/>
    <w:rsid w:val="00AE139A"/>
    <w:rsid w:val="00AE1D9E"/>
    <w:rsid w:val="00AE268A"/>
    <w:rsid w:val="00AE26EA"/>
    <w:rsid w:val="00AE2FB1"/>
    <w:rsid w:val="00AE3BC4"/>
    <w:rsid w:val="00AE3E5A"/>
    <w:rsid w:val="00AE3F2E"/>
    <w:rsid w:val="00AE4192"/>
    <w:rsid w:val="00AE4331"/>
    <w:rsid w:val="00AE4C40"/>
    <w:rsid w:val="00AE5354"/>
    <w:rsid w:val="00AE589E"/>
    <w:rsid w:val="00AE59C5"/>
    <w:rsid w:val="00AE5C2F"/>
    <w:rsid w:val="00AE5F27"/>
    <w:rsid w:val="00AE5F90"/>
    <w:rsid w:val="00AE614D"/>
    <w:rsid w:val="00AE61EA"/>
    <w:rsid w:val="00AE67BF"/>
    <w:rsid w:val="00AE6FB4"/>
    <w:rsid w:val="00AE70DA"/>
    <w:rsid w:val="00AE72DF"/>
    <w:rsid w:val="00AE7554"/>
    <w:rsid w:val="00AE7843"/>
    <w:rsid w:val="00AE7849"/>
    <w:rsid w:val="00AE7977"/>
    <w:rsid w:val="00AE7D77"/>
    <w:rsid w:val="00AF018B"/>
    <w:rsid w:val="00AF06A4"/>
    <w:rsid w:val="00AF0708"/>
    <w:rsid w:val="00AF086F"/>
    <w:rsid w:val="00AF09F2"/>
    <w:rsid w:val="00AF0AC9"/>
    <w:rsid w:val="00AF1263"/>
    <w:rsid w:val="00AF1F10"/>
    <w:rsid w:val="00AF2249"/>
    <w:rsid w:val="00AF2265"/>
    <w:rsid w:val="00AF2672"/>
    <w:rsid w:val="00AF31A8"/>
    <w:rsid w:val="00AF36AA"/>
    <w:rsid w:val="00AF36B3"/>
    <w:rsid w:val="00AF372F"/>
    <w:rsid w:val="00AF3AA9"/>
    <w:rsid w:val="00AF3C13"/>
    <w:rsid w:val="00AF3D39"/>
    <w:rsid w:val="00AF48EA"/>
    <w:rsid w:val="00AF497B"/>
    <w:rsid w:val="00AF4ABE"/>
    <w:rsid w:val="00AF4D32"/>
    <w:rsid w:val="00AF57DD"/>
    <w:rsid w:val="00AF5A19"/>
    <w:rsid w:val="00AF5BA8"/>
    <w:rsid w:val="00AF5D32"/>
    <w:rsid w:val="00AF5E03"/>
    <w:rsid w:val="00AF5E18"/>
    <w:rsid w:val="00AF604E"/>
    <w:rsid w:val="00AF6413"/>
    <w:rsid w:val="00AF6853"/>
    <w:rsid w:val="00AF68A3"/>
    <w:rsid w:val="00AF6A4C"/>
    <w:rsid w:val="00AF6BA6"/>
    <w:rsid w:val="00AF6C59"/>
    <w:rsid w:val="00AF784C"/>
    <w:rsid w:val="00AF7A1F"/>
    <w:rsid w:val="00B00182"/>
    <w:rsid w:val="00B002AC"/>
    <w:rsid w:val="00B00399"/>
    <w:rsid w:val="00B0047A"/>
    <w:rsid w:val="00B0058A"/>
    <w:rsid w:val="00B00B6E"/>
    <w:rsid w:val="00B01650"/>
    <w:rsid w:val="00B01A8C"/>
    <w:rsid w:val="00B01C15"/>
    <w:rsid w:val="00B0212B"/>
    <w:rsid w:val="00B02183"/>
    <w:rsid w:val="00B0296E"/>
    <w:rsid w:val="00B02B68"/>
    <w:rsid w:val="00B02E41"/>
    <w:rsid w:val="00B02E86"/>
    <w:rsid w:val="00B030BF"/>
    <w:rsid w:val="00B03124"/>
    <w:rsid w:val="00B03332"/>
    <w:rsid w:val="00B03376"/>
    <w:rsid w:val="00B035F6"/>
    <w:rsid w:val="00B0362F"/>
    <w:rsid w:val="00B038E7"/>
    <w:rsid w:val="00B03919"/>
    <w:rsid w:val="00B03972"/>
    <w:rsid w:val="00B04494"/>
    <w:rsid w:val="00B045A4"/>
    <w:rsid w:val="00B045AB"/>
    <w:rsid w:val="00B047C2"/>
    <w:rsid w:val="00B049E0"/>
    <w:rsid w:val="00B04A60"/>
    <w:rsid w:val="00B04CB1"/>
    <w:rsid w:val="00B04D7E"/>
    <w:rsid w:val="00B05139"/>
    <w:rsid w:val="00B05635"/>
    <w:rsid w:val="00B05D9F"/>
    <w:rsid w:val="00B05E2E"/>
    <w:rsid w:val="00B05E5A"/>
    <w:rsid w:val="00B05FDB"/>
    <w:rsid w:val="00B060F5"/>
    <w:rsid w:val="00B064C9"/>
    <w:rsid w:val="00B06A9E"/>
    <w:rsid w:val="00B06CE3"/>
    <w:rsid w:val="00B07032"/>
    <w:rsid w:val="00B073AD"/>
    <w:rsid w:val="00B07620"/>
    <w:rsid w:val="00B079D0"/>
    <w:rsid w:val="00B07A81"/>
    <w:rsid w:val="00B07A87"/>
    <w:rsid w:val="00B07BD2"/>
    <w:rsid w:val="00B07CCA"/>
    <w:rsid w:val="00B07DB9"/>
    <w:rsid w:val="00B1052C"/>
    <w:rsid w:val="00B10746"/>
    <w:rsid w:val="00B111C2"/>
    <w:rsid w:val="00B115EA"/>
    <w:rsid w:val="00B118F4"/>
    <w:rsid w:val="00B11CE1"/>
    <w:rsid w:val="00B12528"/>
    <w:rsid w:val="00B12711"/>
    <w:rsid w:val="00B1314F"/>
    <w:rsid w:val="00B1346D"/>
    <w:rsid w:val="00B134F7"/>
    <w:rsid w:val="00B13855"/>
    <w:rsid w:val="00B13A48"/>
    <w:rsid w:val="00B144D5"/>
    <w:rsid w:val="00B147B8"/>
    <w:rsid w:val="00B14904"/>
    <w:rsid w:val="00B149C4"/>
    <w:rsid w:val="00B14A76"/>
    <w:rsid w:val="00B14AE7"/>
    <w:rsid w:val="00B14B3F"/>
    <w:rsid w:val="00B14C32"/>
    <w:rsid w:val="00B14C86"/>
    <w:rsid w:val="00B14CD4"/>
    <w:rsid w:val="00B14EFA"/>
    <w:rsid w:val="00B1501B"/>
    <w:rsid w:val="00B151CF"/>
    <w:rsid w:val="00B15777"/>
    <w:rsid w:val="00B1577B"/>
    <w:rsid w:val="00B157E8"/>
    <w:rsid w:val="00B15842"/>
    <w:rsid w:val="00B15871"/>
    <w:rsid w:val="00B15D45"/>
    <w:rsid w:val="00B15ECC"/>
    <w:rsid w:val="00B160E5"/>
    <w:rsid w:val="00B16389"/>
    <w:rsid w:val="00B165E6"/>
    <w:rsid w:val="00B1679A"/>
    <w:rsid w:val="00B16B26"/>
    <w:rsid w:val="00B17101"/>
    <w:rsid w:val="00B17109"/>
    <w:rsid w:val="00B171AA"/>
    <w:rsid w:val="00B175B5"/>
    <w:rsid w:val="00B176AC"/>
    <w:rsid w:val="00B17B71"/>
    <w:rsid w:val="00B17C3C"/>
    <w:rsid w:val="00B17FCD"/>
    <w:rsid w:val="00B2038E"/>
    <w:rsid w:val="00B203A3"/>
    <w:rsid w:val="00B20445"/>
    <w:rsid w:val="00B20933"/>
    <w:rsid w:val="00B209C7"/>
    <w:rsid w:val="00B20D7E"/>
    <w:rsid w:val="00B213EC"/>
    <w:rsid w:val="00B215D1"/>
    <w:rsid w:val="00B216DB"/>
    <w:rsid w:val="00B21AF0"/>
    <w:rsid w:val="00B21E97"/>
    <w:rsid w:val="00B21EC4"/>
    <w:rsid w:val="00B220D6"/>
    <w:rsid w:val="00B2283F"/>
    <w:rsid w:val="00B22DC9"/>
    <w:rsid w:val="00B22F88"/>
    <w:rsid w:val="00B23237"/>
    <w:rsid w:val="00B23754"/>
    <w:rsid w:val="00B23794"/>
    <w:rsid w:val="00B238B9"/>
    <w:rsid w:val="00B24731"/>
    <w:rsid w:val="00B247AD"/>
    <w:rsid w:val="00B247D8"/>
    <w:rsid w:val="00B24F68"/>
    <w:rsid w:val="00B25A9F"/>
    <w:rsid w:val="00B25BC5"/>
    <w:rsid w:val="00B25D05"/>
    <w:rsid w:val="00B25D45"/>
    <w:rsid w:val="00B263A9"/>
    <w:rsid w:val="00B2650A"/>
    <w:rsid w:val="00B26537"/>
    <w:rsid w:val="00B26622"/>
    <w:rsid w:val="00B26669"/>
    <w:rsid w:val="00B26702"/>
    <w:rsid w:val="00B26DB1"/>
    <w:rsid w:val="00B276B4"/>
    <w:rsid w:val="00B2779E"/>
    <w:rsid w:val="00B27830"/>
    <w:rsid w:val="00B279AC"/>
    <w:rsid w:val="00B27AF5"/>
    <w:rsid w:val="00B301A4"/>
    <w:rsid w:val="00B30233"/>
    <w:rsid w:val="00B303F6"/>
    <w:rsid w:val="00B3054D"/>
    <w:rsid w:val="00B30743"/>
    <w:rsid w:val="00B307B7"/>
    <w:rsid w:val="00B3113D"/>
    <w:rsid w:val="00B312CF"/>
    <w:rsid w:val="00B319F7"/>
    <w:rsid w:val="00B31B10"/>
    <w:rsid w:val="00B31DD5"/>
    <w:rsid w:val="00B3296D"/>
    <w:rsid w:val="00B32975"/>
    <w:rsid w:val="00B32A54"/>
    <w:rsid w:val="00B32CE6"/>
    <w:rsid w:val="00B333D3"/>
    <w:rsid w:val="00B3343D"/>
    <w:rsid w:val="00B3348F"/>
    <w:rsid w:val="00B33C09"/>
    <w:rsid w:val="00B33F31"/>
    <w:rsid w:val="00B3444B"/>
    <w:rsid w:val="00B34606"/>
    <w:rsid w:val="00B347C2"/>
    <w:rsid w:val="00B349D3"/>
    <w:rsid w:val="00B34BF5"/>
    <w:rsid w:val="00B34CA3"/>
    <w:rsid w:val="00B35234"/>
    <w:rsid w:val="00B35587"/>
    <w:rsid w:val="00B35AE2"/>
    <w:rsid w:val="00B36011"/>
    <w:rsid w:val="00B36028"/>
    <w:rsid w:val="00B36185"/>
    <w:rsid w:val="00B362D6"/>
    <w:rsid w:val="00B36366"/>
    <w:rsid w:val="00B365FA"/>
    <w:rsid w:val="00B36B28"/>
    <w:rsid w:val="00B36CCE"/>
    <w:rsid w:val="00B37203"/>
    <w:rsid w:val="00B373AD"/>
    <w:rsid w:val="00B37625"/>
    <w:rsid w:val="00B37884"/>
    <w:rsid w:val="00B37A4E"/>
    <w:rsid w:val="00B37B0D"/>
    <w:rsid w:val="00B37D72"/>
    <w:rsid w:val="00B40000"/>
    <w:rsid w:val="00B40064"/>
    <w:rsid w:val="00B40203"/>
    <w:rsid w:val="00B40291"/>
    <w:rsid w:val="00B403BE"/>
    <w:rsid w:val="00B408AF"/>
    <w:rsid w:val="00B40914"/>
    <w:rsid w:val="00B41132"/>
    <w:rsid w:val="00B411DB"/>
    <w:rsid w:val="00B4140C"/>
    <w:rsid w:val="00B41516"/>
    <w:rsid w:val="00B41D64"/>
    <w:rsid w:val="00B41F09"/>
    <w:rsid w:val="00B41F40"/>
    <w:rsid w:val="00B4203A"/>
    <w:rsid w:val="00B426A9"/>
    <w:rsid w:val="00B426DD"/>
    <w:rsid w:val="00B4295F"/>
    <w:rsid w:val="00B42B7F"/>
    <w:rsid w:val="00B42CBB"/>
    <w:rsid w:val="00B43059"/>
    <w:rsid w:val="00B431E0"/>
    <w:rsid w:val="00B43A05"/>
    <w:rsid w:val="00B43CE2"/>
    <w:rsid w:val="00B43D51"/>
    <w:rsid w:val="00B43D9C"/>
    <w:rsid w:val="00B43FE0"/>
    <w:rsid w:val="00B44073"/>
    <w:rsid w:val="00B4422C"/>
    <w:rsid w:val="00B44431"/>
    <w:rsid w:val="00B44BD1"/>
    <w:rsid w:val="00B44C88"/>
    <w:rsid w:val="00B44D32"/>
    <w:rsid w:val="00B44D60"/>
    <w:rsid w:val="00B45172"/>
    <w:rsid w:val="00B45330"/>
    <w:rsid w:val="00B455BE"/>
    <w:rsid w:val="00B455C1"/>
    <w:rsid w:val="00B46058"/>
    <w:rsid w:val="00B46742"/>
    <w:rsid w:val="00B46ED5"/>
    <w:rsid w:val="00B47468"/>
    <w:rsid w:val="00B4761C"/>
    <w:rsid w:val="00B47DAB"/>
    <w:rsid w:val="00B50170"/>
    <w:rsid w:val="00B507FA"/>
    <w:rsid w:val="00B50A44"/>
    <w:rsid w:val="00B50B7B"/>
    <w:rsid w:val="00B514C1"/>
    <w:rsid w:val="00B5248C"/>
    <w:rsid w:val="00B52578"/>
    <w:rsid w:val="00B52647"/>
    <w:rsid w:val="00B52905"/>
    <w:rsid w:val="00B52FD0"/>
    <w:rsid w:val="00B5334D"/>
    <w:rsid w:val="00B53712"/>
    <w:rsid w:val="00B53928"/>
    <w:rsid w:val="00B54238"/>
    <w:rsid w:val="00B54A46"/>
    <w:rsid w:val="00B54CA4"/>
    <w:rsid w:val="00B54D03"/>
    <w:rsid w:val="00B5504D"/>
    <w:rsid w:val="00B55524"/>
    <w:rsid w:val="00B556FB"/>
    <w:rsid w:val="00B55755"/>
    <w:rsid w:val="00B55955"/>
    <w:rsid w:val="00B55BC9"/>
    <w:rsid w:val="00B56072"/>
    <w:rsid w:val="00B5691B"/>
    <w:rsid w:val="00B56B0B"/>
    <w:rsid w:val="00B56E0D"/>
    <w:rsid w:val="00B56E4C"/>
    <w:rsid w:val="00B56E82"/>
    <w:rsid w:val="00B5704A"/>
    <w:rsid w:val="00B575BF"/>
    <w:rsid w:val="00B57823"/>
    <w:rsid w:val="00B5790B"/>
    <w:rsid w:val="00B57E1D"/>
    <w:rsid w:val="00B57E73"/>
    <w:rsid w:val="00B6024B"/>
    <w:rsid w:val="00B60766"/>
    <w:rsid w:val="00B607BD"/>
    <w:rsid w:val="00B60BBD"/>
    <w:rsid w:val="00B60C88"/>
    <w:rsid w:val="00B612EA"/>
    <w:rsid w:val="00B614B2"/>
    <w:rsid w:val="00B6164E"/>
    <w:rsid w:val="00B6167A"/>
    <w:rsid w:val="00B618DA"/>
    <w:rsid w:val="00B61B0A"/>
    <w:rsid w:val="00B61C66"/>
    <w:rsid w:val="00B61EBE"/>
    <w:rsid w:val="00B6244F"/>
    <w:rsid w:val="00B62604"/>
    <w:rsid w:val="00B62AE5"/>
    <w:rsid w:val="00B62DF2"/>
    <w:rsid w:val="00B62EC4"/>
    <w:rsid w:val="00B6324B"/>
    <w:rsid w:val="00B63524"/>
    <w:rsid w:val="00B63552"/>
    <w:rsid w:val="00B637EE"/>
    <w:rsid w:val="00B644D9"/>
    <w:rsid w:val="00B64745"/>
    <w:rsid w:val="00B64A00"/>
    <w:rsid w:val="00B64DC8"/>
    <w:rsid w:val="00B65444"/>
    <w:rsid w:val="00B65C1F"/>
    <w:rsid w:val="00B65E43"/>
    <w:rsid w:val="00B65EEF"/>
    <w:rsid w:val="00B66948"/>
    <w:rsid w:val="00B66A87"/>
    <w:rsid w:val="00B67290"/>
    <w:rsid w:val="00B672A4"/>
    <w:rsid w:val="00B672DB"/>
    <w:rsid w:val="00B6777E"/>
    <w:rsid w:val="00B679B2"/>
    <w:rsid w:val="00B700B5"/>
    <w:rsid w:val="00B70269"/>
    <w:rsid w:val="00B70803"/>
    <w:rsid w:val="00B70E88"/>
    <w:rsid w:val="00B7128C"/>
    <w:rsid w:val="00B712D0"/>
    <w:rsid w:val="00B7131E"/>
    <w:rsid w:val="00B71386"/>
    <w:rsid w:val="00B715F4"/>
    <w:rsid w:val="00B72382"/>
    <w:rsid w:val="00B72604"/>
    <w:rsid w:val="00B72915"/>
    <w:rsid w:val="00B7300D"/>
    <w:rsid w:val="00B73208"/>
    <w:rsid w:val="00B73850"/>
    <w:rsid w:val="00B73B63"/>
    <w:rsid w:val="00B73F16"/>
    <w:rsid w:val="00B7473C"/>
    <w:rsid w:val="00B747E8"/>
    <w:rsid w:val="00B7485C"/>
    <w:rsid w:val="00B749A9"/>
    <w:rsid w:val="00B74D68"/>
    <w:rsid w:val="00B74DB9"/>
    <w:rsid w:val="00B75060"/>
    <w:rsid w:val="00B7517D"/>
    <w:rsid w:val="00B757E5"/>
    <w:rsid w:val="00B75B0F"/>
    <w:rsid w:val="00B75C88"/>
    <w:rsid w:val="00B75D4E"/>
    <w:rsid w:val="00B7688A"/>
    <w:rsid w:val="00B76907"/>
    <w:rsid w:val="00B76A81"/>
    <w:rsid w:val="00B76C93"/>
    <w:rsid w:val="00B77264"/>
    <w:rsid w:val="00B772B7"/>
    <w:rsid w:val="00B77833"/>
    <w:rsid w:val="00B77E61"/>
    <w:rsid w:val="00B77FBC"/>
    <w:rsid w:val="00B8006C"/>
    <w:rsid w:val="00B800AA"/>
    <w:rsid w:val="00B8015C"/>
    <w:rsid w:val="00B80224"/>
    <w:rsid w:val="00B8039F"/>
    <w:rsid w:val="00B80625"/>
    <w:rsid w:val="00B80679"/>
    <w:rsid w:val="00B8072E"/>
    <w:rsid w:val="00B809D6"/>
    <w:rsid w:val="00B809DB"/>
    <w:rsid w:val="00B81630"/>
    <w:rsid w:val="00B816E9"/>
    <w:rsid w:val="00B81C23"/>
    <w:rsid w:val="00B81D77"/>
    <w:rsid w:val="00B81F38"/>
    <w:rsid w:val="00B82014"/>
    <w:rsid w:val="00B8270D"/>
    <w:rsid w:val="00B828BF"/>
    <w:rsid w:val="00B82AA8"/>
    <w:rsid w:val="00B82ACA"/>
    <w:rsid w:val="00B82E0C"/>
    <w:rsid w:val="00B833EF"/>
    <w:rsid w:val="00B83A86"/>
    <w:rsid w:val="00B83B62"/>
    <w:rsid w:val="00B83F93"/>
    <w:rsid w:val="00B845CD"/>
    <w:rsid w:val="00B847D3"/>
    <w:rsid w:val="00B84EAF"/>
    <w:rsid w:val="00B85054"/>
    <w:rsid w:val="00B85202"/>
    <w:rsid w:val="00B8535F"/>
    <w:rsid w:val="00B85F28"/>
    <w:rsid w:val="00B8600A"/>
    <w:rsid w:val="00B860B5"/>
    <w:rsid w:val="00B861CD"/>
    <w:rsid w:val="00B866CC"/>
    <w:rsid w:val="00B8705F"/>
    <w:rsid w:val="00B87345"/>
    <w:rsid w:val="00B878CD"/>
    <w:rsid w:val="00B87A78"/>
    <w:rsid w:val="00B902A8"/>
    <w:rsid w:val="00B90316"/>
    <w:rsid w:val="00B9043B"/>
    <w:rsid w:val="00B90B30"/>
    <w:rsid w:val="00B9100B"/>
    <w:rsid w:val="00B910B3"/>
    <w:rsid w:val="00B91359"/>
    <w:rsid w:val="00B91360"/>
    <w:rsid w:val="00B91495"/>
    <w:rsid w:val="00B91798"/>
    <w:rsid w:val="00B91987"/>
    <w:rsid w:val="00B91CB1"/>
    <w:rsid w:val="00B91EDA"/>
    <w:rsid w:val="00B92181"/>
    <w:rsid w:val="00B92262"/>
    <w:rsid w:val="00B922A9"/>
    <w:rsid w:val="00B9240D"/>
    <w:rsid w:val="00B9249B"/>
    <w:rsid w:val="00B925F3"/>
    <w:rsid w:val="00B92A4E"/>
    <w:rsid w:val="00B92BC7"/>
    <w:rsid w:val="00B92CF6"/>
    <w:rsid w:val="00B9301B"/>
    <w:rsid w:val="00B930DA"/>
    <w:rsid w:val="00B9340D"/>
    <w:rsid w:val="00B93B79"/>
    <w:rsid w:val="00B93EFB"/>
    <w:rsid w:val="00B94378"/>
    <w:rsid w:val="00B94611"/>
    <w:rsid w:val="00B947EB"/>
    <w:rsid w:val="00B9536C"/>
    <w:rsid w:val="00B954D4"/>
    <w:rsid w:val="00B95D3B"/>
    <w:rsid w:val="00B9652A"/>
    <w:rsid w:val="00B96703"/>
    <w:rsid w:val="00B9671C"/>
    <w:rsid w:val="00B96B1D"/>
    <w:rsid w:val="00B96F4C"/>
    <w:rsid w:val="00B96FA9"/>
    <w:rsid w:val="00B9756D"/>
    <w:rsid w:val="00B975A7"/>
    <w:rsid w:val="00B97792"/>
    <w:rsid w:val="00B979E7"/>
    <w:rsid w:val="00B97C5B"/>
    <w:rsid w:val="00BA023B"/>
    <w:rsid w:val="00BA0361"/>
    <w:rsid w:val="00BA044C"/>
    <w:rsid w:val="00BA0CC7"/>
    <w:rsid w:val="00BA0D2A"/>
    <w:rsid w:val="00BA0F2E"/>
    <w:rsid w:val="00BA110A"/>
    <w:rsid w:val="00BA1F7D"/>
    <w:rsid w:val="00BA1FFB"/>
    <w:rsid w:val="00BA2B3F"/>
    <w:rsid w:val="00BA2BD6"/>
    <w:rsid w:val="00BA2CD2"/>
    <w:rsid w:val="00BA34EC"/>
    <w:rsid w:val="00BA3A48"/>
    <w:rsid w:val="00BA3A6A"/>
    <w:rsid w:val="00BA3CD1"/>
    <w:rsid w:val="00BA462B"/>
    <w:rsid w:val="00BA4845"/>
    <w:rsid w:val="00BA4C03"/>
    <w:rsid w:val="00BA4DA2"/>
    <w:rsid w:val="00BA4E45"/>
    <w:rsid w:val="00BA502C"/>
    <w:rsid w:val="00BA50B5"/>
    <w:rsid w:val="00BA560C"/>
    <w:rsid w:val="00BA592B"/>
    <w:rsid w:val="00BA59FB"/>
    <w:rsid w:val="00BA5D83"/>
    <w:rsid w:val="00BA5F22"/>
    <w:rsid w:val="00BA5F2F"/>
    <w:rsid w:val="00BA621A"/>
    <w:rsid w:val="00BA637B"/>
    <w:rsid w:val="00BA6427"/>
    <w:rsid w:val="00BA69BC"/>
    <w:rsid w:val="00BA69F5"/>
    <w:rsid w:val="00BA6D3E"/>
    <w:rsid w:val="00BA7099"/>
    <w:rsid w:val="00BA75A6"/>
    <w:rsid w:val="00BA77B9"/>
    <w:rsid w:val="00BA77CF"/>
    <w:rsid w:val="00BA78B6"/>
    <w:rsid w:val="00BA7C5E"/>
    <w:rsid w:val="00BB01A6"/>
    <w:rsid w:val="00BB0BC4"/>
    <w:rsid w:val="00BB0C9D"/>
    <w:rsid w:val="00BB0D2F"/>
    <w:rsid w:val="00BB0DEE"/>
    <w:rsid w:val="00BB1142"/>
    <w:rsid w:val="00BB141F"/>
    <w:rsid w:val="00BB14A3"/>
    <w:rsid w:val="00BB1A4A"/>
    <w:rsid w:val="00BB1DD3"/>
    <w:rsid w:val="00BB294F"/>
    <w:rsid w:val="00BB29C1"/>
    <w:rsid w:val="00BB2A10"/>
    <w:rsid w:val="00BB2D54"/>
    <w:rsid w:val="00BB344B"/>
    <w:rsid w:val="00BB36F4"/>
    <w:rsid w:val="00BB37CC"/>
    <w:rsid w:val="00BB39C8"/>
    <w:rsid w:val="00BB4517"/>
    <w:rsid w:val="00BB47A4"/>
    <w:rsid w:val="00BB4B4B"/>
    <w:rsid w:val="00BB4BCD"/>
    <w:rsid w:val="00BB4F91"/>
    <w:rsid w:val="00BB52A3"/>
    <w:rsid w:val="00BB5403"/>
    <w:rsid w:val="00BB5847"/>
    <w:rsid w:val="00BB5E91"/>
    <w:rsid w:val="00BB6414"/>
    <w:rsid w:val="00BB6970"/>
    <w:rsid w:val="00BB6C87"/>
    <w:rsid w:val="00BB6D92"/>
    <w:rsid w:val="00BB6F21"/>
    <w:rsid w:val="00BB7478"/>
    <w:rsid w:val="00BB74F5"/>
    <w:rsid w:val="00BB7581"/>
    <w:rsid w:val="00BB7922"/>
    <w:rsid w:val="00BB7A76"/>
    <w:rsid w:val="00BB7CBC"/>
    <w:rsid w:val="00BB7D5A"/>
    <w:rsid w:val="00BC00B4"/>
    <w:rsid w:val="00BC015C"/>
    <w:rsid w:val="00BC056E"/>
    <w:rsid w:val="00BC0959"/>
    <w:rsid w:val="00BC154D"/>
    <w:rsid w:val="00BC15DE"/>
    <w:rsid w:val="00BC17C8"/>
    <w:rsid w:val="00BC1DD1"/>
    <w:rsid w:val="00BC1E54"/>
    <w:rsid w:val="00BC2461"/>
    <w:rsid w:val="00BC2953"/>
    <w:rsid w:val="00BC296D"/>
    <w:rsid w:val="00BC2D44"/>
    <w:rsid w:val="00BC2D55"/>
    <w:rsid w:val="00BC300E"/>
    <w:rsid w:val="00BC369C"/>
    <w:rsid w:val="00BC3935"/>
    <w:rsid w:val="00BC39DA"/>
    <w:rsid w:val="00BC3A3D"/>
    <w:rsid w:val="00BC4972"/>
    <w:rsid w:val="00BC4EB0"/>
    <w:rsid w:val="00BC4F90"/>
    <w:rsid w:val="00BC5030"/>
    <w:rsid w:val="00BC5294"/>
    <w:rsid w:val="00BC539F"/>
    <w:rsid w:val="00BC5732"/>
    <w:rsid w:val="00BC589B"/>
    <w:rsid w:val="00BC5ECD"/>
    <w:rsid w:val="00BC67F5"/>
    <w:rsid w:val="00BC6897"/>
    <w:rsid w:val="00BC6A54"/>
    <w:rsid w:val="00BC6F06"/>
    <w:rsid w:val="00BC7113"/>
    <w:rsid w:val="00BC76C3"/>
    <w:rsid w:val="00BC77F3"/>
    <w:rsid w:val="00BC7933"/>
    <w:rsid w:val="00BC7C3C"/>
    <w:rsid w:val="00BC7D78"/>
    <w:rsid w:val="00BD0AB3"/>
    <w:rsid w:val="00BD10A5"/>
    <w:rsid w:val="00BD136E"/>
    <w:rsid w:val="00BD1412"/>
    <w:rsid w:val="00BD1B8D"/>
    <w:rsid w:val="00BD1C9D"/>
    <w:rsid w:val="00BD1FD4"/>
    <w:rsid w:val="00BD2414"/>
    <w:rsid w:val="00BD2571"/>
    <w:rsid w:val="00BD273A"/>
    <w:rsid w:val="00BD2BE0"/>
    <w:rsid w:val="00BD2C75"/>
    <w:rsid w:val="00BD2CCF"/>
    <w:rsid w:val="00BD2DAF"/>
    <w:rsid w:val="00BD2E3F"/>
    <w:rsid w:val="00BD3129"/>
    <w:rsid w:val="00BD33D4"/>
    <w:rsid w:val="00BD3775"/>
    <w:rsid w:val="00BD3804"/>
    <w:rsid w:val="00BD3F62"/>
    <w:rsid w:val="00BD3F96"/>
    <w:rsid w:val="00BD40B1"/>
    <w:rsid w:val="00BD410D"/>
    <w:rsid w:val="00BD4435"/>
    <w:rsid w:val="00BD4449"/>
    <w:rsid w:val="00BD4747"/>
    <w:rsid w:val="00BD479E"/>
    <w:rsid w:val="00BD4899"/>
    <w:rsid w:val="00BD4934"/>
    <w:rsid w:val="00BD4D47"/>
    <w:rsid w:val="00BD51F6"/>
    <w:rsid w:val="00BD52FB"/>
    <w:rsid w:val="00BD53E3"/>
    <w:rsid w:val="00BD5631"/>
    <w:rsid w:val="00BD5A27"/>
    <w:rsid w:val="00BD5A4D"/>
    <w:rsid w:val="00BD5C7A"/>
    <w:rsid w:val="00BD5CC8"/>
    <w:rsid w:val="00BD60AE"/>
    <w:rsid w:val="00BD6274"/>
    <w:rsid w:val="00BD6298"/>
    <w:rsid w:val="00BD62BE"/>
    <w:rsid w:val="00BD63F5"/>
    <w:rsid w:val="00BD6617"/>
    <w:rsid w:val="00BD6724"/>
    <w:rsid w:val="00BD6ACD"/>
    <w:rsid w:val="00BD6CEF"/>
    <w:rsid w:val="00BD7948"/>
    <w:rsid w:val="00BE01D2"/>
    <w:rsid w:val="00BE094B"/>
    <w:rsid w:val="00BE0F01"/>
    <w:rsid w:val="00BE1292"/>
    <w:rsid w:val="00BE139D"/>
    <w:rsid w:val="00BE14E6"/>
    <w:rsid w:val="00BE1AC4"/>
    <w:rsid w:val="00BE1B27"/>
    <w:rsid w:val="00BE1C58"/>
    <w:rsid w:val="00BE2165"/>
    <w:rsid w:val="00BE2388"/>
    <w:rsid w:val="00BE23A1"/>
    <w:rsid w:val="00BE2BEE"/>
    <w:rsid w:val="00BE2EC1"/>
    <w:rsid w:val="00BE30DB"/>
    <w:rsid w:val="00BE36AA"/>
    <w:rsid w:val="00BE375E"/>
    <w:rsid w:val="00BE4022"/>
    <w:rsid w:val="00BE457B"/>
    <w:rsid w:val="00BE47BF"/>
    <w:rsid w:val="00BE495B"/>
    <w:rsid w:val="00BE4CBD"/>
    <w:rsid w:val="00BE4F3B"/>
    <w:rsid w:val="00BE5374"/>
    <w:rsid w:val="00BE5794"/>
    <w:rsid w:val="00BE5795"/>
    <w:rsid w:val="00BE5A41"/>
    <w:rsid w:val="00BE5AB6"/>
    <w:rsid w:val="00BE6221"/>
    <w:rsid w:val="00BE627A"/>
    <w:rsid w:val="00BE62F5"/>
    <w:rsid w:val="00BE68E6"/>
    <w:rsid w:val="00BE697F"/>
    <w:rsid w:val="00BE69D5"/>
    <w:rsid w:val="00BE6CBA"/>
    <w:rsid w:val="00BE6CE8"/>
    <w:rsid w:val="00BE6F47"/>
    <w:rsid w:val="00BE7046"/>
    <w:rsid w:val="00BE72D6"/>
    <w:rsid w:val="00BE74D5"/>
    <w:rsid w:val="00BE76A8"/>
    <w:rsid w:val="00BE78A3"/>
    <w:rsid w:val="00BE78C6"/>
    <w:rsid w:val="00BE7B05"/>
    <w:rsid w:val="00BE7BF6"/>
    <w:rsid w:val="00BF00E5"/>
    <w:rsid w:val="00BF05FC"/>
    <w:rsid w:val="00BF154C"/>
    <w:rsid w:val="00BF1A45"/>
    <w:rsid w:val="00BF242F"/>
    <w:rsid w:val="00BF28AD"/>
    <w:rsid w:val="00BF2B30"/>
    <w:rsid w:val="00BF2EA3"/>
    <w:rsid w:val="00BF323A"/>
    <w:rsid w:val="00BF329B"/>
    <w:rsid w:val="00BF3504"/>
    <w:rsid w:val="00BF3672"/>
    <w:rsid w:val="00BF3990"/>
    <w:rsid w:val="00BF3CC7"/>
    <w:rsid w:val="00BF3EEC"/>
    <w:rsid w:val="00BF3EFC"/>
    <w:rsid w:val="00BF4383"/>
    <w:rsid w:val="00BF43F2"/>
    <w:rsid w:val="00BF4D89"/>
    <w:rsid w:val="00BF4E5F"/>
    <w:rsid w:val="00BF4F5D"/>
    <w:rsid w:val="00BF5906"/>
    <w:rsid w:val="00BF624A"/>
    <w:rsid w:val="00BF63F1"/>
    <w:rsid w:val="00BF6538"/>
    <w:rsid w:val="00BF6D50"/>
    <w:rsid w:val="00BF70D8"/>
    <w:rsid w:val="00BF749B"/>
    <w:rsid w:val="00BF76B4"/>
    <w:rsid w:val="00BF7753"/>
    <w:rsid w:val="00BF7A72"/>
    <w:rsid w:val="00BF7B41"/>
    <w:rsid w:val="00BF7C08"/>
    <w:rsid w:val="00BF7C54"/>
    <w:rsid w:val="00BF7F69"/>
    <w:rsid w:val="00C00082"/>
    <w:rsid w:val="00C00143"/>
    <w:rsid w:val="00C00158"/>
    <w:rsid w:val="00C001AF"/>
    <w:rsid w:val="00C00865"/>
    <w:rsid w:val="00C00ECE"/>
    <w:rsid w:val="00C0104A"/>
    <w:rsid w:val="00C011B4"/>
    <w:rsid w:val="00C01285"/>
    <w:rsid w:val="00C01709"/>
    <w:rsid w:val="00C01A38"/>
    <w:rsid w:val="00C01CEC"/>
    <w:rsid w:val="00C01D1E"/>
    <w:rsid w:val="00C01D5F"/>
    <w:rsid w:val="00C01E2B"/>
    <w:rsid w:val="00C0228F"/>
    <w:rsid w:val="00C0243A"/>
    <w:rsid w:val="00C02478"/>
    <w:rsid w:val="00C0298D"/>
    <w:rsid w:val="00C0345A"/>
    <w:rsid w:val="00C03511"/>
    <w:rsid w:val="00C03D79"/>
    <w:rsid w:val="00C03E07"/>
    <w:rsid w:val="00C03E44"/>
    <w:rsid w:val="00C04272"/>
    <w:rsid w:val="00C043C7"/>
    <w:rsid w:val="00C04C3A"/>
    <w:rsid w:val="00C04C52"/>
    <w:rsid w:val="00C04DBC"/>
    <w:rsid w:val="00C04FA0"/>
    <w:rsid w:val="00C05700"/>
    <w:rsid w:val="00C058CA"/>
    <w:rsid w:val="00C05B49"/>
    <w:rsid w:val="00C05BE0"/>
    <w:rsid w:val="00C0673C"/>
    <w:rsid w:val="00C067AD"/>
    <w:rsid w:val="00C0683C"/>
    <w:rsid w:val="00C06C85"/>
    <w:rsid w:val="00C07066"/>
    <w:rsid w:val="00C0706E"/>
    <w:rsid w:val="00C0711F"/>
    <w:rsid w:val="00C0749A"/>
    <w:rsid w:val="00C074CD"/>
    <w:rsid w:val="00C075A7"/>
    <w:rsid w:val="00C0787D"/>
    <w:rsid w:val="00C078A7"/>
    <w:rsid w:val="00C079C3"/>
    <w:rsid w:val="00C107C3"/>
    <w:rsid w:val="00C107E8"/>
    <w:rsid w:val="00C1103B"/>
    <w:rsid w:val="00C11111"/>
    <w:rsid w:val="00C111A3"/>
    <w:rsid w:val="00C112CA"/>
    <w:rsid w:val="00C12147"/>
    <w:rsid w:val="00C127C7"/>
    <w:rsid w:val="00C127DA"/>
    <w:rsid w:val="00C12951"/>
    <w:rsid w:val="00C1321A"/>
    <w:rsid w:val="00C13520"/>
    <w:rsid w:val="00C13ABE"/>
    <w:rsid w:val="00C13D71"/>
    <w:rsid w:val="00C13EB4"/>
    <w:rsid w:val="00C14116"/>
    <w:rsid w:val="00C1484D"/>
    <w:rsid w:val="00C14895"/>
    <w:rsid w:val="00C14F9B"/>
    <w:rsid w:val="00C14FAB"/>
    <w:rsid w:val="00C152D5"/>
    <w:rsid w:val="00C155F0"/>
    <w:rsid w:val="00C15F42"/>
    <w:rsid w:val="00C1610B"/>
    <w:rsid w:val="00C1611D"/>
    <w:rsid w:val="00C162FB"/>
    <w:rsid w:val="00C168EC"/>
    <w:rsid w:val="00C16C9A"/>
    <w:rsid w:val="00C16F2F"/>
    <w:rsid w:val="00C17518"/>
    <w:rsid w:val="00C175E4"/>
    <w:rsid w:val="00C17866"/>
    <w:rsid w:val="00C17960"/>
    <w:rsid w:val="00C17BAB"/>
    <w:rsid w:val="00C17E90"/>
    <w:rsid w:val="00C21076"/>
    <w:rsid w:val="00C215A9"/>
    <w:rsid w:val="00C21854"/>
    <w:rsid w:val="00C220C9"/>
    <w:rsid w:val="00C22237"/>
    <w:rsid w:val="00C22301"/>
    <w:rsid w:val="00C228AD"/>
    <w:rsid w:val="00C229D0"/>
    <w:rsid w:val="00C232E0"/>
    <w:rsid w:val="00C23392"/>
    <w:rsid w:val="00C23AB2"/>
    <w:rsid w:val="00C23BCC"/>
    <w:rsid w:val="00C23D0D"/>
    <w:rsid w:val="00C23D30"/>
    <w:rsid w:val="00C23D4E"/>
    <w:rsid w:val="00C24099"/>
    <w:rsid w:val="00C2416B"/>
    <w:rsid w:val="00C2451A"/>
    <w:rsid w:val="00C246D1"/>
    <w:rsid w:val="00C24845"/>
    <w:rsid w:val="00C2494D"/>
    <w:rsid w:val="00C24AC4"/>
    <w:rsid w:val="00C24B5E"/>
    <w:rsid w:val="00C24F1E"/>
    <w:rsid w:val="00C24F25"/>
    <w:rsid w:val="00C2506F"/>
    <w:rsid w:val="00C2534F"/>
    <w:rsid w:val="00C25752"/>
    <w:rsid w:val="00C25C09"/>
    <w:rsid w:val="00C25C92"/>
    <w:rsid w:val="00C25CA4"/>
    <w:rsid w:val="00C2607D"/>
    <w:rsid w:val="00C261AF"/>
    <w:rsid w:val="00C2644F"/>
    <w:rsid w:val="00C26C30"/>
    <w:rsid w:val="00C26C5B"/>
    <w:rsid w:val="00C27276"/>
    <w:rsid w:val="00C27316"/>
    <w:rsid w:val="00C2732C"/>
    <w:rsid w:val="00C2744A"/>
    <w:rsid w:val="00C27461"/>
    <w:rsid w:val="00C27880"/>
    <w:rsid w:val="00C27A53"/>
    <w:rsid w:val="00C27E4D"/>
    <w:rsid w:val="00C30058"/>
    <w:rsid w:val="00C304CF"/>
    <w:rsid w:val="00C305A3"/>
    <w:rsid w:val="00C3068D"/>
    <w:rsid w:val="00C3070D"/>
    <w:rsid w:val="00C30717"/>
    <w:rsid w:val="00C3093E"/>
    <w:rsid w:val="00C30B97"/>
    <w:rsid w:val="00C30DB8"/>
    <w:rsid w:val="00C30E61"/>
    <w:rsid w:val="00C30FEE"/>
    <w:rsid w:val="00C315E8"/>
    <w:rsid w:val="00C316D1"/>
    <w:rsid w:val="00C317A2"/>
    <w:rsid w:val="00C31984"/>
    <w:rsid w:val="00C32F2E"/>
    <w:rsid w:val="00C32F3F"/>
    <w:rsid w:val="00C332B2"/>
    <w:rsid w:val="00C33846"/>
    <w:rsid w:val="00C339EC"/>
    <w:rsid w:val="00C3422C"/>
    <w:rsid w:val="00C3435D"/>
    <w:rsid w:val="00C343FC"/>
    <w:rsid w:val="00C34A68"/>
    <w:rsid w:val="00C34C55"/>
    <w:rsid w:val="00C34E9C"/>
    <w:rsid w:val="00C34ECB"/>
    <w:rsid w:val="00C35088"/>
    <w:rsid w:val="00C351EA"/>
    <w:rsid w:val="00C35328"/>
    <w:rsid w:val="00C35527"/>
    <w:rsid w:val="00C35604"/>
    <w:rsid w:val="00C3599B"/>
    <w:rsid w:val="00C35A9D"/>
    <w:rsid w:val="00C36129"/>
    <w:rsid w:val="00C362CD"/>
    <w:rsid w:val="00C3651F"/>
    <w:rsid w:val="00C36633"/>
    <w:rsid w:val="00C36B63"/>
    <w:rsid w:val="00C36E41"/>
    <w:rsid w:val="00C36E9D"/>
    <w:rsid w:val="00C37A69"/>
    <w:rsid w:val="00C37C86"/>
    <w:rsid w:val="00C40104"/>
    <w:rsid w:val="00C4029C"/>
    <w:rsid w:val="00C4040E"/>
    <w:rsid w:val="00C40665"/>
    <w:rsid w:val="00C41274"/>
    <w:rsid w:val="00C412B1"/>
    <w:rsid w:val="00C41541"/>
    <w:rsid w:val="00C415F6"/>
    <w:rsid w:val="00C418AB"/>
    <w:rsid w:val="00C41D5B"/>
    <w:rsid w:val="00C42463"/>
    <w:rsid w:val="00C42673"/>
    <w:rsid w:val="00C42ADC"/>
    <w:rsid w:val="00C42DC0"/>
    <w:rsid w:val="00C42FFE"/>
    <w:rsid w:val="00C430D2"/>
    <w:rsid w:val="00C430E2"/>
    <w:rsid w:val="00C4323D"/>
    <w:rsid w:val="00C43668"/>
    <w:rsid w:val="00C4369D"/>
    <w:rsid w:val="00C436CF"/>
    <w:rsid w:val="00C43BCE"/>
    <w:rsid w:val="00C43CD2"/>
    <w:rsid w:val="00C43DDA"/>
    <w:rsid w:val="00C4428B"/>
    <w:rsid w:val="00C4436C"/>
    <w:rsid w:val="00C44683"/>
    <w:rsid w:val="00C448EB"/>
    <w:rsid w:val="00C449ED"/>
    <w:rsid w:val="00C44A0C"/>
    <w:rsid w:val="00C44AAF"/>
    <w:rsid w:val="00C44DBA"/>
    <w:rsid w:val="00C44F9B"/>
    <w:rsid w:val="00C45098"/>
    <w:rsid w:val="00C45258"/>
    <w:rsid w:val="00C454CF"/>
    <w:rsid w:val="00C45566"/>
    <w:rsid w:val="00C45B32"/>
    <w:rsid w:val="00C45B80"/>
    <w:rsid w:val="00C461B2"/>
    <w:rsid w:val="00C46456"/>
    <w:rsid w:val="00C4650E"/>
    <w:rsid w:val="00C469D8"/>
    <w:rsid w:val="00C46A38"/>
    <w:rsid w:val="00C46DCB"/>
    <w:rsid w:val="00C46E63"/>
    <w:rsid w:val="00C46E70"/>
    <w:rsid w:val="00C4714A"/>
    <w:rsid w:val="00C4783B"/>
    <w:rsid w:val="00C47991"/>
    <w:rsid w:val="00C479A6"/>
    <w:rsid w:val="00C47C5D"/>
    <w:rsid w:val="00C47C8E"/>
    <w:rsid w:val="00C47EB8"/>
    <w:rsid w:val="00C50505"/>
    <w:rsid w:val="00C50E42"/>
    <w:rsid w:val="00C511D5"/>
    <w:rsid w:val="00C51321"/>
    <w:rsid w:val="00C51599"/>
    <w:rsid w:val="00C516EB"/>
    <w:rsid w:val="00C51AD6"/>
    <w:rsid w:val="00C5202B"/>
    <w:rsid w:val="00C526CB"/>
    <w:rsid w:val="00C5288E"/>
    <w:rsid w:val="00C52FD1"/>
    <w:rsid w:val="00C53175"/>
    <w:rsid w:val="00C531D8"/>
    <w:rsid w:val="00C5359B"/>
    <w:rsid w:val="00C53AF7"/>
    <w:rsid w:val="00C53E2E"/>
    <w:rsid w:val="00C541D6"/>
    <w:rsid w:val="00C542D9"/>
    <w:rsid w:val="00C543B9"/>
    <w:rsid w:val="00C54736"/>
    <w:rsid w:val="00C54769"/>
    <w:rsid w:val="00C54DA4"/>
    <w:rsid w:val="00C551C7"/>
    <w:rsid w:val="00C554B5"/>
    <w:rsid w:val="00C554D2"/>
    <w:rsid w:val="00C55B93"/>
    <w:rsid w:val="00C55C95"/>
    <w:rsid w:val="00C55E03"/>
    <w:rsid w:val="00C55FE7"/>
    <w:rsid w:val="00C5628B"/>
    <w:rsid w:val="00C563EB"/>
    <w:rsid w:val="00C568D8"/>
    <w:rsid w:val="00C5699C"/>
    <w:rsid w:val="00C56D2B"/>
    <w:rsid w:val="00C56EF2"/>
    <w:rsid w:val="00C570A6"/>
    <w:rsid w:val="00C57174"/>
    <w:rsid w:val="00C57486"/>
    <w:rsid w:val="00C574E8"/>
    <w:rsid w:val="00C5785C"/>
    <w:rsid w:val="00C579E2"/>
    <w:rsid w:val="00C579F3"/>
    <w:rsid w:val="00C57C3E"/>
    <w:rsid w:val="00C57CCE"/>
    <w:rsid w:val="00C600B3"/>
    <w:rsid w:val="00C60104"/>
    <w:rsid w:val="00C604E7"/>
    <w:rsid w:val="00C605B0"/>
    <w:rsid w:val="00C60781"/>
    <w:rsid w:val="00C60842"/>
    <w:rsid w:val="00C60A20"/>
    <w:rsid w:val="00C60C18"/>
    <w:rsid w:val="00C60DE1"/>
    <w:rsid w:val="00C610DA"/>
    <w:rsid w:val="00C6123C"/>
    <w:rsid w:val="00C61284"/>
    <w:rsid w:val="00C6140C"/>
    <w:rsid w:val="00C61464"/>
    <w:rsid w:val="00C61477"/>
    <w:rsid w:val="00C617B4"/>
    <w:rsid w:val="00C61ABF"/>
    <w:rsid w:val="00C622B9"/>
    <w:rsid w:val="00C6239A"/>
    <w:rsid w:val="00C62640"/>
    <w:rsid w:val="00C629CE"/>
    <w:rsid w:val="00C62A2B"/>
    <w:rsid w:val="00C62B98"/>
    <w:rsid w:val="00C62C51"/>
    <w:rsid w:val="00C62CF3"/>
    <w:rsid w:val="00C62D8F"/>
    <w:rsid w:val="00C62DB8"/>
    <w:rsid w:val="00C636C7"/>
    <w:rsid w:val="00C638AA"/>
    <w:rsid w:val="00C63C00"/>
    <w:rsid w:val="00C63C9E"/>
    <w:rsid w:val="00C64F00"/>
    <w:rsid w:val="00C64F5C"/>
    <w:rsid w:val="00C64FB4"/>
    <w:rsid w:val="00C65049"/>
    <w:rsid w:val="00C652DA"/>
    <w:rsid w:val="00C65731"/>
    <w:rsid w:val="00C65A94"/>
    <w:rsid w:val="00C65D17"/>
    <w:rsid w:val="00C662B3"/>
    <w:rsid w:val="00C66953"/>
    <w:rsid w:val="00C66E62"/>
    <w:rsid w:val="00C66F30"/>
    <w:rsid w:val="00C6710C"/>
    <w:rsid w:val="00C67211"/>
    <w:rsid w:val="00C6745B"/>
    <w:rsid w:val="00C67924"/>
    <w:rsid w:val="00C67989"/>
    <w:rsid w:val="00C679FB"/>
    <w:rsid w:val="00C67A5E"/>
    <w:rsid w:val="00C67CC9"/>
    <w:rsid w:val="00C67E8E"/>
    <w:rsid w:val="00C70122"/>
    <w:rsid w:val="00C70778"/>
    <w:rsid w:val="00C70CAF"/>
    <w:rsid w:val="00C71E44"/>
    <w:rsid w:val="00C71FAF"/>
    <w:rsid w:val="00C72014"/>
    <w:rsid w:val="00C720C3"/>
    <w:rsid w:val="00C72177"/>
    <w:rsid w:val="00C722A1"/>
    <w:rsid w:val="00C729D7"/>
    <w:rsid w:val="00C72F99"/>
    <w:rsid w:val="00C730CC"/>
    <w:rsid w:val="00C73339"/>
    <w:rsid w:val="00C7376A"/>
    <w:rsid w:val="00C739BF"/>
    <w:rsid w:val="00C73C25"/>
    <w:rsid w:val="00C7421D"/>
    <w:rsid w:val="00C747E8"/>
    <w:rsid w:val="00C7482C"/>
    <w:rsid w:val="00C74B23"/>
    <w:rsid w:val="00C74B8C"/>
    <w:rsid w:val="00C74F9A"/>
    <w:rsid w:val="00C7507B"/>
    <w:rsid w:val="00C75198"/>
    <w:rsid w:val="00C75753"/>
    <w:rsid w:val="00C76533"/>
    <w:rsid w:val="00C7676E"/>
    <w:rsid w:val="00C77210"/>
    <w:rsid w:val="00C7723A"/>
    <w:rsid w:val="00C77288"/>
    <w:rsid w:val="00C77356"/>
    <w:rsid w:val="00C77AD0"/>
    <w:rsid w:val="00C77D9E"/>
    <w:rsid w:val="00C77E6D"/>
    <w:rsid w:val="00C80203"/>
    <w:rsid w:val="00C802FE"/>
    <w:rsid w:val="00C8031B"/>
    <w:rsid w:val="00C803DE"/>
    <w:rsid w:val="00C805D6"/>
    <w:rsid w:val="00C806BB"/>
    <w:rsid w:val="00C80D5B"/>
    <w:rsid w:val="00C80F1E"/>
    <w:rsid w:val="00C8113E"/>
    <w:rsid w:val="00C8119E"/>
    <w:rsid w:val="00C815FB"/>
    <w:rsid w:val="00C81A42"/>
    <w:rsid w:val="00C81C55"/>
    <w:rsid w:val="00C82357"/>
    <w:rsid w:val="00C8254E"/>
    <w:rsid w:val="00C8257B"/>
    <w:rsid w:val="00C825B4"/>
    <w:rsid w:val="00C8268F"/>
    <w:rsid w:val="00C82990"/>
    <w:rsid w:val="00C8324B"/>
    <w:rsid w:val="00C83535"/>
    <w:rsid w:val="00C8365A"/>
    <w:rsid w:val="00C83D84"/>
    <w:rsid w:val="00C83DF1"/>
    <w:rsid w:val="00C84D58"/>
    <w:rsid w:val="00C8548F"/>
    <w:rsid w:val="00C8563A"/>
    <w:rsid w:val="00C85C53"/>
    <w:rsid w:val="00C85CDE"/>
    <w:rsid w:val="00C85EAA"/>
    <w:rsid w:val="00C86044"/>
    <w:rsid w:val="00C86228"/>
    <w:rsid w:val="00C8660D"/>
    <w:rsid w:val="00C86AC4"/>
    <w:rsid w:val="00C86B7B"/>
    <w:rsid w:val="00C8725A"/>
    <w:rsid w:val="00C87371"/>
    <w:rsid w:val="00C873C9"/>
    <w:rsid w:val="00C87436"/>
    <w:rsid w:val="00C876B3"/>
    <w:rsid w:val="00C9074D"/>
    <w:rsid w:val="00C90880"/>
    <w:rsid w:val="00C908E0"/>
    <w:rsid w:val="00C90B6E"/>
    <w:rsid w:val="00C9104F"/>
    <w:rsid w:val="00C912DE"/>
    <w:rsid w:val="00C912F1"/>
    <w:rsid w:val="00C91651"/>
    <w:rsid w:val="00C9166A"/>
    <w:rsid w:val="00C917A4"/>
    <w:rsid w:val="00C91B21"/>
    <w:rsid w:val="00C92076"/>
    <w:rsid w:val="00C92095"/>
    <w:rsid w:val="00C922A2"/>
    <w:rsid w:val="00C92A23"/>
    <w:rsid w:val="00C92E58"/>
    <w:rsid w:val="00C92F09"/>
    <w:rsid w:val="00C92F27"/>
    <w:rsid w:val="00C9316F"/>
    <w:rsid w:val="00C931AA"/>
    <w:rsid w:val="00C931DE"/>
    <w:rsid w:val="00C935FF"/>
    <w:rsid w:val="00C93628"/>
    <w:rsid w:val="00C93D33"/>
    <w:rsid w:val="00C945E1"/>
    <w:rsid w:val="00C95064"/>
    <w:rsid w:val="00C95452"/>
    <w:rsid w:val="00C956CF"/>
    <w:rsid w:val="00C9588C"/>
    <w:rsid w:val="00C95A52"/>
    <w:rsid w:val="00C95DB5"/>
    <w:rsid w:val="00C9604A"/>
    <w:rsid w:val="00C963E7"/>
    <w:rsid w:val="00C96966"/>
    <w:rsid w:val="00C96A57"/>
    <w:rsid w:val="00C97B91"/>
    <w:rsid w:val="00C97CEE"/>
    <w:rsid w:val="00C97D20"/>
    <w:rsid w:val="00C97F96"/>
    <w:rsid w:val="00CA0093"/>
    <w:rsid w:val="00CA08E1"/>
    <w:rsid w:val="00CA0CD0"/>
    <w:rsid w:val="00CA0DA6"/>
    <w:rsid w:val="00CA0E31"/>
    <w:rsid w:val="00CA1195"/>
    <w:rsid w:val="00CA125C"/>
    <w:rsid w:val="00CA13B3"/>
    <w:rsid w:val="00CA14C5"/>
    <w:rsid w:val="00CA1F79"/>
    <w:rsid w:val="00CA1F9F"/>
    <w:rsid w:val="00CA205F"/>
    <w:rsid w:val="00CA2354"/>
    <w:rsid w:val="00CA26EA"/>
    <w:rsid w:val="00CA2F41"/>
    <w:rsid w:val="00CA2FB2"/>
    <w:rsid w:val="00CA39F3"/>
    <w:rsid w:val="00CA3A43"/>
    <w:rsid w:val="00CA3D3A"/>
    <w:rsid w:val="00CA41AD"/>
    <w:rsid w:val="00CA42D6"/>
    <w:rsid w:val="00CA4312"/>
    <w:rsid w:val="00CA43DA"/>
    <w:rsid w:val="00CA4FB9"/>
    <w:rsid w:val="00CA528A"/>
    <w:rsid w:val="00CA5362"/>
    <w:rsid w:val="00CA536E"/>
    <w:rsid w:val="00CA5528"/>
    <w:rsid w:val="00CA5649"/>
    <w:rsid w:val="00CA6780"/>
    <w:rsid w:val="00CA6898"/>
    <w:rsid w:val="00CA71D0"/>
    <w:rsid w:val="00CA7214"/>
    <w:rsid w:val="00CA7554"/>
    <w:rsid w:val="00CA794E"/>
    <w:rsid w:val="00CA7D6D"/>
    <w:rsid w:val="00CA7E0F"/>
    <w:rsid w:val="00CA7F4C"/>
    <w:rsid w:val="00CB017D"/>
    <w:rsid w:val="00CB0824"/>
    <w:rsid w:val="00CB1197"/>
    <w:rsid w:val="00CB141E"/>
    <w:rsid w:val="00CB15E9"/>
    <w:rsid w:val="00CB1600"/>
    <w:rsid w:val="00CB1675"/>
    <w:rsid w:val="00CB1720"/>
    <w:rsid w:val="00CB1AF7"/>
    <w:rsid w:val="00CB1D10"/>
    <w:rsid w:val="00CB257C"/>
    <w:rsid w:val="00CB2BD5"/>
    <w:rsid w:val="00CB2CF8"/>
    <w:rsid w:val="00CB2DC6"/>
    <w:rsid w:val="00CB2FB7"/>
    <w:rsid w:val="00CB3111"/>
    <w:rsid w:val="00CB37D4"/>
    <w:rsid w:val="00CB3A5A"/>
    <w:rsid w:val="00CB3E72"/>
    <w:rsid w:val="00CB4200"/>
    <w:rsid w:val="00CB4369"/>
    <w:rsid w:val="00CB458A"/>
    <w:rsid w:val="00CB4A51"/>
    <w:rsid w:val="00CB4D10"/>
    <w:rsid w:val="00CB4E61"/>
    <w:rsid w:val="00CB581B"/>
    <w:rsid w:val="00CB5C55"/>
    <w:rsid w:val="00CB5D83"/>
    <w:rsid w:val="00CB601E"/>
    <w:rsid w:val="00CB6107"/>
    <w:rsid w:val="00CB63F8"/>
    <w:rsid w:val="00CB665A"/>
    <w:rsid w:val="00CB66E3"/>
    <w:rsid w:val="00CB7070"/>
    <w:rsid w:val="00CB73C0"/>
    <w:rsid w:val="00CB748E"/>
    <w:rsid w:val="00CB766C"/>
    <w:rsid w:val="00CC063F"/>
    <w:rsid w:val="00CC0840"/>
    <w:rsid w:val="00CC0C07"/>
    <w:rsid w:val="00CC0C5E"/>
    <w:rsid w:val="00CC0D12"/>
    <w:rsid w:val="00CC1063"/>
    <w:rsid w:val="00CC186B"/>
    <w:rsid w:val="00CC1BB8"/>
    <w:rsid w:val="00CC1D1A"/>
    <w:rsid w:val="00CC2020"/>
    <w:rsid w:val="00CC21D7"/>
    <w:rsid w:val="00CC21E5"/>
    <w:rsid w:val="00CC23C6"/>
    <w:rsid w:val="00CC2706"/>
    <w:rsid w:val="00CC2A91"/>
    <w:rsid w:val="00CC2CAF"/>
    <w:rsid w:val="00CC2CE9"/>
    <w:rsid w:val="00CC30F7"/>
    <w:rsid w:val="00CC3447"/>
    <w:rsid w:val="00CC3467"/>
    <w:rsid w:val="00CC35A2"/>
    <w:rsid w:val="00CC3924"/>
    <w:rsid w:val="00CC4268"/>
    <w:rsid w:val="00CC45C2"/>
    <w:rsid w:val="00CC4809"/>
    <w:rsid w:val="00CC49AC"/>
    <w:rsid w:val="00CC4AC5"/>
    <w:rsid w:val="00CC5615"/>
    <w:rsid w:val="00CC588B"/>
    <w:rsid w:val="00CC5956"/>
    <w:rsid w:val="00CC5988"/>
    <w:rsid w:val="00CC6172"/>
    <w:rsid w:val="00CC6260"/>
    <w:rsid w:val="00CC6432"/>
    <w:rsid w:val="00CC6666"/>
    <w:rsid w:val="00CC67A8"/>
    <w:rsid w:val="00CC6801"/>
    <w:rsid w:val="00CC7672"/>
    <w:rsid w:val="00CC76FA"/>
    <w:rsid w:val="00CC79C3"/>
    <w:rsid w:val="00CC7BEE"/>
    <w:rsid w:val="00CD0577"/>
    <w:rsid w:val="00CD05DB"/>
    <w:rsid w:val="00CD06DD"/>
    <w:rsid w:val="00CD070E"/>
    <w:rsid w:val="00CD0C5D"/>
    <w:rsid w:val="00CD0D2B"/>
    <w:rsid w:val="00CD1054"/>
    <w:rsid w:val="00CD1133"/>
    <w:rsid w:val="00CD13BF"/>
    <w:rsid w:val="00CD1404"/>
    <w:rsid w:val="00CD187B"/>
    <w:rsid w:val="00CD1C4B"/>
    <w:rsid w:val="00CD1D9A"/>
    <w:rsid w:val="00CD1F5B"/>
    <w:rsid w:val="00CD1FFE"/>
    <w:rsid w:val="00CD23A3"/>
    <w:rsid w:val="00CD26FF"/>
    <w:rsid w:val="00CD305D"/>
    <w:rsid w:val="00CD3271"/>
    <w:rsid w:val="00CD33B5"/>
    <w:rsid w:val="00CD355F"/>
    <w:rsid w:val="00CD358A"/>
    <w:rsid w:val="00CD383F"/>
    <w:rsid w:val="00CD3A71"/>
    <w:rsid w:val="00CD4102"/>
    <w:rsid w:val="00CD414E"/>
    <w:rsid w:val="00CD4480"/>
    <w:rsid w:val="00CD471D"/>
    <w:rsid w:val="00CD4790"/>
    <w:rsid w:val="00CD4826"/>
    <w:rsid w:val="00CD5002"/>
    <w:rsid w:val="00CD524C"/>
    <w:rsid w:val="00CD5E10"/>
    <w:rsid w:val="00CD5F15"/>
    <w:rsid w:val="00CD6251"/>
    <w:rsid w:val="00CD70C3"/>
    <w:rsid w:val="00CD74EA"/>
    <w:rsid w:val="00CD7B72"/>
    <w:rsid w:val="00CD7C5F"/>
    <w:rsid w:val="00CD7CCD"/>
    <w:rsid w:val="00CD7D4F"/>
    <w:rsid w:val="00CD7E3E"/>
    <w:rsid w:val="00CD7ECC"/>
    <w:rsid w:val="00CE01E9"/>
    <w:rsid w:val="00CE0532"/>
    <w:rsid w:val="00CE08F0"/>
    <w:rsid w:val="00CE0AC9"/>
    <w:rsid w:val="00CE16E2"/>
    <w:rsid w:val="00CE1D91"/>
    <w:rsid w:val="00CE1EC1"/>
    <w:rsid w:val="00CE1EC9"/>
    <w:rsid w:val="00CE2134"/>
    <w:rsid w:val="00CE27B9"/>
    <w:rsid w:val="00CE27F9"/>
    <w:rsid w:val="00CE28E3"/>
    <w:rsid w:val="00CE2C87"/>
    <w:rsid w:val="00CE2D87"/>
    <w:rsid w:val="00CE2EE6"/>
    <w:rsid w:val="00CE2EFA"/>
    <w:rsid w:val="00CE3916"/>
    <w:rsid w:val="00CE39E0"/>
    <w:rsid w:val="00CE39EA"/>
    <w:rsid w:val="00CE3E77"/>
    <w:rsid w:val="00CE40D1"/>
    <w:rsid w:val="00CE474C"/>
    <w:rsid w:val="00CE4A28"/>
    <w:rsid w:val="00CE4B04"/>
    <w:rsid w:val="00CE4E97"/>
    <w:rsid w:val="00CE5008"/>
    <w:rsid w:val="00CE563E"/>
    <w:rsid w:val="00CE5AA9"/>
    <w:rsid w:val="00CE5F5C"/>
    <w:rsid w:val="00CE6498"/>
    <w:rsid w:val="00CE6AEB"/>
    <w:rsid w:val="00CE6FF6"/>
    <w:rsid w:val="00CE77B1"/>
    <w:rsid w:val="00CE78C0"/>
    <w:rsid w:val="00CE7D99"/>
    <w:rsid w:val="00CF116F"/>
    <w:rsid w:val="00CF12F8"/>
    <w:rsid w:val="00CF19E6"/>
    <w:rsid w:val="00CF1A2D"/>
    <w:rsid w:val="00CF2286"/>
    <w:rsid w:val="00CF2706"/>
    <w:rsid w:val="00CF2913"/>
    <w:rsid w:val="00CF2BBD"/>
    <w:rsid w:val="00CF32AF"/>
    <w:rsid w:val="00CF38F4"/>
    <w:rsid w:val="00CF3D71"/>
    <w:rsid w:val="00CF3ED0"/>
    <w:rsid w:val="00CF4017"/>
    <w:rsid w:val="00CF439F"/>
    <w:rsid w:val="00CF43F9"/>
    <w:rsid w:val="00CF4402"/>
    <w:rsid w:val="00CF4431"/>
    <w:rsid w:val="00CF4DF0"/>
    <w:rsid w:val="00CF5396"/>
    <w:rsid w:val="00CF54B0"/>
    <w:rsid w:val="00CF5A49"/>
    <w:rsid w:val="00CF5BCA"/>
    <w:rsid w:val="00CF5EA2"/>
    <w:rsid w:val="00CF629C"/>
    <w:rsid w:val="00CF669A"/>
    <w:rsid w:val="00CF6902"/>
    <w:rsid w:val="00CF6ACF"/>
    <w:rsid w:val="00CF6ECE"/>
    <w:rsid w:val="00CF6F59"/>
    <w:rsid w:val="00CF7120"/>
    <w:rsid w:val="00CF724C"/>
    <w:rsid w:val="00CF72B4"/>
    <w:rsid w:val="00CF74F4"/>
    <w:rsid w:val="00CF798C"/>
    <w:rsid w:val="00CF79BC"/>
    <w:rsid w:val="00CF7B7D"/>
    <w:rsid w:val="00CF7D0B"/>
    <w:rsid w:val="00CF7DB0"/>
    <w:rsid w:val="00D001B4"/>
    <w:rsid w:val="00D003B7"/>
    <w:rsid w:val="00D00D1A"/>
    <w:rsid w:val="00D00E36"/>
    <w:rsid w:val="00D00F83"/>
    <w:rsid w:val="00D0107D"/>
    <w:rsid w:val="00D0155C"/>
    <w:rsid w:val="00D015E0"/>
    <w:rsid w:val="00D0168D"/>
    <w:rsid w:val="00D01915"/>
    <w:rsid w:val="00D01C7A"/>
    <w:rsid w:val="00D01DA6"/>
    <w:rsid w:val="00D01FF5"/>
    <w:rsid w:val="00D0243B"/>
    <w:rsid w:val="00D02727"/>
    <w:rsid w:val="00D027E0"/>
    <w:rsid w:val="00D02815"/>
    <w:rsid w:val="00D028A7"/>
    <w:rsid w:val="00D02DF8"/>
    <w:rsid w:val="00D02F4F"/>
    <w:rsid w:val="00D0347F"/>
    <w:rsid w:val="00D0383E"/>
    <w:rsid w:val="00D03B80"/>
    <w:rsid w:val="00D03DEF"/>
    <w:rsid w:val="00D03EA0"/>
    <w:rsid w:val="00D04B80"/>
    <w:rsid w:val="00D04CB3"/>
    <w:rsid w:val="00D04D16"/>
    <w:rsid w:val="00D04F24"/>
    <w:rsid w:val="00D05319"/>
    <w:rsid w:val="00D05A35"/>
    <w:rsid w:val="00D05A97"/>
    <w:rsid w:val="00D05D9C"/>
    <w:rsid w:val="00D05F87"/>
    <w:rsid w:val="00D06521"/>
    <w:rsid w:val="00D06B4E"/>
    <w:rsid w:val="00D06BCC"/>
    <w:rsid w:val="00D06C6C"/>
    <w:rsid w:val="00D072E0"/>
    <w:rsid w:val="00D0773C"/>
    <w:rsid w:val="00D07CBF"/>
    <w:rsid w:val="00D07CD9"/>
    <w:rsid w:val="00D104DE"/>
    <w:rsid w:val="00D107C3"/>
    <w:rsid w:val="00D11EF1"/>
    <w:rsid w:val="00D11F2B"/>
    <w:rsid w:val="00D12217"/>
    <w:rsid w:val="00D1299E"/>
    <w:rsid w:val="00D12A71"/>
    <w:rsid w:val="00D12AE7"/>
    <w:rsid w:val="00D1300C"/>
    <w:rsid w:val="00D137A3"/>
    <w:rsid w:val="00D139E0"/>
    <w:rsid w:val="00D13BEB"/>
    <w:rsid w:val="00D14451"/>
    <w:rsid w:val="00D14494"/>
    <w:rsid w:val="00D14856"/>
    <w:rsid w:val="00D14E59"/>
    <w:rsid w:val="00D15A37"/>
    <w:rsid w:val="00D1623E"/>
    <w:rsid w:val="00D1662B"/>
    <w:rsid w:val="00D168EB"/>
    <w:rsid w:val="00D16B5B"/>
    <w:rsid w:val="00D16BC9"/>
    <w:rsid w:val="00D1750B"/>
    <w:rsid w:val="00D17DFA"/>
    <w:rsid w:val="00D17E16"/>
    <w:rsid w:val="00D17E4F"/>
    <w:rsid w:val="00D20005"/>
    <w:rsid w:val="00D20031"/>
    <w:rsid w:val="00D200E7"/>
    <w:rsid w:val="00D20327"/>
    <w:rsid w:val="00D20DEF"/>
    <w:rsid w:val="00D20E48"/>
    <w:rsid w:val="00D210A9"/>
    <w:rsid w:val="00D21163"/>
    <w:rsid w:val="00D21434"/>
    <w:rsid w:val="00D21462"/>
    <w:rsid w:val="00D21519"/>
    <w:rsid w:val="00D21610"/>
    <w:rsid w:val="00D21611"/>
    <w:rsid w:val="00D21D68"/>
    <w:rsid w:val="00D21DCB"/>
    <w:rsid w:val="00D2208D"/>
    <w:rsid w:val="00D223D7"/>
    <w:rsid w:val="00D2245F"/>
    <w:rsid w:val="00D225E3"/>
    <w:rsid w:val="00D22850"/>
    <w:rsid w:val="00D2287D"/>
    <w:rsid w:val="00D228B3"/>
    <w:rsid w:val="00D228B5"/>
    <w:rsid w:val="00D229A9"/>
    <w:rsid w:val="00D22C42"/>
    <w:rsid w:val="00D22D3E"/>
    <w:rsid w:val="00D236E9"/>
    <w:rsid w:val="00D23861"/>
    <w:rsid w:val="00D23893"/>
    <w:rsid w:val="00D23E6F"/>
    <w:rsid w:val="00D23FE7"/>
    <w:rsid w:val="00D243EE"/>
    <w:rsid w:val="00D24E25"/>
    <w:rsid w:val="00D252F3"/>
    <w:rsid w:val="00D25476"/>
    <w:rsid w:val="00D25BD2"/>
    <w:rsid w:val="00D25FD6"/>
    <w:rsid w:val="00D263FC"/>
    <w:rsid w:val="00D26509"/>
    <w:rsid w:val="00D265D6"/>
    <w:rsid w:val="00D26D01"/>
    <w:rsid w:val="00D27059"/>
    <w:rsid w:val="00D27294"/>
    <w:rsid w:val="00D27571"/>
    <w:rsid w:val="00D279FA"/>
    <w:rsid w:val="00D27CDB"/>
    <w:rsid w:val="00D30003"/>
    <w:rsid w:val="00D300CC"/>
    <w:rsid w:val="00D30635"/>
    <w:rsid w:val="00D30BB2"/>
    <w:rsid w:val="00D30CF4"/>
    <w:rsid w:val="00D312DF"/>
    <w:rsid w:val="00D313B3"/>
    <w:rsid w:val="00D31B1C"/>
    <w:rsid w:val="00D31C32"/>
    <w:rsid w:val="00D31D6D"/>
    <w:rsid w:val="00D3211F"/>
    <w:rsid w:val="00D3266F"/>
    <w:rsid w:val="00D326E5"/>
    <w:rsid w:val="00D32715"/>
    <w:rsid w:val="00D3291E"/>
    <w:rsid w:val="00D3292B"/>
    <w:rsid w:val="00D32BBE"/>
    <w:rsid w:val="00D32FDA"/>
    <w:rsid w:val="00D33805"/>
    <w:rsid w:val="00D3386C"/>
    <w:rsid w:val="00D33CA3"/>
    <w:rsid w:val="00D33F02"/>
    <w:rsid w:val="00D345F3"/>
    <w:rsid w:val="00D34840"/>
    <w:rsid w:val="00D34AD8"/>
    <w:rsid w:val="00D34BFF"/>
    <w:rsid w:val="00D34CAE"/>
    <w:rsid w:val="00D34F1C"/>
    <w:rsid w:val="00D3520B"/>
    <w:rsid w:val="00D352D4"/>
    <w:rsid w:val="00D358F7"/>
    <w:rsid w:val="00D35B45"/>
    <w:rsid w:val="00D35DE0"/>
    <w:rsid w:val="00D360C7"/>
    <w:rsid w:val="00D361C1"/>
    <w:rsid w:val="00D36376"/>
    <w:rsid w:val="00D36561"/>
    <w:rsid w:val="00D36E05"/>
    <w:rsid w:val="00D36E67"/>
    <w:rsid w:val="00D36FF3"/>
    <w:rsid w:val="00D375EE"/>
    <w:rsid w:val="00D37785"/>
    <w:rsid w:val="00D3782C"/>
    <w:rsid w:val="00D37EF5"/>
    <w:rsid w:val="00D400AD"/>
    <w:rsid w:val="00D40373"/>
    <w:rsid w:val="00D405A9"/>
    <w:rsid w:val="00D40682"/>
    <w:rsid w:val="00D408FB"/>
    <w:rsid w:val="00D40E7C"/>
    <w:rsid w:val="00D411B9"/>
    <w:rsid w:val="00D411DD"/>
    <w:rsid w:val="00D41359"/>
    <w:rsid w:val="00D41555"/>
    <w:rsid w:val="00D41706"/>
    <w:rsid w:val="00D419C9"/>
    <w:rsid w:val="00D420E5"/>
    <w:rsid w:val="00D4249D"/>
    <w:rsid w:val="00D4273F"/>
    <w:rsid w:val="00D428B9"/>
    <w:rsid w:val="00D42BD8"/>
    <w:rsid w:val="00D42C04"/>
    <w:rsid w:val="00D42C60"/>
    <w:rsid w:val="00D43184"/>
    <w:rsid w:val="00D431AF"/>
    <w:rsid w:val="00D43246"/>
    <w:rsid w:val="00D436FB"/>
    <w:rsid w:val="00D441C0"/>
    <w:rsid w:val="00D442EA"/>
    <w:rsid w:val="00D4440F"/>
    <w:rsid w:val="00D44D4F"/>
    <w:rsid w:val="00D44DD3"/>
    <w:rsid w:val="00D44F42"/>
    <w:rsid w:val="00D4518D"/>
    <w:rsid w:val="00D45750"/>
    <w:rsid w:val="00D457EA"/>
    <w:rsid w:val="00D45C42"/>
    <w:rsid w:val="00D4644D"/>
    <w:rsid w:val="00D46519"/>
    <w:rsid w:val="00D46A87"/>
    <w:rsid w:val="00D470A4"/>
    <w:rsid w:val="00D4727B"/>
    <w:rsid w:val="00D47571"/>
    <w:rsid w:val="00D47BBA"/>
    <w:rsid w:val="00D47C27"/>
    <w:rsid w:val="00D47C94"/>
    <w:rsid w:val="00D47D59"/>
    <w:rsid w:val="00D47DE8"/>
    <w:rsid w:val="00D501D2"/>
    <w:rsid w:val="00D503A5"/>
    <w:rsid w:val="00D50674"/>
    <w:rsid w:val="00D50CD0"/>
    <w:rsid w:val="00D518EC"/>
    <w:rsid w:val="00D51CAD"/>
    <w:rsid w:val="00D51D3F"/>
    <w:rsid w:val="00D52049"/>
    <w:rsid w:val="00D52407"/>
    <w:rsid w:val="00D52958"/>
    <w:rsid w:val="00D52CED"/>
    <w:rsid w:val="00D52E54"/>
    <w:rsid w:val="00D52FF5"/>
    <w:rsid w:val="00D531B8"/>
    <w:rsid w:val="00D53270"/>
    <w:rsid w:val="00D53CDC"/>
    <w:rsid w:val="00D53D90"/>
    <w:rsid w:val="00D5482C"/>
    <w:rsid w:val="00D54835"/>
    <w:rsid w:val="00D54F1D"/>
    <w:rsid w:val="00D55120"/>
    <w:rsid w:val="00D55186"/>
    <w:rsid w:val="00D55238"/>
    <w:rsid w:val="00D55D6F"/>
    <w:rsid w:val="00D56470"/>
    <w:rsid w:val="00D56669"/>
    <w:rsid w:val="00D56B4F"/>
    <w:rsid w:val="00D56D7D"/>
    <w:rsid w:val="00D56D9C"/>
    <w:rsid w:val="00D56DFA"/>
    <w:rsid w:val="00D56E34"/>
    <w:rsid w:val="00D57492"/>
    <w:rsid w:val="00D5764F"/>
    <w:rsid w:val="00D57B51"/>
    <w:rsid w:val="00D6009F"/>
    <w:rsid w:val="00D60134"/>
    <w:rsid w:val="00D6073C"/>
    <w:rsid w:val="00D60E22"/>
    <w:rsid w:val="00D61175"/>
    <w:rsid w:val="00D6119A"/>
    <w:rsid w:val="00D61302"/>
    <w:rsid w:val="00D616C4"/>
    <w:rsid w:val="00D61795"/>
    <w:rsid w:val="00D618FC"/>
    <w:rsid w:val="00D61BA2"/>
    <w:rsid w:val="00D62534"/>
    <w:rsid w:val="00D62942"/>
    <w:rsid w:val="00D62F4D"/>
    <w:rsid w:val="00D62FBF"/>
    <w:rsid w:val="00D631AA"/>
    <w:rsid w:val="00D6334F"/>
    <w:rsid w:val="00D6383E"/>
    <w:rsid w:val="00D63B1D"/>
    <w:rsid w:val="00D64524"/>
    <w:rsid w:val="00D6460E"/>
    <w:rsid w:val="00D64906"/>
    <w:rsid w:val="00D64AA1"/>
    <w:rsid w:val="00D64B44"/>
    <w:rsid w:val="00D650E3"/>
    <w:rsid w:val="00D65175"/>
    <w:rsid w:val="00D652D9"/>
    <w:rsid w:val="00D65646"/>
    <w:rsid w:val="00D65D88"/>
    <w:rsid w:val="00D65ECD"/>
    <w:rsid w:val="00D661DF"/>
    <w:rsid w:val="00D662F8"/>
    <w:rsid w:val="00D6654A"/>
    <w:rsid w:val="00D66C12"/>
    <w:rsid w:val="00D67145"/>
    <w:rsid w:val="00D671D8"/>
    <w:rsid w:val="00D67379"/>
    <w:rsid w:val="00D6739B"/>
    <w:rsid w:val="00D67492"/>
    <w:rsid w:val="00D67F57"/>
    <w:rsid w:val="00D703D6"/>
    <w:rsid w:val="00D70BC4"/>
    <w:rsid w:val="00D70DDA"/>
    <w:rsid w:val="00D70EDD"/>
    <w:rsid w:val="00D70F99"/>
    <w:rsid w:val="00D71428"/>
    <w:rsid w:val="00D71807"/>
    <w:rsid w:val="00D71809"/>
    <w:rsid w:val="00D71AB7"/>
    <w:rsid w:val="00D71AB8"/>
    <w:rsid w:val="00D71C3F"/>
    <w:rsid w:val="00D71C90"/>
    <w:rsid w:val="00D71D38"/>
    <w:rsid w:val="00D722EB"/>
    <w:rsid w:val="00D72904"/>
    <w:rsid w:val="00D72A40"/>
    <w:rsid w:val="00D72FD2"/>
    <w:rsid w:val="00D7310D"/>
    <w:rsid w:val="00D738C7"/>
    <w:rsid w:val="00D73AD9"/>
    <w:rsid w:val="00D73BEE"/>
    <w:rsid w:val="00D73C15"/>
    <w:rsid w:val="00D74402"/>
    <w:rsid w:val="00D746DD"/>
    <w:rsid w:val="00D74950"/>
    <w:rsid w:val="00D749B3"/>
    <w:rsid w:val="00D74BBB"/>
    <w:rsid w:val="00D74C59"/>
    <w:rsid w:val="00D7522B"/>
    <w:rsid w:val="00D752D8"/>
    <w:rsid w:val="00D756DA"/>
    <w:rsid w:val="00D758B0"/>
    <w:rsid w:val="00D759AB"/>
    <w:rsid w:val="00D75D75"/>
    <w:rsid w:val="00D76467"/>
    <w:rsid w:val="00D76661"/>
    <w:rsid w:val="00D766D0"/>
    <w:rsid w:val="00D76787"/>
    <w:rsid w:val="00D76AE5"/>
    <w:rsid w:val="00D76EE1"/>
    <w:rsid w:val="00D76FBA"/>
    <w:rsid w:val="00D770EE"/>
    <w:rsid w:val="00D77140"/>
    <w:rsid w:val="00D772F4"/>
    <w:rsid w:val="00D77842"/>
    <w:rsid w:val="00D77B20"/>
    <w:rsid w:val="00D808C8"/>
    <w:rsid w:val="00D80AE0"/>
    <w:rsid w:val="00D80C29"/>
    <w:rsid w:val="00D8100A"/>
    <w:rsid w:val="00D813D7"/>
    <w:rsid w:val="00D81A93"/>
    <w:rsid w:val="00D820B1"/>
    <w:rsid w:val="00D82309"/>
    <w:rsid w:val="00D82912"/>
    <w:rsid w:val="00D82CDB"/>
    <w:rsid w:val="00D8316D"/>
    <w:rsid w:val="00D8327E"/>
    <w:rsid w:val="00D83653"/>
    <w:rsid w:val="00D8384F"/>
    <w:rsid w:val="00D83B10"/>
    <w:rsid w:val="00D83B51"/>
    <w:rsid w:val="00D83D2F"/>
    <w:rsid w:val="00D841EF"/>
    <w:rsid w:val="00D842C6"/>
    <w:rsid w:val="00D842E7"/>
    <w:rsid w:val="00D843AA"/>
    <w:rsid w:val="00D846D1"/>
    <w:rsid w:val="00D84AFD"/>
    <w:rsid w:val="00D84D97"/>
    <w:rsid w:val="00D84ECA"/>
    <w:rsid w:val="00D85140"/>
    <w:rsid w:val="00D8525E"/>
    <w:rsid w:val="00D853DF"/>
    <w:rsid w:val="00D8564A"/>
    <w:rsid w:val="00D85F35"/>
    <w:rsid w:val="00D86005"/>
    <w:rsid w:val="00D867B8"/>
    <w:rsid w:val="00D86918"/>
    <w:rsid w:val="00D869B3"/>
    <w:rsid w:val="00D86B89"/>
    <w:rsid w:val="00D86CFD"/>
    <w:rsid w:val="00D86D8D"/>
    <w:rsid w:val="00D86EA0"/>
    <w:rsid w:val="00D86FF7"/>
    <w:rsid w:val="00D90312"/>
    <w:rsid w:val="00D903BE"/>
    <w:rsid w:val="00D9041B"/>
    <w:rsid w:val="00D904AB"/>
    <w:rsid w:val="00D90818"/>
    <w:rsid w:val="00D9092C"/>
    <w:rsid w:val="00D90AB3"/>
    <w:rsid w:val="00D90DBB"/>
    <w:rsid w:val="00D91279"/>
    <w:rsid w:val="00D91294"/>
    <w:rsid w:val="00D9141D"/>
    <w:rsid w:val="00D914FF"/>
    <w:rsid w:val="00D916CF"/>
    <w:rsid w:val="00D917EF"/>
    <w:rsid w:val="00D91B3F"/>
    <w:rsid w:val="00D91F14"/>
    <w:rsid w:val="00D923D1"/>
    <w:rsid w:val="00D9243B"/>
    <w:rsid w:val="00D92524"/>
    <w:rsid w:val="00D92640"/>
    <w:rsid w:val="00D93115"/>
    <w:rsid w:val="00D935EF"/>
    <w:rsid w:val="00D93866"/>
    <w:rsid w:val="00D939B7"/>
    <w:rsid w:val="00D93C3B"/>
    <w:rsid w:val="00D93C8D"/>
    <w:rsid w:val="00D93DB1"/>
    <w:rsid w:val="00D93FCA"/>
    <w:rsid w:val="00D942A0"/>
    <w:rsid w:val="00D94671"/>
    <w:rsid w:val="00D946C9"/>
    <w:rsid w:val="00D94858"/>
    <w:rsid w:val="00D94B79"/>
    <w:rsid w:val="00D94CF3"/>
    <w:rsid w:val="00D955F3"/>
    <w:rsid w:val="00D95A55"/>
    <w:rsid w:val="00D96564"/>
    <w:rsid w:val="00D96755"/>
    <w:rsid w:val="00D967A8"/>
    <w:rsid w:val="00D96AB7"/>
    <w:rsid w:val="00D96B1C"/>
    <w:rsid w:val="00D96B26"/>
    <w:rsid w:val="00D96CE8"/>
    <w:rsid w:val="00D97037"/>
    <w:rsid w:val="00D97126"/>
    <w:rsid w:val="00D978B7"/>
    <w:rsid w:val="00D9797E"/>
    <w:rsid w:val="00D97EC8"/>
    <w:rsid w:val="00DA0190"/>
    <w:rsid w:val="00DA058E"/>
    <w:rsid w:val="00DA0984"/>
    <w:rsid w:val="00DA0BBF"/>
    <w:rsid w:val="00DA11E3"/>
    <w:rsid w:val="00DA15EE"/>
    <w:rsid w:val="00DA1848"/>
    <w:rsid w:val="00DA188F"/>
    <w:rsid w:val="00DA190B"/>
    <w:rsid w:val="00DA196F"/>
    <w:rsid w:val="00DA1ADB"/>
    <w:rsid w:val="00DA1B80"/>
    <w:rsid w:val="00DA1BE7"/>
    <w:rsid w:val="00DA1ED0"/>
    <w:rsid w:val="00DA228A"/>
    <w:rsid w:val="00DA25CC"/>
    <w:rsid w:val="00DA2872"/>
    <w:rsid w:val="00DA2D41"/>
    <w:rsid w:val="00DA2D9D"/>
    <w:rsid w:val="00DA3199"/>
    <w:rsid w:val="00DA416F"/>
    <w:rsid w:val="00DA41BA"/>
    <w:rsid w:val="00DA428B"/>
    <w:rsid w:val="00DA4332"/>
    <w:rsid w:val="00DA43F8"/>
    <w:rsid w:val="00DA453F"/>
    <w:rsid w:val="00DA499E"/>
    <w:rsid w:val="00DA4A1F"/>
    <w:rsid w:val="00DA4C15"/>
    <w:rsid w:val="00DA512C"/>
    <w:rsid w:val="00DA571E"/>
    <w:rsid w:val="00DA58CF"/>
    <w:rsid w:val="00DA5E48"/>
    <w:rsid w:val="00DA6647"/>
    <w:rsid w:val="00DA6765"/>
    <w:rsid w:val="00DA6F04"/>
    <w:rsid w:val="00DA715C"/>
    <w:rsid w:val="00DA7202"/>
    <w:rsid w:val="00DA74AF"/>
    <w:rsid w:val="00DA7578"/>
    <w:rsid w:val="00DA7EEB"/>
    <w:rsid w:val="00DB000B"/>
    <w:rsid w:val="00DB003C"/>
    <w:rsid w:val="00DB0102"/>
    <w:rsid w:val="00DB0825"/>
    <w:rsid w:val="00DB0D8F"/>
    <w:rsid w:val="00DB13C3"/>
    <w:rsid w:val="00DB1442"/>
    <w:rsid w:val="00DB1489"/>
    <w:rsid w:val="00DB19F1"/>
    <w:rsid w:val="00DB1DA5"/>
    <w:rsid w:val="00DB1DD6"/>
    <w:rsid w:val="00DB1E91"/>
    <w:rsid w:val="00DB213F"/>
    <w:rsid w:val="00DB2286"/>
    <w:rsid w:val="00DB23DA"/>
    <w:rsid w:val="00DB25AE"/>
    <w:rsid w:val="00DB2AD8"/>
    <w:rsid w:val="00DB2BED"/>
    <w:rsid w:val="00DB31EC"/>
    <w:rsid w:val="00DB36AB"/>
    <w:rsid w:val="00DB41B1"/>
    <w:rsid w:val="00DB4410"/>
    <w:rsid w:val="00DB4EA3"/>
    <w:rsid w:val="00DB5117"/>
    <w:rsid w:val="00DB6031"/>
    <w:rsid w:val="00DB664A"/>
    <w:rsid w:val="00DB6D80"/>
    <w:rsid w:val="00DB7463"/>
    <w:rsid w:val="00DB7536"/>
    <w:rsid w:val="00DB76E7"/>
    <w:rsid w:val="00DB79A0"/>
    <w:rsid w:val="00DC028A"/>
    <w:rsid w:val="00DC0319"/>
    <w:rsid w:val="00DC043F"/>
    <w:rsid w:val="00DC06D9"/>
    <w:rsid w:val="00DC0E5C"/>
    <w:rsid w:val="00DC0F6A"/>
    <w:rsid w:val="00DC11CF"/>
    <w:rsid w:val="00DC1432"/>
    <w:rsid w:val="00DC1465"/>
    <w:rsid w:val="00DC14AF"/>
    <w:rsid w:val="00DC1523"/>
    <w:rsid w:val="00DC1524"/>
    <w:rsid w:val="00DC1720"/>
    <w:rsid w:val="00DC1C83"/>
    <w:rsid w:val="00DC1D77"/>
    <w:rsid w:val="00DC2653"/>
    <w:rsid w:val="00DC26A4"/>
    <w:rsid w:val="00DC2C88"/>
    <w:rsid w:val="00DC2D65"/>
    <w:rsid w:val="00DC30EC"/>
    <w:rsid w:val="00DC3593"/>
    <w:rsid w:val="00DC3633"/>
    <w:rsid w:val="00DC3921"/>
    <w:rsid w:val="00DC3A0C"/>
    <w:rsid w:val="00DC3AB8"/>
    <w:rsid w:val="00DC3ACB"/>
    <w:rsid w:val="00DC3CC5"/>
    <w:rsid w:val="00DC3F11"/>
    <w:rsid w:val="00DC3FD4"/>
    <w:rsid w:val="00DC4108"/>
    <w:rsid w:val="00DC4582"/>
    <w:rsid w:val="00DC4980"/>
    <w:rsid w:val="00DC4CDF"/>
    <w:rsid w:val="00DC4EB7"/>
    <w:rsid w:val="00DC4EC7"/>
    <w:rsid w:val="00DC4F00"/>
    <w:rsid w:val="00DC4F64"/>
    <w:rsid w:val="00DC50C5"/>
    <w:rsid w:val="00DC561E"/>
    <w:rsid w:val="00DC56C7"/>
    <w:rsid w:val="00DC5850"/>
    <w:rsid w:val="00DC5AF3"/>
    <w:rsid w:val="00DC5D1E"/>
    <w:rsid w:val="00DC5EB2"/>
    <w:rsid w:val="00DC6009"/>
    <w:rsid w:val="00DC626B"/>
    <w:rsid w:val="00DC62AF"/>
    <w:rsid w:val="00DC646D"/>
    <w:rsid w:val="00DC64A7"/>
    <w:rsid w:val="00DC66C0"/>
    <w:rsid w:val="00DC66F4"/>
    <w:rsid w:val="00DC6795"/>
    <w:rsid w:val="00DC6A35"/>
    <w:rsid w:val="00DC6CC2"/>
    <w:rsid w:val="00DC6F96"/>
    <w:rsid w:val="00DC709C"/>
    <w:rsid w:val="00DC72CD"/>
    <w:rsid w:val="00DC7BBD"/>
    <w:rsid w:val="00DC7D6B"/>
    <w:rsid w:val="00DD0170"/>
    <w:rsid w:val="00DD02C0"/>
    <w:rsid w:val="00DD02CD"/>
    <w:rsid w:val="00DD0953"/>
    <w:rsid w:val="00DD0B02"/>
    <w:rsid w:val="00DD0DF6"/>
    <w:rsid w:val="00DD0EA7"/>
    <w:rsid w:val="00DD0F52"/>
    <w:rsid w:val="00DD1513"/>
    <w:rsid w:val="00DD1A95"/>
    <w:rsid w:val="00DD1B72"/>
    <w:rsid w:val="00DD1FD5"/>
    <w:rsid w:val="00DD21BE"/>
    <w:rsid w:val="00DD2426"/>
    <w:rsid w:val="00DD2662"/>
    <w:rsid w:val="00DD298C"/>
    <w:rsid w:val="00DD2C81"/>
    <w:rsid w:val="00DD339A"/>
    <w:rsid w:val="00DD3651"/>
    <w:rsid w:val="00DD3A40"/>
    <w:rsid w:val="00DD3B08"/>
    <w:rsid w:val="00DD3CDA"/>
    <w:rsid w:val="00DD3D87"/>
    <w:rsid w:val="00DD3F87"/>
    <w:rsid w:val="00DD41E7"/>
    <w:rsid w:val="00DD4795"/>
    <w:rsid w:val="00DD48A3"/>
    <w:rsid w:val="00DD49E1"/>
    <w:rsid w:val="00DD49F2"/>
    <w:rsid w:val="00DD52E8"/>
    <w:rsid w:val="00DD59BE"/>
    <w:rsid w:val="00DD5A19"/>
    <w:rsid w:val="00DD60BE"/>
    <w:rsid w:val="00DD62F7"/>
    <w:rsid w:val="00DD67C6"/>
    <w:rsid w:val="00DD67ED"/>
    <w:rsid w:val="00DD688E"/>
    <w:rsid w:val="00DD6910"/>
    <w:rsid w:val="00DD6AD8"/>
    <w:rsid w:val="00DD6C6C"/>
    <w:rsid w:val="00DD706D"/>
    <w:rsid w:val="00DD70D5"/>
    <w:rsid w:val="00DD7D45"/>
    <w:rsid w:val="00DD7DE3"/>
    <w:rsid w:val="00DE0A24"/>
    <w:rsid w:val="00DE0E41"/>
    <w:rsid w:val="00DE1F4F"/>
    <w:rsid w:val="00DE2496"/>
    <w:rsid w:val="00DE24D0"/>
    <w:rsid w:val="00DE2504"/>
    <w:rsid w:val="00DE288F"/>
    <w:rsid w:val="00DE2B30"/>
    <w:rsid w:val="00DE2C16"/>
    <w:rsid w:val="00DE2CF8"/>
    <w:rsid w:val="00DE2E98"/>
    <w:rsid w:val="00DE3451"/>
    <w:rsid w:val="00DE3B7F"/>
    <w:rsid w:val="00DE3D44"/>
    <w:rsid w:val="00DE3EFA"/>
    <w:rsid w:val="00DE4483"/>
    <w:rsid w:val="00DE4B88"/>
    <w:rsid w:val="00DE4B92"/>
    <w:rsid w:val="00DE4B93"/>
    <w:rsid w:val="00DE50DE"/>
    <w:rsid w:val="00DE51CF"/>
    <w:rsid w:val="00DE5468"/>
    <w:rsid w:val="00DE5518"/>
    <w:rsid w:val="00DE5AE7"/>
    <w:rsid w:val="00DE5E14"/>
    <w:rsid w:val="00DE617F"/>
    <w:rsid w:val="00DE6CFC"/>
    <w:rsid w:val="00DE6E41"/>
    <w:rsid w:val="00DE7099"/>
    <w:rsid w:val="00DE7332"/>
    <w:rsid w:val="00DE7559"/>
    <w:rsid w:val="00DE76C2"/>
    <w:rsid w:val="00DF0EC3"/>
    <w:rsid w:val="00DF0FAA"/>
    <w:rsid w:val="00DF101F"/>
    <w:rsid w:val="00DF12F9"/>
    <w:rsid w:val="00DF1542"/>
    <w:rsid w:val="00DF2CB4"/>
    <w:rsid w:val="00DF2D68"/>
    <w:rsid w:val="00DF2D9B"/>
    <w:rsid w:val="00DF33CC"/>
    <w:rsid w:val="00DF341B"/>
    <w:rsid w:val="00DF38AC"/>
    <w:rsid w:val="00DF38F8"/>
    <w:rsid w:val="00DF39E9"/>
    <w:rsid w:val="00DF428E"/>
    <w:rsid w:val="00DF431B"/>
    <w:rsid w:val="00DF4A36"/>
    <w:rsid w:val="00DF4CBE"/>
    <w:rsid w:val="00DF52F5"/>
    <w:rsid w:val="00DF5539"/>
    <w:rsid w:val="00DF5CEC"/>
    <w:rsid w:val="00DF6235"/>
    <w:rsid w:val="00DF631E"/>
    <w:rsid w:val="00DF6621"/>
    <w:rsid w:val="00DF66C7"/>
    <w:rsid w:val="00DF6808"/>
    <w:rsid w:val="00DF6E2F"/>
    <w:rsid w:val="00DF6EDD"/>
    <w:rsid w:val="00DF6F58"/>
    <w:rsid w:val="00DF6FC0"/>
    <w:rsid w:val="00DF7233"/>
    <w:rsid w:val="00DF7268"/>
    <w:rsid w:val="00DF7317"/>
    <w:rsid w:val="00DF74D9"/>
    <w:rsid w:val="00DF767A"/>
    <w:rsid w:val="00DF7A7B"/>
    <w:rsid w:val="00DF7EC4"/>
    <w:rsid w:val="00E000F7"/>
    <w:rsid w:val="00E00341"/>
    <w:rsid w:val="00E00983"/>
    <w:rsid w:val="00E00C8B"/>
    <w:rsid w:val="00E00FCA"/>
    <w:rsid w:val="00E0109B"/>
    <w:rsid w:val="00E01A73"/>
    <w:rsid w:val="00E01B70"/>
    <w:rsid w:val="00E01B8A"/>
    <w:rsid w:val="00E021E9"/>
    <w:rsid w:val="00E023C3"/>
    <w:rsid w:val="00E02571"/>
    <w:rsid w:val="00E029D4"/>
    <w:rsid w:val="00E02DFF"/>
    <w:rsid w:val="00E03134"/>
    <w:rsid w:val="00E03496"/>
    <w:rsid w:val="00E0360B"/>
    <w:rsid w:val="00E03A96"/>
    <w:rsid w:val="00E04250"/>
    <w:rsid w:val="00E046B5"/>
    <w:rsid w:val="00E04FA8"/>
    <w:rsid w:val="00E05065"/>
    <w:rsid w:val="00E05292"/>
    <w:rsid w:val="00E05D56"/>
    <w:rsid w:val="00E05EDB"/>
    <w:rsid w:val="00E05FC8"/>
    <w:rsid w:val="00E061F9"/>
    <w:rsid w:val="00E06239"/>
    <w:rsid w:val="00E064C9"/>
    <w:rsid w:val="00E067C4"/>
    <w:rsid w:val="00E06C6F"/>
    <w:rsid w:val="00E06DFC"/>
    <w:rsid w:val="00E06E44"/>
    <w:rsid w:val="00E0712E"/>
    <w:rsid w:val="00E0715E"/>
    <w:rsid w:val="00E072CB"/>
    <w:rsid w:val="00E0763A"/>
    <w:rsid w:val="00E079B8"/>
    <w:rsid w:val="00E07B89"/>
    <w:rsid w:val="00E100DC"/>
    <w:rsid w:val="00E10384"/>
    <w:rsid w:val="00E105A9"/>
    <w:rsid w:val="00E10795"/>
    <w:rsid w:val="00E10A4F"/>
    <w:rsid w:val="00E10AB2"/>
    <w:rsid w:val="00E10DCF"/>
    <w:rsid w:val="00E11042"/>
    <w:rsid w:val="00E111E8"/>
    <w:rsid w:val="00E118B5"/>
    <w:rsid w:val="00E119FA"/>
    <w:rsid w:val="00E11A35"/>
    <w:rsid w:val="00E11CAA"/>
    <w:rsid w:val="00E11EBE"/>
    <w:rsid w:val="00E122E3"/>
    <w:rsid w:val="00E12660"/>
    <w:rsid w:val="00E132C6"/>
    <w:rsid w:val="00E13FC3"/>
    <w:rsid w:val="00E1449F"/>
    <w:rsid w:val="00E1465A"/>
    <w:rsid w:val="00E1482D"/>
    <w:rsid w:val="00E15056"/>
    <w:rsid w:val="00E154F3"/>
    <w:rsid w:val="00E155D9"/>
    <w:rsid w:val="00E15DB1"/>
    <w:rsid w:val="00E16023"/>
    <w:rsid w:val="00E16124"/>
    <w:rsid w:val="00E1634E"/>
    <w:rsid w:val="00E167FE"/>
    <w:rsid w:val="00E16C99"/>
    <w:rsid w:val="00E16D2C"/>
    <w:rsid w:val="00E170E9"/>
    <w:rsid w:val="00E1723A"/>
    <w:rsid w:val="00E17414"/>
    <w:rsid w:val="00E17552"/>
    <w:rsid w:val="00E1764C"/>
    <w:rsid w:val="00E17753"/>
    <w:rsid w:val="00E17845"/>
    <w:rsid w:val="00E17A22"/>
    <w:rsid w:val="00E209E6"/>
    <w:rsid w:val="00E214AA"/>
    <w:rsid w:val="00E219CC"/>
    <w:rsid w:val="00E21B03"/>
    <w:rsid w:val="00E21BFF"/>
    <w:rsid w:val="00E21EE4"/>
    <w:rsid w:val="00E21F4E"/>
    <w:rsid w:val="00E22445"/>
    <w:rsid w:val="00E22550"/>
    <w:rsid w:val="00E22603"/>
    <w:rsid w:val="00E2356A"/>
    <w:rsid w:val="00E23A26"/>
    <w:rsid w:val="00E23CD5"/>
    <w:rsid w:val="00E24285"/>
    <w:rsid w:val="00E24719"/>
    <w:rsid w:val="00E24B3A"/>
    <w:rsid w:val="00E24F1A"/>
    <w:rsid w:val="00E25625"/>
    <w:rsid w:val="00E25F48"/>
    <w:rsid w:val="00E25FC9"/>
    <w:rsid w:val="00E260A3"/>
    <w:rsid w:val="00E26AB0"/>
    <w:rsid w:val="00E26B13"/>
    <w:rsid w:val="00E26D15"/>
    <w:rsid w:val="00E26E6D"/>
    <w:rsid w:val="00E26EE5"/>
    <w:rsid w:val="00E26F0B"/>
    <w:rsid w:val="00E27017"/>
    <w:rsid w:val="00E273CC"/>
    <w:rsid w:val="00E27A06"/>
    <w:rsid w:val="00E27BA1"/>
    <w:rsid w:val="00E27DDB"/>
    <w:rsid w:val="00E3052F"/>
    <w:rsid w:val="00E30938"/>
    <w:rsid w:val="00E30A82"/>
    <w:rsid w:val="00E30E6C"/>
    <w:rsid w:val="00E31617"/>
    <w:rsid w:val="00E31702"/>
    <w:rsid w:val="00E31B75"/>
    <w:rsid w:val="00E31B9D"/>
    <w:rsid w:val="00E31C69"/>
    <w:rsid w:val="00E31D91"/>
    <w:rsid w:val="00E31DCA"/>
    <w:rsid w:val="00E31DF8"/>
    <w:rsid w:val="00E31E94"/>
    <w:rsid w:val="00E32300"/>
    <w:rsid w:val="00E3242E"/>
    <w:rsid w:val="00E324BF"/>
    <w:rsid w:val="00E32931"/>
    <w:rsid w:val="00E32969"/>
    <w:rsid w:val="00E32A78"/>
    <w:rsid w:val="00E32FD3"/>
    <w:rsid w:val="00E330C9"/>
    <w:rsid w:val="00E3330E"/>
    <w:rsid w:val="00E3351F"/>
    <w:rsid w:val="00E3362C"/>
    <w:rsid w:val="00E33992"/>
    <w:rsid w:val="00E33B85"/>
    <w:rsid w:val="00E33CA0"/>
    <w:rsid w:val="00E34086"/>
    <w:rsid w:val="00E3419B"/>
    <w:rsid w:val="00E34496"/>
    <w:rsid w:val="00E3451E"/>
    <w:rsid w:val="00E3471C"/>
    <w:rsid w:val="00E34C8A"/>
    <w:rsid w:val="00E34F5E"/>
    <w:rsid w:val="00E35149"/>
    <w:rsid w:val="00E352DA"/>
    <w:rsid w:val="00E35431"/>
    <w:rsid w:val="00E35554"/>
    <w:rsid w:val="00E357E6"/>
    <w:rsid w:val="00E35B53"/>
    <w:rsid w:val="00E35C98"/>
    <w:rsid w:val="00E35FE6"/>
    <w:rsid w:val="00E36004"/>
    <w:rsid w:val="00E36191"/>
    <w:rsid w:val="00E36274"/>
    <w:rsid w:val="00E36392"/>
    <w:rsid w:val="00E36BF6"/>
    <w:rsid w:val="00E36CC3"/>
    <w:rsid w:val="00E36D12"/>
    <w:rsid w:val="00E36DE3"/>
    <w:rsid w:val="00E371E8"/>
    <w:rsid w:val="00E37621"/>
    <w:rsid w:val="00E37731"/>
    <w:rsid w:val="00E379BA"/>
    <w:rsid w:val="00E37C7F"/>
    <w:rsid w:val="00E37DA1"/>
    <w:rsid w:val="00E40D98"/>
    <w:rsid w:val="00E40DAE"/>
    <w:rsid w:val="00E40F62"/>
    <w:rsid w:val="00E41549"/>
    <w:rsid w:val="00E41557"/>
    <w:rsid w:val="00E41847"/>
    <w:rsid w:val="00E41C18"/>
    <w:rsid w:val="00E424DC"/>
    <w:rsid w:val="00E4285E"/>
    <w:rsid w:val="00E42A5D"/>
    <w:rsid w:val="00E42A7D"/>
    <w:rsid w:val="00E42FFD"/>
    <w:rsid w:val="00E43013"/>
    <w:rsid w:val="00E43223"/>
    <w:rsid w:val="00E43249"/>
    <w:rsid w:val="00E436A2"/>
    <w:rsid w:val="00E43A47"/>
    <w:rsid w:val="00E441B6"/>
    <w:rsid w:val="00E44779"/>
    <w:rsid w:val="00E4567D"/>
    <w:rsid w:val="00E456C6"/>
    <w:rsid w:val="00E458D8"/>
    <w:rsid w:val="00E4592A"/>
    <w:rsid w:val="00E45B6B"/>
    <w:rsid w:val="00E45C73"/>
    <w:rsid w:val="00E45CAB"/>
    <w:rsid w:val="00E460D5"/>
    <w:rsid w:val="00E461A2"/>
    <w:rsid w:val="00E468B0"/>
    <w:rsid w:val="00E46CED"/>
    <w:rsid w:val="00E47256"/>
    <w:rsid w:val="00E47550"/>
    <w:rsid w:val="00E47635"/>
    <w:rsid w:val="00E501D3"/>
    <w:rsid w:val="00E50871"/>
    <w:rsid w:val="00E50B15"/>
    <w:rsid w:val="00E50DEB"/>
    <w:rsid w:val="00E514F6"/>
    <w:rsid w:val="00E518A7"/>
    <w:rsid w:val="00E519FD"/>
    <w:rsid w:val="00E51E0A"/>
    <w:rsid w:val="00E52057"/>
    <w:rsid w:val="00E527A2"/>
    <w:rsid w:val="00E529F5"/>
    <w:rsid w:val="00E52BAB"/>
    <w:rsid w:val="00E52CBA"/>
    <w:rsid w:val="00E52DCE"/>
    <w:rsid w:val="00E52F25"/>
    <w:rsid w:val="00E5356B"/>
    <w:rsid w:val="00E53E00"/>
    <w:rsid w:val="00E53EFF"/>
    <w:rsid w:val="00E54023"/>
    <w:rsid w:val="00E54221"/>
    <w:rsid w:val="00E5439F"/>
    <w:rsid w:val="00E54450"/>
    <w:rsid w:val="00E54548"/>
    <w:rsid w:val="00E54C50"/>
    <w:rsid w:val="00E55233"/>
    <w:rsid w:val="00E557DE"/>
    <w:rsid w:val="00E55B1F"/>
    <w:rsid w:val="00E55D5D"/>
    <w:rsid w:val="00E55F2E"/>
    <w:rsid w:val="00E5650A"/>
    <w:rsid w:val="00E56B5D"/>
    <w:rsid w:val="00E5725F"/>
    <w:rsid w:val="00E5728D"/>
    <w:rsid w:val="00E57467"/>
    <w:rsid w:val="00E574EC"/>
    <w:rsid w:val="00E574ED"/>
    <w:rsid w:val="00E57565"/>
    <w:rsid w:val="00E5773E"/>
    <w:rsid w:val="00E57A4E"/>
    <w:rsid w:val="00E57D8D"/>
    <w:rsid w:val="00E57F9C"/>
    <w:rsid w:val="00E60118"/>
    <w:rsid w:val="00E60288"/>
    <w:rsid w:val="00E605B8"/>
    <w:rsid w:val="00E606A0"/>
    <w:rsid w:val="00E61157"/>
    <w:rsid w:val="00E615B3"/>
    <w:rsid w:val="00E615F9"/>
    <w:rsid w:val="00E61737"/>
    <w:rsid w:val="00E617CE"/>
    <w:rsid w:val="00E6193C"/>
    <w:rsid w:val="00E62258"/>
    <w:rsid w:val="00E62268"/>
    <w:rsid w:val="00E62522"/>
    <w:rsid w:val="00E62834"/>
    <w:rsid w:val="00E62AAE"/>
    <w:rsid w:val="00E62BC2"/>
    <w:rsid w:val="00E63075"/>
    <w:rsid w:val="00E632C1"/>
    <w:rsid w:val="00E63DAA"/>
    <w:rsid w:val="00E64129"/>
    <w:rsid w:val="00E64151"/>
    <w:rsid w:val="00E649E8"/>
    <w:rsid w:val="00E64BF3"/>
    <w:rsid w:val="00E64C34"/>
    <w:rsid w:val="00E64EC5"/>
    <w:rsid w:val="00E64FBD"/>
    <w:rsid w:val="00E6547E"/>
    <w:rsid w:val="00E656F5"/>
    <w:rsid w:val="00E6590A"/>
    <w:rsid w:val="00E65B0B"/>
    <w:rsid w:val="00E65D14"/>
    <w:rsid w:val="00E65EC1"/>
    <w:rsid w:val="00E661C1"/>
    <w:rsid w:val="00E6685C"/>
    <w:rsid w:val="00E67110"/>
    <w:rsid w:val="00E671E7"/>
    <w:rsid w:val="00E6768F"/>
    <w:rsid w:val="00E676F9"/>
    <w:rsid w:val="00E677F1"/>
    <w:rsid w:val="00E6788A"/>
    <w:rsid w:val="00E67D2C"/>
    <w:rsid w:val="00E70347"/>
    <w:rsid w:val="00E70425"/>
    <w:rsid w:val="00E7076E"/>
    <w:rsid w:val="00E708F7"/>
    <w:rsid w:val="00E70A1B"/>
    <w:rsid w:val="00E71573"/>
    <w:rsid w:val="00E715E0"/>
    <w:rsid w:val="00E716BB"/>
    <w:rsid w:val="00E717C5"/>
    <w:rsid w:val="00E719A1"/>
    <w:rsid w:val="00E71B18"/>
    <w:rsid w:val="00E71F21"/>
    <w:rsid w:val="00E71FDA"/>
    <w:rsid w:val="00E7202A"/>
    <w:rsid w:val="00E721B5"/>
    <w:rsid w:val="00E7221D"/>
    <w:rsid w:val="00E72282"/>
    <w:rsid w:val="00E7259A"/>
    <w:rsid w:val="00E72E87"/>
    <w:rsid w:val="00E73048"/>
    <w:rsid w:val="00E730D4"/>
    <w:rsid w:val="00E741DA"/>
    <w:rsid w:val="00E74BE2"/>
    <w:rsid w:val="00E74DB8"/>
    <w:rsid w:val="00E75181"/>
    <w:rsid w:val="00E75FB6"/>
    <w:rsid w:val="00E7615F"/>
    <w:rsid w:val="00E76596"/>
    <w:rsid w:val="00E7674F"/>
    <w:rsid w:val="00E76AE0"/>
    <w:rsid w:val="00E76BDA"/>
    <w:rsid w:val="00E76DAB"/>
    <w:rsid w:val="00E76F1C"/>
    <w:rsid w:val="00E77267"/>
    <w:rsid w:val="00E7743A"/>
    <w:rsid w:val="00E77A25"/>
    <w:rsid w:val="00E77E4B"/>
    <w:rsid w:val="00E77E76"/>
    <w:rsid w:val="00E77F7A"/>
    <w:rsid w:val="00E77FA3"/>
    <w:rsid w:val="00E80474"/>
    <w:rsid w:val="00E805C3"/>
    <w:rsid w:val="00E80870"/>
    <w:rsid w:val="00E80DE0"/>
    <w:rsid w:val="00E81A87"/>
    <w:rsid w:val="00E81AC2"/>
    <w:rsid w:val="00E81C2D"/>
    <w:rsid w:val="00E82562"/>
    <w:rsid w:val="00E82BD3"/>
    <w:rsid w:val="00E83948"/>
    <w:rsid w:val="00E83CF9"/>
    <w:rsid w:val="00E83D64"/>
    <w:rsid w:val="00E843E2"/>
    <w:rsid w:val="00E843F3"/>
    <w:rsid w:val="00E84A13"/>
    <w:rsid w:val="00E84D4D"/>
    <w:rsid w:val="00E85914"/>
    <w:rsid w:val="00E8593C"/>
    <w:rsid w:val="00E85CD5"/>
    <w:rsid w:val="00E86567"/>
    <w:rsid w:val="00E86B3E"/>
    <w:rsid w:val="00E86EB4"/>
    <w:rsid w:val="00E87E82"/>
    <w:rsid w:val="00E9006E"/>
    <w:rsid w:val="00E90408"/>
    <w:rsid w:val="00E908C7"/>
    <w:rsid w:val="00E908F4"/>
    <w:rsid w:val="00E90C33"/>
    <w:rsid w:val="00E91607"/>
    <w:rsid w:val="00E91797"/>
    <w:rsid w:val="00E91B73"/>
    <w:rsid w:val="00E91CE9"/>
    <w:rsid w:val="00E920E0"/>
    <w:rsid w:val="00E921D4"/>
    <w:rsid w:val="00E922F4"/>
    <w:rsid w:val="00E9244D"/>
    <w:rsid w:val="00E92530"/>
    <w:rsid w:val="00E928E7"/>
    <w:rsid w:val="00E92974"/>
    <w:rsid w:val="00E92F98"/>
    <w:rsid w:val="00E9331D"/>
    <w:rsid w:val="00E93627"/>
    <w:rsid w:val="00E93A31"/>
    <w:rsid w:val="00E93AC1"/>
    <w:rsid w:val="00E93C34"/>
    <w:rsid w:val="00E93F23"/>
    <w:rsid w:val="00E93FF0"/>
    <w:rsid w:val="00E94408"/>
    <w:rsid w:val="00E9463B"/>
    <w:rsid w:val="00E947FD"/>
    <w:rsid w:val="00E94FB6"/>
    <w:rsid w:val="00E9514D"/>
    <w:rsid w:val="00E95322"/>
    <w:rsid w:val="00E95490"/>
    <w:rsid w:val="00E95638"/>
    <w:rsid w:val="00E9610D"/>
    <w:rsid w:val="00E96742"/>
    <w:rsid w:val="00E968C1"/>
    <w:rsid w:val="00E969A4"/>
    <w:rsid w:val="00E96C04"/>
    <w:rsid w:val="00E96C7E"/>
    <w:rsid w:val="00E96E6C"/>
    <w:rsid w:val="00E97139"/>
    <w:rsid w:val="00E9713D"/>
    <w:rsid w:val="00E97157"/>
    <w:rsid w:val="00E971F6"/>
    <w:rsid w:val="00EA00D1"/>
    <w:rsid w:val="00EA0AA0"/>
    <w:rsid w:val="00EA0D6F"/>
    <w:rsid w:val="00EA0E54"/>
    <w:rsid w:val="00EA125D"/>
    <w:rsid w:val="00EA1633"/>
    <w:rsid w:val="00EA1769"/>
    <w:rsid w:val="00EA18E3"/>
    <w:rsid w:val="00EA1D8C"/>
    <w:rsid w:val="00EA28F7"/>
    <w:rsid w:val="00EA2D11"/>
    <w:rsid w:val="00EA3153"/>
    <w:rsid w:val="00EA3221"/>
    <w:rsid w:val="00EA33A3"/>
    <w:rsid w:val="00EA3671"/>
    <w:rsid w:val="00EA3848"/>
    <w:rsid w:val="00EA3A12"/>
    <w:rsid w:val="00EA3C65"/>
    <w:rsid w:val="00EA3E53"/>
    <w:rsid w:val="00EA3E96"/>
    <w:rsid w:val="00EA3FC5"/>
    <w:rsid w:val="00EA41EA"/>
    <w:rsid w:val="00EA4367"/>
    <w:rsid w:val="00EA4390"/>
    <w:rsid w:val="00EA4AC3"/>
    <w:rsid w:val="00EA568F"/>
    <w:rsid w:val="00EA5697"/>
    <w:rsid w:val="00EA597E"/>
    <w:rsid w:val="00EA599B"/>
    <w:rsid w:val="00EA5EB6"/>
    <w:rsid w:val="00EA604F"/>
    <w:rsid w:val="00EA6201"/>
    <w:rsid w:val="00EA63A5"/>
    <w:rsid w:val="00EA6A4F"/>
    <w:rsid w:val="00EA6D9C"/>
    <w:rsid w:val="00EA7499"/>
    <w:rsid w:val="00EA76D2"/>
    <w:rsid w:val="00EA7753"/>
    <w:rsid w:val="00EA7852"/>
    <w:rsid w:val="00EA79DA"/>
    <w:rsid w:val="00EA7C12"/>
    <w:rsid w:val="00EA7E22"/>
    <w:rsid w:val="00EB0B1F"/>
    <w:rsid w:val="00EB0DEA"/>
    <w:rsid w:val="00EB11FA"/>
    <w:rsid w:val="00EB13C9"/>
    <w:rsid w:val="00EB14BC"/>
    <w:rsid w:val="00EB1E32"/>
    <w:rsid w:val="00EB1F63"/>
    <w:rsid w:val="00EB20EB"/>
    <w:rsid w:val="00EB23FF"/>
    <w:rsid w:val="00EB256F"/>
    <w:rsid w:val="00EB27BC"/>
    <w:rsid w:val="00EB2C33"/>
    <w:rsid w:val="00EB2EF6"/>
    <w:rsid w:val="00EB2EFE"/>
    <w:rsid w:val="00EB3037"/>
    <w:rsid w:val="00EB310E"/>
    <w:rsid w:val="00EB33DC"/>
    <w:rsid w:val="00EB36DA"/>
    <w:rsid w:val="00EB3F2F"/>
    <w:rsid w:val="00EB41A0"/>
    <w:rsid w:val="00EB45AA"/>
    <w:rsid w:val="00EB488B"/>
    <w:rsid w:val="00EB48F2"/>
    <w:rsid w:val="00EB4934"/>
    <w:rsid w:val="00EB4EEF"/>
    <w:rsid w:val="00EB56F3"/>
    <w:rsid w:val="00EB5B09"/>
    <w:rsid w:val="00EB5CCE"/>
    <w:rsid w:val="00EB5E4B"/>
    <w:rsid w:val="00EB6930"/>
    <w:rsid w:val="00EB6A32"/>
    <w:rsid w:val="00EB6C17"/>
    <w:rsid w:val="00EB6CBF"/>
    <w:rsid w:val="00EB6FDC"/>
    <w:rsid w:val="00EB709D"/>
    <w:rsid w:val="00EB74E0"/>
    <w:rsid w:val="00EB74E7"/>
    <w:rsid w:val="00EB7687"/>
    <w:rsid w:val="00EB7CA1"/>
    <w:rsid w:val="00EB7F09"/>
    <w:rsid w:val="00EC02DE"/>
    <w:rsid w:val="00EC03D1"/>
    <w:rsid w:val="00EC05C3"/>
    <w:rsid w:val="00EC09BA"/>
    <w:rsid w:val="00EC0A79"/>
    <w:rsid w:val="00EC0FAF"/>
    <w:rsid w:val="00EC1D17"/>
    <w:rsid w:val="00EC1EE7"/>
    <w:rsid w:val="00EC1FEB"/>
    <w:rsid w:val="00EC25F9"/>
    <w:rsid w:val="00EC2724"/>
    <w:rsid w:val="00EC2B16"/>
    <w:rsid w:val="00EC2D0D"/>
    <w:rsid w:val="00EC3131"/>
    <w:rsid w:val="00EC31A6"/>
    <w:rsid w:val="00EC3323"/>
    <w:rsid w:val="00EC33A0"/>
    <w:rsid w:val="00EC35ED"/>
    <w:rsid w:val="00EC387D"/>
    <w:rsid w:val="00EC3A33"/>
    <w:rsid w:val="00EC3AEB"/>
    <w:rsid w:val="00EC4304"/>
    <w:rsid w:val="00EC44C1"/>
    <w:rsid w:val="00EC4836"/>
    <w:rsid w:val="00EC4B9A"/>
    <w:rsid w:val="00EC4D4C"/>
    <w:rsid w:val="00EC5088"/>
    <w:rsid w:val="00EC54B7"/>
    <w:rsid w:val="00EC5F42"/>
    <w:rsid w:val="00EC6866"/>
    <w:rsid w:val="00EC69A9"/>
    <w:rsid w:val="00EC6D37"/>
    <w:rsid w:val="00EC6E93"/>
    <w:rsid w:val="00EC6F9C"/>
    <w:rsid w:val="00EC72A5"/>
    <w:rsid w:val="00EC72A8"/>
    <w:rsid w:val="00EC766F"/>
    <w:rsid w:val="00EC7990"/>
    <w:rsid w:val="00EC7B89"/>
    <w:rsid w:val="00EC7EBE"/>
    <w:rsid w:val="00EC7FD1"/>
    <w:rsid w:val="00ED00B9"/>
    <w:rsid w:val="00ED0848"/>
    <w:rsid w:val="00ED15BE"/>
    <w:rsid w:val="00ED17FF"/>
    <w:rsid w:val="00ED197E"/>
    <w:rsid w:val="00ED2DCB"/>
    <w:rsid w:val="00ED2E51"/>
    <w:rsid w:val="00ED30DF"/>
    <w:rsid w:val="00ED34A6"/>
    <w:rsid w:val="00ED3D7E"/>
    <w:rsid w:val="00ED3EB0"/>
    <w:rsid w:val="00ED4407"/>
    <w:rsid w:val="00ED465B"/>
    <w:rsid w:val="00ED492B"/>
    <w:rsid w:val="00ED4A6C"/>
    <w:rsid w:val="00ED4E6F"/>
    <w:rsid w:val="00ED527C"/>
    <w:rsid w:val="00ED5E38"/>
    <w:rsid w:val="00ED69B2"/>
    <w:rsid w:val="00ED69EA"/>
    <w:rsid w:val="00ED6DCE"/>
    <w:rsid w:val="00ED724B"/>
    <w:rsid w:val="00ED7B34"/>
    <w:rsid w:val="00ED7D76"/>
    <w:rsid w:val="00ED7E07"/>
    <w:rsid w:val="00ED7E87"/>
    <w:rsid w:val="00EE00AB"/>
    <w:rsid w:val="00EE0579"/>
    <w:rsid w:val="00EE067B"/>
    <w:rsid w:val="00EE0B33"/>
    <w:rsid w:val="00EE107F"/>
    <w:rsid w:val="00EE15A7"/>
    <w:rsid w:val="00EE2017"/>
    <w:rsid w:val="00EE2205"/>
    <w:rsid w:val="00EE23F4"/>
    <w:rsid w:val="00EE251A"/>
    <w:rsid w:val="00EE2794"/>
    <w:rsid w:val="00EE28CD"/>
    <w:rsid w:val="00EE2BEE"/>
    <w:rsid w:val="00EE2D58"/>
    <w:rsid w:val="00EE2F5B"/>
    <w:rsid w:val="00EE359E"/>
    <w:rsid w:val="00EE387A"/>
    <w:rsid w:val="00EE3986"/>
    <w:rsid w:val="00EE3C0D"/>
    <w:rsid w:val="00EE3E9E"/>
    <w:rsid w:val="00EE4490"/>
    <w:rsid w:val="00EE459F"/>
    <w:rsid w:val="00EE4602"/>
    <w:rsid w:val="00EE4CAF"/>
    <w:rsid w:val="00EE4CE6"/>
    <w:rsid w:val="00EE4EEF"/>
    <w:rsid w:val="00EE50DD"/>
    <w:rsid w:val="00EE584B"/>
    <w:rsid w:val="00EE5C8E"/>
    <w:rsid w:val="00EE6430"/>
    <w:rsid w:val="00EE652E"/>
    <w:rsid w:val="00EE65CB"/>
    <w:rsid w:val="00EE67FC"/>
    <w:rsid w:val="00EE6832"/>
    <w:rsid w:val="00EE6975"/>
    <w:rsid w:val="00EE70C0"/>
    <w:rsid w:val="00EE7375"/>
    <w:rsid w:val="00EE73BF"/>
    <w:rsid w:val="00EF0658"/>
    <w:rsid w:val="00EF0901"/>
    <w:rsid w:val="00EF098F"/>
    <w:rsid w:val="00EF0A78"/>
    <w:rsid w:val="00EF0A8F"/>
    <w:rsid w:val="00EF0C9E"/>
    <w:rsid w:val="00EF1161"/>
    <w:rsid w:val="00EF1296"/>
    <w:rsid w:val="00EF1755"/>
    <w:rsid w:val="00EF1E8A"/>
    <w:rsid w:val="00EF2182"/>
    <w:rsid w:val="00EF284B"/>
    <w:rsid w:val="00EF286C"/>
    <w:rsid w:val="00EF29DD"/>
    <w:rsid w:val="00EF2B0A"/>
    <w:rsid w:val="00EF2F3B"/>
    <w:rsid w:val="00EF3D58"/>
    <w:rsid w:val="00EF42EC"/>
    <w:rsid w:val="00EF44AF"/>
    <w:rsid w:val="00EF51E2"/>
    <w:rsid w:val="00EF54F7"/>
    <w:rsid w:val="00EF55BE"/>
    <w:rsid w:val="00EF579C"/>
    <w:rsid w:val="00EF5A0E"/>
    <w:rsid w:val="00EF5A9F"/>
    <w:rsid w:val="00EF5BB8"/>
    <w:rsid w:val="00EF5EF9"/>
    <w:rsid w:val="00EF650F"/>
    <w:rsid w:val="00EF6537"/>
    <w:rsid w:val="00EF6897"/>
    <w:rsid w:val="00EF68C4"/>
    <w:rsid w:val="00EF6BAD"/>
    <w:rsid w:val="00EF7063"/>
    <w:rsid w:val="00EF7084"/>
    <w:rsid w:val="00EF71A7"/>
    <w:rsid w:val="00EF73C2"/>
    <w:rsid w:val="00EF76EB"/>
    <w:rsid w:val="00EF781C"/>
    <w:rsid w:val="00EF79CC"/>
    <w:rsid w:val="00EF7B83"/>
    <w:rsid w:val="00EF7D5E"/>
    <w:rsid w:val="00EF7EC2"/>
    <w:rsid w:val="00EF7FC7"/>
    <w:rsid w:val="00F00175"/>
    <w:rsid w:val="00F0043D"/>
    <w:rsid w:val="00F00584"/>
    <w:rsid w:val="00F00DA8"/>
    <w:rsid w:val="00F00FC2"/>
    <w:rsid w:val="00F00FDA"/>
    <w:rsid w:val="00F01084"/>
    <w:rsid w:val="00F01206"/>
    <w:rsid w:val="00F01960"/>
    <w:rsid w:val="00F01B17"/>
    <w:rsid w:val="00F01E1F"/>
    <w:rsid w:val="00F02A41"/>
    <w:rsid w:val="00F02AC2"/>
    <w:rsid w:val="00F032BF"/>
    <w:rsid w:val="00F033F5"/>
    <w:rsid w:val="00F03533"/>
    <w:rsid w:val="00F03715"/>
    <w:rsid w:val="00F03764"/>
    <w:rsid w:val="00F03ABB"/>
    <w:rsid w:val="00F03AD5"/>
    <w:rsid w:val="00F03B14"/>
    <w:rsid w:val="00F03B39"/>
    <w:rsid w:val="00F04052"/>
    <w:rsid w:val="00F04557"/>
    <w:rsid w:val="00F0470F"/>
    <w:rsid w:val="00F0485A"/>
    <w:rsid w:val="00F04C93"/>
    <w:rsid w:val="00F04FED"/>
    <w:rsid w:val="00F051F2"/>
    <w:rsid w:val="00F05568"/>
    <w:rsid w:val="00F05A0E"/>
    <w:rsid w:val="00F05D3E"/>
    <w:rsid w:val="00F061B2"/>
    <w:rsid w:val="00F061B3"/>
    <w:rsid w:val="00F06673"/>
    <w:rsid w:val="00F066B7"/>
    <w:rsid w:val="00F066EB"/>
    <w:rsid w:val="00F067E2"/>
    <w:rsid w:val="00F0695E"/>
    <w:rsid w:val="00F06961"/>
    <w:rsid w:val="00F0726E"/>
    <w:rsid w:val="00F07324"/>
    <w:rsid w:val="00F075DF"/>
    <w:rsid w:val="00F0785B"/>
    <w:rsid w:val="00F07BAA"/>
    <w:rsid w:val="00F1002F"/>
    <w:rsid w:val="00F100C4"/>
    <w:rsid w:val="00F10185"/>
    <w:rsid w:val="00F1066F"/>
    <w:rsid w:val="00F107A2"/>
    <w:rsid w:val="00F10877"/>
    <w:rsid w:val="00F1096D"/>
    <w:rsid w:val="00F10989"/>
    <w:rsid w:val="00F10CD3"/>
    <w:rsid w:val="00F10D84"/>
    <w:rsid w:val="00F11565"/>
    <w:rsid w:val="00F11999"/>
    <w:rsid w:val="00F123D3"/>
    <w:rsid w:val="00F123E1"/>
    <w:rsid w:val="00F12485"/>
    <w:rsid w:val="00F12E56"/>
    <w:rsid w:val="00F12F0E"/>
    <w:rsid w:val="00F1350D"/>
    <w:rsid w:val="00F13577"/>
    <w:rsid w:val="00F13BB4"/>
    <w:rsid w:val="00F1415F"/>
    <w:rsid w:val="00F14201"/>
    <w:rsid w:val="00F1461A"/>
    <w:rsid w:val="00F1481D"/>
    <w:rsid w:val="00F14AA4"/>
    <w:rsid w:val="00F14D0D"/>
    <w:rsid w:val="00F1508C"/>
    <w:rsid w:val="00F15501"/>
    <w:rsid w:val="00F1578E"/>
    <w:rsid w:val="00F15EB7"/>
    <w:rsid w:val="00F16023"/>
    <w:rsid w:val="00F172F7"/>
    <w:rsid w:val="00F176B4"/>
    <w:rsid w:val="00F17A53"/>
    <w:rsid w:val="00F17BA0"/>
    <w:rsid w:val="00F17C48"/>
    <w:rsid w:val="00F17F68"/>
    <w:rsid w:val="00F20502"/>
    <w:rsid w:val="00F20763"/>
    <w:rsid w:val="00F20886"/>
    <w:rsid w:val="00F208AD"/>
    <w:rsid w:val="00F211EE"/>
    <w:rsid w:val="00F218E8"/>
    <w:rsid w:val="00F21D54"/>
    <w:rsid w:val="00F21E34"/>
    <w:rsid w:val="00F21ECA"/>
    <w:rsid w:val="00F22318"/>
    <w:rsid w:val="00F22329"/>
    <w:rsid w:val="00F2239E"/>
    <w:rsid w:val="00F227C8"/>
    <w:rsid w:val="00F22ACF"/>
    <w:rsid w:val="00F230D3"/>
    <w:rsid w:val="00F232FA"/>
    <w:rsid w:val="00F23567"/>
    <w:rsid w:val="00F237A2"/>
    <w:rsid w:val="00F23CB7"/>
    <w:rsid w:val="00F245E2"/>
    <w:rsid w:val="00F24BF6"/>
    <w:rsid w:val="00F253C4"/>
    <w:rsid w:val="00F25459"/>
    <w:rsid w:val="00F25747"/>
    <w:rsid w:val="00F257B5"/>
    <w:rsid w:val="00F2590E"/>
    <w:rsid w:val="00F25E9C"/>
    <w:rsid w:val="00F260EE"/>
    <w:rsid w:val="00F26C40"/>
    <w:rsid w:val="00F26F97"/>
    <w:rsid w:val="00F2710B"/>
    <w:rsid w:val="00F2720E"/>
    <w:rsid w:val="00F275F2"/>
    <w:rsid w:val="00F2776D"/>
    <w:rsid w:val="00F27B8F"/>
    <w:rsid w:val="00F27F74"/>
    <w:rsid w:val="00F300E1"/>
    <w:rsid w:val="00F3026D"/>
    <w:rsid w:val="00F3061C"/>
    <w:rsid w:val="00F30C3A"/>
    <w:rsid w:val="00F30E79"/>
    <w:rsid w:val="00F31244"/>
    <w:rsid w:val="00F31410"/>
    <w:rsid w:val="00F31520"/>
    <w:rsid w:val="00F315A6"/>
    <w:rsid w:val="00F31618"/>
    <w:rsid w:val="00F3200A"/>
    <w:rsid w:val="00F3258A"/>
    <w:rsid w:val="00F32881"/>
    <w:rsid w:val="00F32B5F"/>
    <w:rsid w:val="00F33721"/>
    <w:rsid w:val="00F337A2"/>
    <w:rsid w:val="00F33A27"/>
    <w:rsid w:val="00F33A92"/>
    <w:rsid w:val="00F33ABB"/>
    <w:rsid w:val="00F33E42"/>
    <w:rsid w:val="00F346E6"/>
    <w:rsid w:val="00F35012"/>
    <w:rsid w:val="00F357A9"/>
    <w:rsid w:val="00F35FC1"/>
    <w:rsid w:val="00F36135"/>
    <w:rsid w:val="00F36546"/>
    <w:rsid w:val="00F36580"/>
    <w:rsid w:val="00F365E7"/>
    <w:rsid w:val="00F36A10"/>
    <w:rsid w:val="00F36F57"/>
    <w:rsid w:val="00F3715E"/>
    <w:rsid w:val="00F372BE"/>
    <w:rsid w:val="00F377CE"/>
    <w:rsid w:val="00F37DA6"/>
    <w:rsid w:val="00F37DDF"/>
    <w:rsid w:val="00F37E81"/>
    <w:rsid w:val="00F40803"/>
    <w:rsid w:val="00F40864"/>
    <w:rsid w:val="00F409EB"/>
    <w:rsid w:val="00F409F4"/>
    <w:rsid w:val="00F40D1C"/>
    <w:rsid w:val="00F40F26"/>
    <w:rsid w:val="00F41043"/>
    <w:rsid w:val="00F4107F"/>
    <w:rsid w:val="00F41375"/>
    <w:rsid w:val="00F42BA8"/>
    <w:rsid w:val="00F43362"/>
    <w:rsid w:val="00F435C2"/>
    <w:rsid w:val="00F43BAE"/>
    <w:rsid w:val="00F440C8"/>
    <w:rsid w:val="00F44108"/>
    <w:rsid w:val="00F4461E"/>
    <w:rsid w:val="00F44895"/>
    <w:rsid w:val="00F44A0A"/>
    <w:rsid w:val="00F45219"/>
    <w:rsid w:val="00F45291"/>
    <w:rsid w:val="00F460BF"/>
    <w:rsid w:val="00F46491"/>
    <w:rsid w:val="00F46532"/>
    <w:rsid w:val="00F4683E"/>
    <w:rsid w:val="00F46BFB"/>
    <w:rsid w:val="00F46C65"/>
    <w:rsid w:val="00F470C6"/>
    <w:rsid w:val="00F47417"/>
    <w:rsid w:val="00F47507"/>
    <w:rsid w:val="00F47625"/>
    <w:rsid w:val="00F478A1"/>
    <w:rsid w:val="00F47C70"/>
    <w:rsid w:val="00F47F0D"/>
    <w:rsid w:val="00F501F9"/>
    <w:rsid w:val="00F50238"/>
    <w:rsid w:val="00F50351"/>
    <w:rsid w:val="00F5036A"/>
    <w:rsid w:val="00F5057D"/>
    <w:rsid w:val="00F50585"/>
    <w:rsid w:val="00F50E12"/>
    <w:rsid w:val="00F51054"/>
    <w:rsid w:val="00F51315"/>
    <w:rsid w:val="00F516E3"/>
    <w:rsid w:val="00F51723"/>
    <w:rsid w:val="00F519FF"/>
    <w:rsid w:val="00F51CEB"/>
    <w:rsid w:val="00F51FD8"/>
    <w:rsid w:val="00F523AD"/>
    <w:rsid w:val="00F52515"/>
    <w:rsid w:val="00F52533"/>
    <w:rsid w:val="00F528AB"/>
    <w:rsid w:val="00F528C5"/>
    <w:rsid w:val="00F52965"/>
    <w:rsid w:val="00F530EB"/>
    <w:rsid w:val="00F53486"/>
    <w:rsid w:val="00F53AF2"/>
    <w:rsid w:val="00F53C52"/>
    <w:rsid w:val="00F54001"/>
    <w:rsid w:val="00F544D1"/>
    <w:rsid w:val="00F54832"/>
    <w:rsid w:val="00F5573D"/>
    <w:rsid w:val="00F55B06"/>
    <w:rsid w:val="00F561FC"/>
    <w:rsid w:val="00F56326"/>
    <w:rsid w:val="00F56334"/>
    <w:rsid w:val="00F566D1"/>
    <w:rsid w:val="00F56DBF"/>
    <w:rsid w:val="00F56E78"/>
    <w:rsid w:val="00F574BB"/>
    <w:rsid w:val="00F57885"/>
    <w:rsid w:val="00F57ACC"/>
    <w:rsid w:val="00F57AD4"/>
    <w:rsid w:val="00F57C70"/>
    <w:rsid w:val="00F57CFA"/>
    <w:rsid w:val="00F6090D"/>
    <w:rsid w:val="00F60B95"/>
    <w:rsid w:val="00F60D23"/>
    <w:rsid w:val="00F60F1C"/>
    <w:rsid w:val="00F60FE6"/>
    <w:rsid w:val="00F61BA9"/>
    <w:rsid w:val="00F61BF1"/>
    <w:rsid w:val="00F62089"/>
    <w:rsid w:val="00F62661"/>
    <w:rsid w:val="00F6269F"/>
    <w:rsid w:val="00F62961"/>
    <w:rsid w:val="00F62B41"/>
    <w:rsid w:val="00F62D4B"/>
    <w:rsid w:val="00F63A22"/>
    <w:rsid w:val="00F63A72"/>
    <w:rsid w:val="00F63E0A"/>
    <w:rsid w:val="00F64602"/>
    <w:rsid w:val="00F6492F"/>
    <w:rsid w:val="00F6497F"/>
    <w:rsid w:val="00F65530"/>
    <w:rsid w:val="00F65811"/>
    <w:rsid w:val="00F65DE4"/>
    <w:rsid w:val="00F66144"/>
    <w:rsid w:val="00F66153"/>
    <w:rsid w:val="00F66862"/>
    <w:rsid w:val="00F66896"/>
    <w:rsid w:val="00F66918"/>
    <w:rsid w:val="00F66924"/>
    <w:rsid w:val="00F66F0C"/>
    <w:rsid w:val="00F6713F"/>
    <w:rsid w:val="00F67389"/>
    <w:rsid w:val="00F67599"/>
    <w:rsid w:val="00F67665"/>
    <w:rsid w:val="00F6768D"/>
    <w:rsid w:val="00F67943"/>
    <w:rsid w:val="00F67B9C"/>
    <w:rsid w:val="00F70212"/>
    <w:rsid w:val="00F70633"/>
    <w:rsid w:val="00F7084E"/>
    <w:rsid w:val="00F708F6"/>
    <w:rsid w:val="00F70CE4"/>
    <w:rsid w:val="00F7129F"/>
    <w:rsid w:val="00F71A54"/>
    <w:rsid w:val="00F7236A"/>
    <w:rsid w:val="00F724C8"/>
    <w:rsid w:val="00F72987"/>
    <w:rsid w:val="00F72E5C"/>
    <w:rsid w:val="00F731A9"/>
    <w:rsid w:val="00F73E56"/>
    <w:rsid w:val="00F73EC6"/>
    <w:rsid w:val="00F74290"/>
    <w:rsid w:val="00F742F8"/>
    <w:rsid w:val="00F74375"/>
    <w:rsid w:val="00F74B51"/>
    <w:rsid w:val="00F74BAD"/>
    <w:rsid w:val="00F74D28"/>
    <w:rsid w:val="00F74E3B"/>
    <w:rsid w:val="00F75225"/>
    <w:rsid w:val="00F7528A"/>
    <w:rsid w:val="00F753D3"/>
    <w:rsid w:val="00F75751"/>
    <w:rsid w:val="00F7589E"/>
    <w:rsid w:val="00F7592D"/>
    <w:rsid w:val="00F75CF2"/>
    <w:rsid w:val="00F75D9E"/>
    <w:rsid w:val="00F75DB1"/>
    <w:rsid w:val="00F76315"/>
    <w:rsid w:val="00F7634F"/>
    <w:rsid w:val="00F76E31"/>
    <w:rsid w:val="00F773C8"/>
    <w:rsid w:val="00F774C7"/>
    <w:rsid w:val="00F777DF"/>
    <w:rsid w:val="00F7791D"/>
    <w:rsid w:val="00F779CE"/>
    <w:rsid w:val="00F77A9F"/>
    <w:rsid w:val="00F77DDC"/>
    <w:rsid w:val="00F77E4B"/>
    <w:rsid w:val="00F80394"/>
    <w:rsid w:val="00F80A35"/>
    <w:rsid w:val="00F80D09"/>
    <w:rsid w:val="00F80DC2"/>
    <w:rsid w:val="00F81362"/>
    <w:rsid w:val="00F81B2E"/>
    <w:rsid w:val="00F8214D"/>
    <w:rsid w:val="00F82472"/>
    <w:rsid w:val="00F82C7A"/>
    <w:rsid w:val="00F82F7F"/>
    <w:rsid w:val="00F833CA"/>
    <w:rsid w:val="00F83AFB"/>
    <w:rsid w:val="00F83DB3"/>
    <w:rsid w:val="00F84191"/>
    <w:rsid w:val="00F842AB"/>
    <w:rsid w:val="00F84315"/>
    <w:rsid w:val="00F84979"/>
    <w:rsid w:val="00F84A3D"/>
    <w:rsid w:val="00F85162"/>
    <w:rsid w:val="00F852BA"/>
    <w:rsid w:val="00F8543A"/>
    <w:rsid w:val="00F854EB"/>
    <w:rsid w:val="00F854EE"/>
    <w:rsid w:val="00F85651"/>
    <w:rsid w:val="00F85926"/>
    <w:rsid w:val="00F8612A"/>
    <w:rsid w:val="00F864C1"/>
    <w:rsid w:val="00F86C7E"/>
    <w:rsid w:val="00F87502"/>
    <w:rsid w:val="00F8778D"/>
    <w:rsid w:val="00F87D88"/>
    <w:rsid w:val="00F87FBE"/>
    <w:rsid w:val="00F9040B"/>
    <w:rsid w:val="00F9069C"/>
    <w:rsid w:val="00F90759"/>
    <w:rsid w:val="00F910BF"/>
    <w:rsid w:val="00F91286"/>
    <w:rsid w:val="00F91353"/>
    <w:rsid w:val="00F9146D"/>
    <w:rsid w:val="00F915E4"/>
    <w:rsid w:val="00F9185F"/>
    <w:rsid w:val="00F91D77"/>
    <w:rsid w:val="00F91DB3"/>
    <w:rsid w:val="00F9234A"/>
    <w:rsid w:val="00F92382"/>
    <w:rsid w:val="00F92770"/>
    <w:rsid w:val="00F92F91"/>
    <w:rsid w:val="00F93538"/>
    <w:rsid w:val="00F936A1"/>
    <w:rsid w:val="00F93D31"/>
    <w:rsid w:val="00F93EEB"/>
    <w:rsid w:val="00F9409E"/>
    <w:rsid w:val="00F940C3"/>
    <w:rsid w:val="00F94108"/>
    <w:rsid w:val="00F94B0D"/>
    <w:rsid w:val="00F94C72"/>
    <w:rsid w:val="00F94C85"/>
    <w:rsid w:val="00F94ED1"/>
    <w:rsid w:val="00F95236"/>
    <w:rsid w:val="00F95436"/>
    <w:rsid w:val="00F9598E"/>
    <w:rsid w:val="00F95DFF"/>
    <w:rsid w:val="00F96356"/>
    <w:rsid w:val="00F965FA"/>
    <w:rsid w:val="00F9678F"/>
    <w:rsid w:val="00F9684A"/>
    <w:rsid w:val="00F969AE"/>
    <w:rsid w:val="00F96F73"/>
    <w:rsid w:val="00F971E3"/>
    <w:rsid w:val="00F97613"/>
    <w:rsid w:val="00F97672"/>
    <w:rsid w:val="00F97933"/>
    <w:rsid w:val="00F97994"/>
    <w:rsid w:val="00F97BBC"/>
    <w:rsid w:val="00FA0456"/>
    <w:rsid w:val="00FA0825"/>
    <w:rsid w:val="00FA08AD"/>
    <w:rsid w:val="00FA0C71"/>
    <w:rsid w:val="00FA1165"/>
    <w:rsid w:val="00FA1415"/>
    <w:rsid w:val="00FA1656"/>
    <w:rsid w:val="00FA1A7E"/>
    <w:rsid w:val="00FA218F"/>
    <w:rsid w:val="00FA2353"/>
    <w:rsid w:val="00FA23DA"/>
    <w:rsid w:val="00FA2509"/>
    <w:rsid w:val="00FA2842"/>
    <w:rsid w:val="00FA2A98"/>
    <w:rsid w:val="00FA2D67"/>
    <w:rsid w:val="00FA2F27"/>
    <w:rsid w:val="00FA34A2"/>
    <w:rsid w:val="00FA34E6"/>
    <w:rsid w:val="00FA382A"/>
    <w:rsid w:val="00FA38D4"/>
    <w:rsid w:val="00FA3CE4"/>
    <w:rsid w:val="00FA3DD4"/>
    <w:rsid w:val="00FA408D"/>
    <w:rsid w:val="00FA4150"/>
    <w:rsid w:val="00FA418C"/>
    <w:rsid w:val="00FA46AE"/>
    <w:rsid w:val="00FA5053"/>
    <w:rsid w:val="00FA5089"/>
    <w:rsid w:val="00FA5268"/>
    <w:rsid w:val="00FA5487"/>
    <w:rsid w:val="00FA5766"/>
    <w:rsid w:val="00FA5C98"/>
    <w:rsid w:val="00FA5DF0"/>
    <w:rsid w:val="00FA5E10"/>
    <w:rsid w:val="00FA67E7"/>
    <w:rsid w:val="00FA6D29"/>
    <w:rsid w:val="00FA71C4"/>
    <w:rsid w:val="00FA7576"/>
    <w:rsid w:val="00FA768E"/>
    <w:rsid w:val="00FA79FD"/>
    <w:rsid w:val="00FA7C19"/>
    <w:rsid w:val="00FA7C43"/>
    <w:rsid w:val="00FA7D49"/>
    <w:rsid w:val="00FA7D7D"/>
    <w:rsid w:val="00FB0134"/>
    <w:rsid w:val="00FB02E1"/>
    <w:rsid w:val="00FB032A"/>
    <w:rsid w:val="00FB0DB2"/>
    <w:rsid w:val="00FB0E66"/>
    <w:rsid w:val="00FB0F59"/>
    <w:rsid w:val="00FB1018"/>
    <w:rsid w:val="00FB15B1"/>
    <w:rsid w:val="00FB18EE"/>
    <w:rsid w:val="00FB1C92"/>
    <w:rsid w:val="00FB1D0A"/>
    <w:rsid w:val="00FB1E67"/>
    <w:rsid w:val="00FB1E9A"/>
    <w:rsid w:val="00FB236B"/>
    <w:rsid w:val="00FB2397"/>
    <w:rsid w:val="00FB28C6"/>
    <w:rsid w:val="00FB2D6F"/>
    <w:rsid w:val="00FB2F0E"/>
    <w:rsid w:val="00FB2F21"/>
    <w:rsid w:val="00FB3075"/>
    <w:rsid w:val="00FB35D6"/>
    <w:rsid w:val="00FB363A"/>
    <w:rsid w:val="00FB382A"/>
    <w:rsid w:val="00FB3D62"/>
    <w:rsid w:val="00FB46B2"/>
    <w:rsid w:val="00FB4732"/>
    <w:rsid w:val="00FB53FA"/>
    <w:rsid w:val="00FB5510"/>
    <w:rsid w:val="00FB55B0"/>
    <w:rsid w:val="00FB55C5"/>
    <w:rsid w:val="00FB5895"/>
    <w:rsid w:val="00FB5B7C"/>
    <w:rsid w:val="00FB5C7B"/>
    <w:rsid w:val="00FB5DAB"/>
    <w:rsid w:val="00FB5DC9"/>
    <w:rsid w:val="00FB620D"/>
    <w:rsid w:val="00FB62A3"/>
    <w:rsid w:val="00FB64A8"/>
    <w:rsid w:val="00FB651C"/>
    <w:rsid w:val="00FB6F67"/>
    <w:rsid w:val="00FB72A8"/>
    <w:rsid w:val="00FB7607"/>
    <w:rsid w:val="00FB760D"/>
    <w:rsid w:val="00FB79B7"/>
    <w:rsid w:val="00FC096D"/>
    <w:rsid w:val="00FC0AD7"/>
    <w:rsid w:val="00FC0D06"/>
    <w:rsid w:val="00FC0E78"/>
    <w:rsid w:val="00FC0F28"/>
    <w:rsid w:val="00FC10DE"/>
    <w:rsid w:val="00FC124A"/>
    <w:rsid w:val="00FC134E"/>
    <w:rsid w:val="00FC16DA"/>
    <w:rsid w:val="00FC1769"/>
    <w:rsid w:val="00FC214D"/>
    <w:rsid w:val="00FC2465"/>
    <w:rsid w:val="00FC24E9"/>
    <w:rsid w:val="00FC2515"/>
    <w:rsid w:val="00FC2978"/>
    <w:rsid w:val="00FC2D5F"/>
    <w:rsid w:val="00FC31D2"/>
    <w:rsid w:val="00FC34DF"/>
    <w:rsid w:val="00FC3661"/>
    <w:rsid w:val="00FC432C"/>
    <w:rsid w:val="00FC436E"/>
    <w:rsid w:val="00FC440D"/>
    <w:rsid w:val="00FC4D12"/>
    <w:rsid w:val="00FC4E73"/>
    <w:rsid w:val="00FC4F6D"/>
    <w:rsid w:val="00FC50DA"/>
    <w:rsid w:val="00FC5603"/>
    <w:rsid w:val="00FC57CB"/>
    <w:rsid w:val="00FC594D"/>
    <w:rsid w:val="00FC5985"/>
    <w:rsid w:val="00FC5CF9"/>
    <w:rsid w:val="00FC603B"/>
    <w:rsid w:val="00FC69C7"/>
    <w:rsid w:val="00FC6B28"/>
    <w:rsid w:val="00FC6FDC"/>
    <w:rsid w:val="00FC7104"/>
    <w:rsid w:val="00FC7440"/>
    <w:rsid w:val="00FC7B6E"/>
    <w:rsid w:val="00FD02FB"/>
    <w:rsid w:val="00FD082E"/>
    <w:rsid w:val="00FD0854"/>
    <w:rsid w:val="00FD0B28"/>
    <w:rsid w:val="00FD12D8"/>
    <w:rsid w:val="00FD17BA"/>
    <w:rsid w:val="00FD18CD"/>
    <w:rsid w:val="00FD218E"/>
    <w:rsid w:val="00FD29B4"/>
    <w:rsid w:val="00FD2C9D"/>
    <w:rsid w:val="00FD2F36"/>
    <w:rsid w:val="00FD2F74"/>
    <w:rsid w:val="00FD34EE"/>
    <w:rsid w:val="00FD3B94"/>
    <w:rsid w:val="00FD40DD"/>
    <w:rsid w:val="00FD41F9"/>
    <w:rsid w:val="00FD423C"/>
    <w:rsid w:val="00FD4282"/>
    <w:rsid w:val="00FD43B3"/>
    <w:rsid w:val="00FD478D"/>
    <w:rsid w:val="00FD48BC"/>
    <w:rsid w:val="00FD4B61"/>
    <w:rsid w:val="00FD5B56"/>
    <w:rsid w:val="00FD6295"/>
    <w:rsid w:val="00FD645D"/>
    <w:rsid w:val="00FD6632"/>
    <w:rsid w:val="00FD69CF"/>
    <w:rsid w:val="00FD6A09"/>
    <w:rsid w:val="00FD6CCD"/>
    <w:rsid w:val="00FD70B2"/>
    <w:rsid w:val="00FD75B7"/>
    <w:rsid w:val="00FD7C02"/>
    <w:rsid w:val="00FE0160"/>
    <w:rsid w:val="00FE03D6"/>
    <w:rsid w:val="00FE0563"/>
    <w:rsid w:val="00FE0580"/>
    <w:rsid w:val="00FE0952"/>
    <w:rsid w:val="00FE0A12"/>
    <w:rsid w:val="00FE0FCD"/>
    <w:rsid w:val="00FE1118"/>
    <w:rsid w:val="00FE147C"/>
    <w:rsid w:val="00FE1530"/>
    <w:rsid w:val="00FE177C"/>
    <w:rsid w:val="00FE18CE"/>
    <w:rsid w:val="00FE1F09"/>
    <w:rsid w:val="00FE2088"/>
    <w:rsid w:val="00FE208A"/>
    <w:rsid w:val="00FE231D"/>
    <w:rsid w:val="00FE2473"/>
    <w:rsid w:val="00FE257A"/>
    <w:rsid w:val="00FE28CA"/>
    <w:rsid w:val="00FE2921"/>
    <w:rsid w:val="00FE2CD2"/>
    <w:rsid w:val="00FE2E9B"/>
    <w:rsid w:val="00FE3025"/>
    <w:rsid w:val="00FE36A1"/>
    <w:rsid w:val="00FE39C9"/>
    <w:rsid w:val="00FE3F84"/>
    <w:rsid w:val="00FE40E5"/>
    <w:rsid w:val="00FE419C"/>
    <w:rsid w:val="00FE4739"/>
    <w:rsid w:val="00FE481A"/>
    <w:rsid w:val="00FE4DB2"/>
    <w:rsid w:val="00FE4E2E"/>
    <w:rsid w:val="00FE4FF0"/>
    <w:rsid w:val="00FE52C8"/>
    <w:rsid w:val="00FE5978"/>
    <w:rsid w:val="00FE5C92"/>
    <w:rsid w:val="00FE5E09"/>
    <w:rsid w:val="00FE681D"/>
    <w:rsid w:val="00FE6C2B"/>
    <w:rsid w:val="00FE70EF"/>
    <w:rsid w:val="00FE733F"/>
    <w:rsid w:val="00FE74DF"/>
    <w:rsid w:val="00FE772D"/>
    <w:rsid w:val="00FE77A8"/>
    <w:rsid w:val="00FE78F1"/>
    <w:rsid w:val="00FE7C27"/>
    <w:rsid w:val="00FE7C5D"/>
    <w:rsid w:val="00FE7FC0"/>
    <w:rsid w:val="00FF0551"/>
    <w:rsid w:val="00FF073F"/>
    <w:rsid w:val="00FF0C94"/>
    <w:rsid w:val="00FF0DBD"/>
    <w:rsid w:val="00FF10A0"/>
    <w:rsid w:val="00FF17F2"/>
    <w:rsid w:val="00FF19A9"/>
    <w:rsid w:val="00FF1E45"/>
    <w:rsid w:val="00FF2100"/>
    <w:rsid w:val="00FF225C"/>
    <w:rsid w:val="00FF241E"/>
    <w:rsid w:val="00FF260E"/>
    <w:rsid w:val="00FF2DCA"/>
    <w:rsid w:val="00FF2E51"/>
    <w:rsid w:val="00FF34F7"/>
    <w:rsid w:val="00FF382F"/>
    <w:rsid w:val="00FF3A07"/>
    <w:rsid w:val="00FF3BC2"/>
    <w:rsid w:val="00FF3FEA"/>
    <w:rsid w:val="00FF4C68"/>
    <w:rsid w:val="00FF4D9A"/>
    <w:rsid w:val="00FF4EEC"/>
    <w:rsid w:val="00FF5106"/>
    <w:rsid w:val="00FF5230"/>
    <w:rsid w:val="00FF56C8"/>
    <w:rsid w:val="00FF5F70"/>
    <w:rsid w:val="00FF5FEC"/>
    <w:rsid w:val="00FF63D2"/>
    <w:rsid w:val="00FF64E6"/>
    <w:rsid w:val="00FF67D5"/>
    <w:rsid w:val="00FF683B"/>
    <w:rsid w:val="00FF69A5"/>
    <w:rsid w:val="00FF6E2F"/>
    <w:rsid w:val="00FF6F5A"/>
    <w:rsid w:val="00FF7592"/>
    <w:rsid w:val="00FF7A86"/>
    <w:rsid w:val="00FF7BF9"/>
    <w:rsid w:val="00FF7CCC"/>
    <w:rsid w:val="00FF7E34"/>
    <w:rsid w:val="00FF7E78"/>
    <w:rsid w:val="016E1197"/>
    <w:rsid w:val="01BA906A"/>
    <w:rsid w:val="01EE7C4C"/>
    <w:rsid w:val="02070F3D"/>
    <w:rsid w:val="031583C3"/>
    <w:rsid w:val="0325A4A3"/>
    <w:rsid w:val="03C2C691"/>
    <w:rsid w:val="041AC8E6"/>
    <w:rsid w:val="04EA44A1"/>
    <w:rsid w:val="054A5C2B"/>
    <w:rsid w:val="05976CAB"/>
    <w:rsid w:val="05C5FB6E"/>
    <w:rsid w:val="0658267A"/>
    <w:rsid w:val="06597D4B"/>
    <w:rsid w:val="067025B2"/>
    <w:rsid w:val="06CCD259"/>
    <w:rsid w:val="07CA1D42"/>
    <w:rsid w:val="07CDABDB"/>
    <w:rsid w:val="09FF35D0"/>
    <w:rsid w:val="0A4CCDA6"/>
    <w:rsid w:val="0A7E2A32"/>
    <w:rsid w:val="0C861816"/>
    <w:rsid w:val="0D08E0B1"/>
    <w:rsid w:val="0D38065F"/>
    <w:rsid w:val="0D56A798"/>
    <w:rsid w:val="0D895633"/>
    <w:rsid w:val="0EA62AFC"/>
    <w:rsid w:val="0F17234E"/>
    <w:rsid w:val="0FC3A7CB"/>
    <w:rsid w:val="108C3534"/>
    <w:rsid w:val="109BA418"/>
    <w:rsid w:val="10C03EE5"/>
    <w:rsid w:val="110527B9"/>
    <w:rsid w:val="1118CCB5"/>
    <w:rsid w:val="1148F260"/>
    <w:rsid w:val="1194D9BB"/>
    <w:rsid w:val="1209842D"/>
    <w:rsid w:val="1260CA3E"/>
    <w:rsid w:val="137A01C1"/>
    <w:rsid w:val="13FB6AA1"/>
    <w:rsid w:val="15DB88DF"/>
    <w:rsid w:val="16690221"/>
    <w:rsid w:val="1702054C"/>
    <w:rsid w:val="17ED2487"/>
    <w:rsid w:val="18F7271A"/>
    <w:rsid w:val="1A16A56E"/>
    <w:rsid w:val="1B19A7A5"/>
    <w:rsid w:val="1B4F2C7F"/>
    <w:rsid w:val="1CE261BF"/>
    <w:rsid w:val="1D783837"/>
    <w:rsid w:val="1D887DA6"/>
    <w:rsid w:val="1E8528FA"/>
    <w:rsid w:val="1F4337E4"/>
    <w:rsid w:val="1F54B5EF"/>
    <w:rsid w:val="1F9741EC"/>
    <w:rsid w:val="2169A4E0"/>
    <w:rsid w:val="21A37155"/>
    <w:rsid w:val="22133F03"/>
    <w:rsid w:val="2222E643"/>
    <w:rsid w:val="22709406"/>
    <w:rsid w:val="22D7D86A"/>
    <w:rsid w:val="24DBEA49"/>
    <w:rsid w:val="2544731D"/>
    <w:rsid w:val="25F57311"/>
    <w:rsid w:val="268BD991"/>
    <w:rsid w:val="277AB59E"/>
    <w:rsid w:val="27C40D43"/>
    <w:rsid w:val="2BF06D17"/>
    <w:rsid w:val="2C4E6F1E"/>
    <w:rsid w:val="2D0C028D"/>
    <w:rsid w:val="2EA9ED70"/>
    <w:rsid w:val="2F465BEE"/>
    <w:rsid w:val="2F8A2839"/>
    <w:rsid w:val="2FACE6BD"/>
    <w:rsid w:val="2FF0272E"/>
    <w:rsid w:val="304F2742"/>
    <w:rsid w:val="305D9F92"/>
    <w:rsid w:val="315DD7FF"/>
    <w:rsid w:val="31DFC2A1"/>
    <w:rsid w:val="31F84103"/>
    <w:rsid w:val="31FA9EE3"/>
    <w:rsid w:val="320F0B80"/>
    <w:rsid w:val="32BA369D"/>
    <w:rsid w:val="337624A5"/>
    <w:rsid w:val="33B45CFE"/>
    <w:rsid w:val="33F4F337"/>
    <w:rsid w:val="3404294A"/>
    <w:rsid w:val="345BD2F4"/>
    <w:rsid w:val="3467BB8E"/>
    <w:rsid w:val="34F59AE3"/>
    <w:rsid w:val="36334BF8"/>
    <w:rsid w:val="379BC1E6"/>
    <w:rsid w:val="3815710F"/>
    <w:rsid w:val="3880463D"/>
    <w:rsid w:val="39DAD88A"/>
    <w:rsid w:val="3A4FD1BB"/>
    <w:rsid w:val="3D7FEA99"/>
    <w:rsid w:val="3DA98384"/>
    <w:rsid w:val="3E008A2B"/>
    <w:rsid w:val="3E731614"/>
    <w:rsid w:val="3F59F44E"/>
    <w:rsid w:val="40198901"/>
    <w:rsid w:val="421F0927"/>
    <w:rsid w:val="4288AB6B"/>
    <w:rsid w:val="433EB938"/>
    <w:rsid w:val="43E27A35"/>
    <w:rsid w:val="443DF097"/>
    <w:rsid w:val="456D4155"/>
    <w:rsid w:val="45843EE3"/>
    <w:rsid w:val="46A7663B"/>
    <w:rsid w:val="46BACCBB"/>
    <w:rsid w:val="4718EC07"/>
    <w:rsid w:val="4745712E"/>
    <w:rsid w:val="48E1B9EA"/>
    <w:rsid w:val="4AA5F446"/>
    <w:rsid w:val="4AE4BF47"/>
    <w:rsid w:val="4C26A507"/>
    <w:rsid w:val="4C36E1E6"/>
    <w:rsid w:val="4D2E35A9"/>
    <w:rsid w:val="4D76A3EB"/>
    <w:rsid w:val="4DF0A0DF"/>
    <w:rsid w:val="4E2D7872"/>
    <w:rsid w:val="4FFFC772"/>
    <w:rsid w:val="50172967"/>
    <w:rsid w:val="5028EED4"/>
    <w:rsid w:val="50943C29"/>
    <w:rsid w:val="50AE9376"/>
    <w:rsid w:val="53C8DDF6"/>
    <w:rsid w:val="5419BD7F"/>
    <w:rsid w:val="55C1C403"/>
    <w:rsid w:val="55EBA6DD"/>
    <w:rsid w:val="56170630"/>
    <w:rsid w:val="565D9B4E"/>
    <w:rsid w:val="568B4F65"/>
    <w:rsid w:val="5692B82C"/>
    <w:rsid w:val="56B541A3"/>
    <w:rsid w:val="5747093E"/>
    <w:rsid w:val="57B3DD48"/>
    <w:rsid w:val="58A6020C"/>
    <w:rsid w:val="59CFD176"/>
    <w:rsid w:val="5B8892CD"/>
    <w:rsid w:val="5BD47E37"/>
    <w:rsid w:val="5D0FA8B2"/>
    <w:rsid w:val="5EEFDCA2"/>
    <w:rsid w:val="613726A2"/>
    <w:rsid w:val="6143F511"/>
    <w:rsid w:val="62874C96"/>
    <w:rsid w:val="629B65FB"/>
    <w:rsid w:val="634F3553"/>
    <w:rsid w:val="6437365C"/>
    <w:rsid w:val="649BAE9C"/>
    <w:rsid w:val="64B236AB"/>
    <w:rsid w:val="65588E49"/>
    <w:rsid w:val="65B5E34C"/>
    <w:rsid w:val="6608EDE4"/>
    <w:rsid w:val="66ACC08B"/>
    <w:rsid w:val="6734903C"/>
    <w:rsid w:val="67F95C74"/>
    <w:rsid w:val="68858E42"/>
    <w:rsid w:val="69F4ACE7"/>
    <w:rsid w:val="6A0322CB"/>
    <w:rsid w:val="6A428B01"/>
    <w:rsid w:val="6A8AF5F4"/>
    <w:rsid w:val="6B85F386"/>
    <w:rsid w:val="6BB08AEE"/>
    <w:rsid w:val="6BC49E07"/>
    <w:rsid w:val="6C161508"/>
    <w:rsid w:val="6C3DE5A3"/>
    <w:rsid w:val="6C7C13FD"/>
    <w:rsid w:val="6CAB85DE"/>
    <w:rsid w:val="6CB3F728"/>
    <w:rsid w:val="6CEE6888"/>
    <w:rsid w:val="6D47A6EC"/>
    <w:rsid w:val="6D755524"/>
    <w:rsid w:val="6DE51749"/>
    <w:rsid w:val="6E03C111"/>
    <w:rsid w:val="6E1303AA"/>
    <w:rsid w:val="6E14329A"/>
    <w:rsid w:val="6E68B1ED"/>
    <w:rsid w:val="6F6DC20D"/>
    <w:rsid w:val="6F867281"/>
    <w:rsid w:val="6FD5DD40"/>
    <w:rsid w:val="720B13F2"/>
    <w:rsid w:val="72B4FD6D"/>
    <w:rsid w:val="73381DA4"/>
    <w:rsid w:val="7364B67F"/>
    <w:rsid w:val="7396F385"/>
    <w:rsid w:val="73D4CD6A"/>
    <w:rsid w:val="74787B1D"/>
    <w:rsid w:val="7590FFF8"/>
    <w:rsid w:val="761EFF0B"/>
    <w:rsid w:val="76B54CCD"/>
    <w:rsid w:val="76CE9447"/>
    <w:rsid w:val="77175CAE"/>
    <w:rsid w:val="77FE4567"/>
    <w:rsid w:val="78EA6CC2"/>
    <w:rsid w:val="79E060F7"/>
    <w:rsid w:val="7B7C3158"/>
    <w:rsid w:val="7BA7DA9A"/>
    <w:rsid w:val="7C78ADB6"/>
    <w:rsid w:val="7D0DC3D4"/>
    <w:rsid w:val="7D24AD6E"/>
    <w:rsid w:val="7D4A7EC9"/>
    <w:rsid w:val="7DF4A20E"/>
    <w:rsid w:val="7E5A52DB"/>
    <w:rsid w:val="7E69AC3E"/>
    <w:rsid w:val="7EAC6E8D"/>
    <w:rsid w:val="7ECA8D71"/>
    <w:rsid w:val="7F1811B6"/>
    <w:rsid w:val="7F85533C"/>
    <w:rsid w:val="7F85C2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F05D3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3C0903"/>
    <w:pPr>
      <w:keepNext/>
      <w:spacing w:before="360" w:after="120" w:line="240" w:lineRule="auto"/>
      <w:ind w:left="720" w:hanging="720"/>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3C0903"/>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CMA Table Template,YHEC table,HTAtableplain,Dossier table,Section 3- footnotes,PBAC table,MSD Table Grid,Lash Style Tabl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EB2EF6"/>
    <w:pPr>
      <w:tabs>
        <w:tab w:val="left" w:pos="284"/>
      </w:tabs>
      <w:spacing w:after="360" w:line="240" w:lineRule="auto"/>
      <w:contextualSpacing/>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EB2EF6"/>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erlin Sans FB" w:hAnsi="Berlin Sans FB"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erlin Sans FB" w:hAnsi="Berlin Sans FB"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erlin Sans FB" w:hAnsi="Berlin Sans FB"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CA08E1"/>
    <w:rPr>
      <w:color w:val="605E5C"/>
      <w:shd w:val="clear" w:color="auto" w:fill="E1DFDD"/>
    </w:rPr>
  </w:style>
  <w:style w:type="paragraph" w:customStyle="1" w:styleId="CommentaryTabletextleft">
    <w:name w:val="Commentary Table text left"/>
    <w:basedOn w:val="Normal"/>
    <w:link w:val="CommentaryTabletextleftChar"/>
    <w:qFormat/>
    <w:rsid w:val="00FD41F9"/>
    <w:pPr>
      <w:spacing w:before="40" w:after="40" w:line="240" w:lineRule="auto"/>
    </w:pPr>
    <w:rPr>
      <w:rFonts w:ascii="Arial Narrow" w:eastAsia="Calibri" w:hAnsi="Arial Narrow"/>
      <w:color w:val="0070C0"/>
      <w:sz w:val="20"/>
      <w:szCs w:val="20"/>
    </w:rPr>
  </w:style>
  <w:style w:type="character" w:customStyle="1" w:styleId="CommentaryTabletextleftChar">
    <w:name w:val="Commentary Table text left Char"/>
    <w:basedOn w:val="DefaultParagraphFont"/>
    <w:link w:val="CommentaryTabletextleft"/>
    <w:rsid w:val="00FD41F9"/>
    <w:rPr>
      <w:rFonts w:ascii="Arial Narrow" w:eastAsia="Calibri" w:hAnsi="Arial Narrow"/>
      <w:color w:val="0070C0"/>
      <w:sz w:val="20"/>
      <w:szCs w:val="20"/>
    </w:rPr>
  </w:style>
  <w:style w:type="character" w:customStyle="1" w:styleId="Heading5Char">
    <w:name w:val="Heading 5 Char"/>
    <w:basedOn w:val="DefaultParagraphFont"/>
    <w:link w:val="Heading5"/>
    <w:uiPriority w:val="9"/>
    <w:rsid w:val="00F05D3E"/>
    <w:rPr>
      <w:rFonts w:asciiTheme="majorHAnsi" w:eastAsiaTheme="majorEastAsia" w:hAnsiTheme="majorHAnsi" w:cstheme="majorBidi"/>
      <w:color w:val="2E74B5" w:themeColor="accent1" w:themeShade="BF"/>
    </w:rPr>
  </w:style>
  <w:style w:type="paragraph" w:customStyle="1" w:styleId="Commentarytext">
    <w:name w:val="Commentary text"/>
    <w:basedOn w:val="CommentText"/>
    <w:link w:val="CommentarytextChar"/>
    <w:qFormat/>
    <w:rsid w:val="008E1167"/>
    <w:pPr>
      <w:spacing w:before="0" w:after="120" w:line="264" w:lineRule="auto"/>
    </w:pPr>
    <w:rPr>
      <w:rFonts w:ascii="Franklin Gothic Book" w:eastAsiaTheme="minorEastAsia" w:hAnsi="Franklin Gothic Book"/>
      <w:color w:val="0070C0"/>
      <w:szCs w:val="20"/>
    </w:rPr>
  </w:style>
  <w:style w:type="character" w:customStyle="1" w:styleId="CommentarytextChar">
    <w:name w:val="Commentary text Char"/>
    <w:basedOn w:val="DefaultParagraphFont"/>
    <w:link w:val="Commentarytext"/>
    <w:rsid w:val="008E1167"/>
    <w:rPr>
      <w:rFonts w:ascii="Franklin Gothic Book" w:eastAsiaTheme="minorEastAsia" w:hAnsi="Franklin Gothic Book" w:cs="Times New Roman"/>
      <w:color w:val="0070C0"/>
      <w:szCs w:val="20"/>
      <w:lang w:eastAsia="en-AU"/>
    </w:rPr>
  </w:style>
  <w:style w:type="character" w:styleId="Mention">
    <w:name w:val="Mention"/>
    <w:basedOn w:val="DefaultParagraphFont"/>
    <w:uiPriority w:val="99"/>
    <w:unhideWhenUsed/>
    <w:rsid w:val="00FB032A"/>
    <w:rPr>
      <w:color w:val="2B579A"/>
      <w:shd w:val="clear" w:color="auto" w:fill="E6E6E6"/>
    </w:rPr>
  </w:style>
  <w:style w:type="paragraph" w:customStyle="1" w:styleId="pf0">
    <w:name w:val="pf0"/>
    <w:basedOn w:val="Normal"/>
    <w:rsid w:val="008B77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8B77AE"/>
    <w:rPr>
      <w:rFonts w:ascii="Segoe UI" w:hAnsi="Segoe UI" w:cs="Segoe UI" w:hint="default"/>
      <w:sz w:val="18"/>
      <w:szCs w:val="18"/>
    </w:rPr>
  </w:style>
  <w:style w:type="character" w:customStyle="1" w:styleId="cf11">
    <w:name w:val="cf11"/>
    <w:basedOn w:val="DefaultParagraphFont"/>
    <w:rsid w:val="008B77AE"/>
    <w:rPr>
      <w:rFonts w:ascii="Segoe UI" w:hAnsi="Segoe UI" w:cs="Segoe UI" w:hint="default"/>
      <w:sz w:val="18"/>
      <w:szCs w:val="18"/>
    </w:rPr>
  </w:style>
  <w:style w:type="paragraph" w:customStyle="1" w:styleId="BulletBeforeDash">
    <w:name w:val="BulletBeforeDash"/>
    <w:basedOn w:val="Normal"/>
    <w:rsid w:val="00641750"/>
    <w:pPr>
      <w:numPr>
        <w:numId w:val="10"/>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641750"/>
    <w:pPr>
      <w:numPr>
        <w:numId w:val="0"/>
      </w:numPr>
      <w:spacing w:before="0" w:after="240"/>
      <w:ind w:left="786" w:hanging="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641750"/>
    <w:pPr>
      <w:keepNext/>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641750"/>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641750"/>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641750"/>
    <w:pPr>
      <w:numPr>
        <w:numId w:val="11"/>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character" w:styleId="PlaceholderText">
    <w:name w:val="Placeholder Text"/>
    <w:basedOn w:val="DefaultParagraphFont"/>
    <w:uiPriority w:val="99"/>
    <w:semiHidden/>
    <w:rsid w:val="00682996"/>
    <w:rPr>
      <w:color w:val="808080"/>
    </w:rPr>
  </w:style>
  <w:style w:type="paragraph" w:customStyle="1" w:styleId="paragraph">
    <w:name w:val="paragraph"/>
    <w:basedOn w:val="Normal"/>
    <w:rsid w:val="00F36F5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36F57"/>
  </w:style>
  <w:style w:type="character" w:customStyle="1" w:styleId="eop">
    <w:name w:val="eop"/>
    <w:basedOn w:val="DefaultParagraphFont"/>
    <w:rsid w:val="00F36F57"/>
  </w:style>
  <w:style w:type="paragraph" w:styleId="BodyText">
    <w:name w:val="Body Text"/>
    <w:basedOn w:val="Normal"/>
    <w:link w:val="BodyTextChar"/>
    <w:rsid w:val="00F36F57"/>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F36F57"/>
    <w:rPr>
      <w:rFonts w:ascii="Book Antiqua" w:eastAsia="Times New Roman" w:hAnsi="Book Antiqua" w:cs="Times New Roman"/>
      <w:sz w:val="24"/>
      <w:szCs w:val="20"/>
    </w:rPr>
  </w:style>
  <w:style w:type="character" w:customStyle="1" w:styleId="superscript">
    <w:name w:val="superscript"/>
    <w:basedOn w:val="DefaultParagraphFont"/>
    <w:rsid w:val="00A54D32"/>
  </w:style>
  <w:style w:type="paragraph" w:styleId="EndnoteText">
    <w:name w:val="endnote text"/>
    <w:basedOn w:val="Normal"/>
    <w:link w:val="EndnoteTextChar"/>
    <w:uiPriority w:val="99"/>
    <w:semiHidden/>
    <w:unhideWhenUsed/>
    <w:rsid w:val="00B92CF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92CF6"/>
    <w:rPr>
      <w:rFonts w:ascii="Franklin Gothic Book" w:hAnsi="Franklin Gothic Book"/>
      <w:sz w:val="20"/>
      <w:szCs w:val="20"/>
    </w:rPr>
  </w:style>
  <w:style w:type="character" w:styleId="EndnoteReference">
    <w:name w:val="endnote reference"/>
    <w:basedOn w:val="DefaultParagraphFont"/>
    <w:uiPriority w:val="99"/>
    <w:semiHidden/>
    <w:unhideWhenUsed/>
    <w:rsid w:val="00B92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252297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46095107">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05602723">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13322375">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3785137">
      <w:bodyDiv w:val="1"/>
      <w:marLeft w:val="0"/>
      <w:marRight w:val="0"/>
      <w:marTop w:val="0"/>
      <w:marBottom w:val="0"/>
      <w:divBdr>
        <w:top w:val="none" w:sz="0" w:space="0" w:color="auto"/>
        <w:left w:val="none" w:sz="0" w:space="0" w:color="auto"/>
        <w:bottom w:val="none" w:sz="0" w:space="0" w:color="auto"/>
        <w:right w:val="none" w:sz="0" w:space="0" w:color="auto"/>
      </w:divBdr>
      <w:divsChild>
        <w:div w:id="386534306">
          <w:marLeft w:val="0"/>
          <w:marRight w:val="0"/>
          <w:marTop w:val="0"/>
          <w:marBottom w:val="0"/>
          <w:divBdr>
            <w:top w:val="none" w:sz="0" w:space="0" w:color="auto"/>
            <w:left w:val="none" w:sz="0" w:space="0" w:color="auto"/>
            <w:bottom w:val="none" w:sz="0" w:space="0" w:color="auto"/>
            <w:right w:val="none" w:sz="0" w:space="0" w:color="auto"/>
          </w:divBdr>
        </w:div>
        <w:div w:id="693917994">
          <w:marLeft w:val="0"/>
          <w:marRight w:val="0"/>
          <w:marTop w:val="0"/>
          <w:marBottom w:val="0"/>
          <w:divBdr>
            <w:top w:val="none" w:sz="0" w:space="0" w:color="auto"/>
            <w:left w:val="none" w:sz="0" w:space="0" w:color="auto"/>
            <w:bottom w:val="none" w:sz="0" w:space="0" w:color="auto"/>
            <w:right w:val="none" w:sz="0" w:space="0" w:color="auto"/>
          </w:divBdr>
          <w:divsChild>
            <w:div w:id="1605459041">
              <w:marLeft w:val="-75"/>
              <w:marRight w:val="0"/>
              <w:marTop w:val="30"/>
              <w:marBottom w:val="30"/>
              <w:divBdr>
                <w:top w:val="none" w:sz="0" w:space="0" w:color="auto"/>
                <w:left w:val="none" w:sz="0" w:space="0" w:color="auto"/>
                <w:bottom w:val="none" w:sz="0" w:space="0" w:color="auto"/>
                <w:right w:val="none" w:sz="0" w:space="0" w:color="auto"/>
              </w:divBdr>
              <w:divsChild>
                <w:div w:id="420300349">
                  <w:marLeft w:val="0"/>
                  <w:marRight w:val="0"/>
                  <w:marTop w:val="0"/>
                  <w:marBottom w:val="0"/>
                  <w:divBdr>
                    <w:top w:val="none" w:sz="0" w:space="0" w:color="auto"/>
                    <w:left w:val="none" w:sz="0" w:space="0" w:color="auto"/>
                    <w:bottom w:val="none" w:sz="0" w:space="0" w:color="auto"/>
                    <w:right w:val="none" w:sz="0" w:space="0" w:color="auto"/>
                  </w:divBdr>
                  <w:divsChild>
                    <w:div w:id="171378365">
                      <w:marLeft w:val="0"/>
                      <w:marRight w:val="0"/>
                      <w:marTop w:val="0"/>
                      <w:marBottom w:val="0"/>
                      <w:divBdr>
                        <w:top w:val="none" w:sz="0" w:space="0" w:color="auto"/>
                        <w:left w:val="none" w:sz="0" w:space="0" w:color="auto"/>
                        <w:bottom w:val="none" w:sz="0" w:space="0" w:color="auto"/>
                        <w:right w:val="none" w:sz="0" w:space="0" w:color="auto"/>
                      </w:divBdr>
                    </w:div>
                  </w:divsChild>
                </w:div>
                <w:div w:id="428506916">
                  <w:marLeft w:val="0"/>
                  <w:marRight w:val="0"/>
                  <w:marTop w:val="0"/>
                  <w:marBottom w:val="0"/>
                  <w:divBdr>
                    <w:top w:val="none" w:sz="0" w:space="0" w:color="auto"/>
                    <w:left w:val="none" w:sz="0" w:space="0" w:color="auto"/>
                    <w:bottom w:val="none" w:sz="0" w:space="0" w:color="auto"/>
                    <w:right w:val="none" w:sz="0" w:space="0" w:color="auto"/>
                  </w:divBdr>
                  <w:divsChild>
                    <w:div w:id="720598188">
                      <w:marLeft w:val="0"/>
                      <w:marRight w:val="0"/>
                      <w:marTop w:val="0"/>
                      <w:marBottom w:val="0"/>
                      <w:divBdr>
                        <w:top w:val="none" w:sz="0" w:space="0" w:color="auto"/>
                        <w:left w:val="none" w:sz="0" w:space="0" w:color="auto"/>
                        <w:bottom w:val="none" w:sz="0" w:space="0" w:color="auto"/>
                        <w:right w:val="none" w:sz="0" w:space="0" w:color="auto"/>
                      </w:divBdr>
                    </w:div>
                  </w:divsChild>
                </w:div>
                <w:div w:id="547374852">
                  <w:marLeft w:val="0"/>
                  <w:marRight w:val="0"/>
                  <w:marTop w:val="0"/>
                  <w:marBottom w:val="0"/>
                  <w:divBdr>
                    <w:top w:val="none" w:sz="0" w:space="0" w:color="auto"/>
                    <w:left w:val="none" w:sz="0" w:space="0" w:color="auto"/>
                    <w:bottom w:val="none" w:sz="0" w:space="0" w:color="auto"/>
                    <w:right w:val="none" w:sz="0" w:space="0" w:color="auto"/>
                  </w:divBdr>
                  <w:divsChild>
                    <w:div w:id="1032876431">
                      <w:marLeft w:val="0"/>
                      <w:marRight w:val="0"/>
                      <w:marTop w:val="0"/>
                      <w:marBottom w:val="0"/>
                      <w:divBdr>
                        <w:top w:val="none" w:sz="0" w:space="0" w:color="auto"/>
                        <w:left w:val="none" w:sz="0" w:space="0" w:color="auto"/>
                        <w:bottom w:val="none" w:sz="0" w:space="0" w:color="auto"/>
                        <w:right w:val="none" w:sz="0" w:space="0" w:color="auto"/>
                      </w:divBdr>
                    </w:div>
                  </w:divsChild>
                </w:div>
                <w:div w:id="757675315">
                  <w:marLeft w:val="0"/>
                  <w:marRight w:val="0"/>
                  <w:marTop w:val="0"/>
                  <w:marBottom w:val="0"/>
                  <w:divBdr>
                    <w:top w:val="none" w:sz="0" w:space="0" w:color="auto"/>
                    <w:left w:val="none" w:sz="0" w:space="0" w:color="auto"/>
                    <w:bottom w:val="none" w:sz="0" w:space="0" w:color="auto"/>
                    <w:right w:val="none" w:sz="0" w:space="0" w:color="auto"/>
                  </w:divBdr>
                  <w:divsChild>
                    <w:div w:id="667100527">
                      <w:marLeft w:val="0"/>
                      <w:marRight w:val="0"/>
                      <w:marTop w:val="0"/>
                      <w:marBottom w:val="0"/>
                      <w:divBdr>
                        <w:top w:val="none" w:sz="0" w:space="0" w:color="auto"/>
                        <w:left w:val="none" w:sz="0" w:space="0" w:color="auto"/>
                        <w:bottom w:val="none" w:sz="0" w:space="0" w:color="auto"/>
                        <w:right w:val="none" w:sz="0" w:space="0" w:color="auto"/>
                      </w:divBdr>
                    </w:div>
                  </w:divsChild>
                </w:div>
                <w:div w:id="1598489191">
                  <w:marLeft w:val="0"/>
                  <w:marRight w:val="0"/>
                  <w:marTop w:val="0"/>
                  <w:marBottom w:val="0"/>
                  <w:divBdr>
                    <w:top w:val="none" w:sz="0" w:space="0" w:color="auto"/>
                    <w:left w:val="none" w:sz="0" w:space="0" w:color="auto"/>
                    <w:bottom w:val="none" w:sz="0" w:space="0" w:color="auto"/>
                    <w:right w:val="none" w:sz="0" w:space="0" w:color="auto"/>
                  </w:divBdr>
                  <w:divsChild>
                    <w:div w:id="476534219">
                      <w:marLeft w:val="0"/>
                      <w:marRight w:val="0"/>
                      <w:marTop w:val="0"/>
                      <w:marBottom w:val="0"/>
                      <w:divBdr>
                        <w:top w:val="none" w:sz="0" w:space="0" w:color="auto"/>
                        <w:left w:val="none" w:sz="0" w:space="0" w:color="auto"/>
                        <w:bottom w:val="none" w:sz="0" w:space="0" w:color="auto"/>
                        <w:right w:val="none" w:sz="0" w:space="0" w:color="auto"/>
                      </w:divBdr>
                    </w:div>
                    <w:div w:id="1964454723">
                      <w:marLeft w:val="0"/>
                      <w:marRight w:val="0"/>
                      <w:marTop w:val="0"/>
                      <w:marBottom w:val="0"/>
                      <w:divBdr>
                        <w:top w:val="none" w:sz="0" w:space="0" w:color="auto"/>
                        <w:left w:val="none" w:sz="0" w:space="0" w:color="auto"/>
                        <w:bottom w:val="none" w:sz="0" w:space="0" w:color="auto"/>
                        <w:right w:val="none" w:sz="0" w:space="0" w:color="auto"/>
                      </w:divBdr>
                    </w:div>
                    <w:div w:id="2032489253">
                      <w:marLeft w:val="0"/>
                      <w:marRight w:val="0"/>
                      <w:marTop w:val="0"/>
                      <w:marBottom w:val="0"/>
                      <w:divBdr>
                        <w:top w:val="none" w:sz="0" w:space="0" w:color="auto"/>
                        <w:left w:val="none" w:sz="0" w:space="0" w:color="auto"/>
                        <w:bottom w:val="none" w:sz="0" w:space="0" w:color="auto"/>
                        <w:right w:val="none" w:sz="0" w:space="0" w:color="auto"/>
                      </w:divBdr>
                    </w:div>
                  </w:divsChild>
                </w:div>
                <w:div w:id="1938521204">
                  <w:marLeft w:val="0"/>
                  <w:marRight w:val="0"/>
                  <w:marTop w:val="0"/>
                  <w:marBottom w:val="0"/>
                  <w:divBdr>
                    <w:top w:val="none" w:sz="0" w:space="0" w:color="auto"/>
                    <w:left w:val="none" w:sz="0" w:space="0" w:color="auto"/>
                    <w:bottom w:val="none" w:sz="0" w:space="0" w:color="auto"/>
                    <w:right w:val="none" w:sz="0" w:space="0" w:color="auto"/>
                  </w:divBdr>
                  <w:divsChild>
                    <w:div w:id="787508630">
                      <w:marLeft w:val="0"/>
                      <w:marRight w:val="0"/>
                      <w:marTop w:val="0"/>
                      <w:marBottom w:val="0"/>
                      <w:divBdr>
                        <w:top w:val="none" w:sz="0" w:space="0" w:color="auto"/>
                        <w:left w:val="none" w:sz="0" w:space="0" w:color="auto"/>
                        <w:bottom w:val="none" w:sz="0" w:space="0" w:color="auto"/>
                        <w:right w:val="none" w:sz="0" w:space="0" w:color="auto"/>
                      </w:divBdr>
                    </w:div>
                    <w:div w:id="1049574183">
                      <w:marLeft w:val="0"/>
                      <w:marRight w:val="0"/>
                      <w:marTop w:val="0"/>
                      <w:marBottom w:val="0"/>
                      <w:divBdr>
                        <w:top w:val="none" w:sz="0" w:space="0" w:color="auto"/>
                        <w:left w:val="none" w:sz="0" w:space="0" w:color="auto"/>
                        <w:bottom w:val="none" w:sz="0" w:space="0" w:color="auto"/>
                        <w:right w:val="none" w:sz="0" w:space="0" w:color="auto"/>
                      </w:divBdr>
                    </w:div>
                    <w:div w:id="17579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7251">
          <w:marLeft w:val="0"/>
          <w:marRight w:val="0"/>
          <w:marTop w:val="0"/>
          <w:marBottom w:val="0"/>
          <w:divBdr>
            <w:top w:val="none" w:sz="0" w:space="0" w:color="auto"/>
            <w:left w:val="none" w:sz="0" w:space="0" w:color="auto"/>
            <w:bottom w:val="none" w:sz="0" w:space="0" w:color="auto"/>
            <w:right w:val="none" w:sz="0" w:space="0" w:color="auto"/>
          </w:divBdr>
        </w:div>
        <w:div w:id="1296792500">
          <w:marLeft w:val="0"/>
          <w:marRight w:val="0"/>
          <w:marTop w:val="0"/>
          <w:marBottom w:val="0"/>
          <w:divBdr>
            <w:top w:val="none" w:sz="0" w:space="0" w:color="auto"/>
            <w:left w:val="none" w:sz="0" w:space="0" w:color="auto"/>
            <w:bottom w:val="none" w:sz="0" w:space="0" w:color="auto"/>
            <w:right w:val="none" w:sz="0" w:space="0" w:color="auto"/>
          </w:divBdr>
        </w:div>
        <w:div w:id="1446580934">
          <w:marLeft w:val="0"/>
          <w:marRight w:val="0"/>
          <w:marTop w:val="0"/>
          <w:marBottom w:val="0"/>
          <w:divBdr>
            <w:top w:val="none" w:sz="0" w:space="0" w:color="auto"/>
            <w:left w:val="none" w:sz="0" w:space="0" w:color="auto"/>
            <w:bottom w:val="none" w:sz="0" w:space="0" w:color="auto"/>
            <w:right w:val="none" w:sz="0" w:space="0" w:color="auto"/>
          </w:divBdr>
        </w:div>
      </w:divsChild>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0201767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66474667">
      <w:bodyDiv w:val="1"/>
      <w:marLeft w:val="0"/>
      <w:marRight w:val="0"/>
      <w:marTop w:val="0"/>
      <w:marBottom w:val="0"/>
      <w:divBdr>
        <w:top w:val="none" w:sz="0" w:space="0" w:color="auto"/>
        <w:left w:val="none" w:sz="0" w:space="0" w:color="auto"/>
        <w:bottom w:val="none" w:sz="0" w:space="0" w:color="auto"/>
        <w:right w:val="none" w:sz="0" w:space="0" w:color="auto"/>
      </w:divBdr>
      <w:divsChild>
        <w:div w:id="14622157">
          <w:marLeft w:val="0"/>
          <w:marRight w:val="0"/>
          <w:marTop w:val="0"/>
          <w:marBottom w:val="0"/>
          <w:divBdr>
            <w:top w:val="none" w:sz="0" w:space="0" w:color="auto"/>
            <w:left w:val="none" w:sz="0" w:space="0" w:color="auto"/>
            <w:bottom w:val="none" w:sz="0" w:space="0" w:color="auto"/>
            <w:right w:val="none" w:sz="0" w:space="0" w:color="auto"/>
          </w:divBdr>
        </w:div>
        <w:div w:id="278418198">
          <w:marLeft w:val="0"/>
          <w:marRight w:val="0"/>
          <w:marTop w:val="0"/>
          <w:marBottom w:val="0"/>
          <w:divBdr>
            <w:top w:val="none" w:sz="0" w:space="0" w:color="auto"/>
            <w:left w:val="none" w:sz="0" w:space="0" w:color="auto"/>
            <w:bottom w:val="none" w:sz="0" w:space="0" w:color="auto"/>
            <w:right w:val="none" w:sz="0" w:space="0" w:color="auto"/>
          </w:divBdr>
        </w:div>
        <w:div w:id="409036879">
          <w:marLeft w:val="0"/>
          <w:marRight w:val="0"/>
          <w:marTop w:val="0"/>
          <w:marBottom w:val="0"/>
          <w:divBdr>
            <w:top w:val="none" w:sz="0" w:space="0" w:color="auto"/>
            <w:left w:val="none" w:sz="0" w:space="0" w:color="auto"/>
            <w:bottom w:val="none" w:sz="0" w:space="0" w:color="auto"/>
            <w:right w:val="none" w:sz="0" w:space="0" w:color="auto"/>
          </w:divBdr>
        </w:div>
        <w:div w:id="629749601">
          <w:marLeft w:val="0"/>
          <w:marRight w:val="0"/>
          <w:marTop w:val="0"/>
          <w:marBottom w:val="0"/>
          <w:divBdr>
            <w:top w:val="none" w:sz="0" w:space="0" w:color="auto"/>
            <w:left w:val="none" w:sz="0" w:space="0" w:color="auto"/>
            <w:bottom w:val="none" w:sz="0" w:space="0" w:color="auto"/>
            <w:right w:val="none" w:sz="0" w:space="0" w:color="auto"/>
          </w:divBdr>
        </w:div>
        <w:div w:id="727805202">
          <w:marLeft w:val="0"/>
          <w:marRight w:val="0"/>
          <w:marTop w:val="0"/>
          <w:marBottom w:val="0"/>
          <w:divBdr>
            <w:top w:val="none" w:sz="0" w:space="0" w:color="auto"/>
            <w:left w:val="none" w:sz="0" w:space="0" w:color="auto"/>
            <w:bottom w:val="none" w:sz="0" w:space="0" w:color="auto"/>
            <w:right w:val="none" w:sz="0" w:space="0" w:color="auto"/>
          </w:divBdr>
        </w:div>
        <w:div w:id="1169519553">
          <w:marLeft w:val="0"/>
          <w:marRight w:val="0"/>
          <w:marTop w:val="0"/>
          <w:marBottom w:val="0"/>
          <w:divBdr>
            <w:top w:val="none" w:sz="0" w:space="0" w:color="auto"/>
            <w:left w:val="none" w:sz="0" w:space="0" w:color="auto"/>
            <w:bottom w:val="none" w:sz="0" w:space="0" w:color="auto"/>
            <w:right w:val="none" w:sz="0" w:space="0" w:color="auto"/>
          </w:divBdr>
        </w:div>
        <w:div w:id="1314288157">
          <w:marLeft w:val="0"/>
          <w:marRight w:val="0"/>
          <w:marTop w:val="0"/>
          <w:marBottom w:val="0"/>
          <w:divBdr>
            <w:top w:val="none" w:sz="0" w:space="0" w:color="auto"/>
            <w:left w:val="none" w:sz="0" w:space="0" w:color="auto"/>
            <w:bottom w:val="none" w:sz="0" w:space="0" w:color="auto"/>
            <w:right w:val="none" w:sz="0" w:space="0" w:color="auto"/>
          </w:divBdr>
        </w:div>
        <w:div w:id="1359938308">
          <w:marLeft w:val="0"/>
          <w:marRight w:val="0"/>
          <w:marTop w:val="0"/>
          <w:marBottom w:val="0"/>
          <w:divBdr>
            <w:top w:val="none" w:sz="0" w:space="0" w:color="auto"/>
            <w:left w:val="none" w:sz="0" w:space="0" w:color="auto"/>
            <w:bottom w:val="none" w:sz="0" w:space="0" w:color="auto"/>
            <w:right w:val="none" w:sz="0" w:space="0" w:color="auto"/>
          </w:divBdr>
        </w:div>
        <w:div w:id="1372609754">
          <w:marLeft w:val="0"/>
          <w:marRight w:val="0"/>
          <w:marTop w:val="0"/>
          <w:marBottom w:val="0"/>
          <w:divBdr>
            <w:top w:val="none" w:sz="0" w:space="0" w:color="auto"/>
            <w:left w:val="none" w:sz="0" w:space="0" w:color="auto"/>
            <w:bottom w:val="none" w:sz="0" w:space="0" w:color="auto"/>
            <w:right w:val="none" w:sz="0" w:space="0" w:color="auto"/>
          </w:divBdr>
        </w:div>
        <w:div w:id="1375932475">
          <w:marLeft w:val="0"/>
          <w:marRight w:val="0"/>
          <w:marTop w:val="0"/>
          <w:marBottom w:val="0"/>
          <w:divBdr>
            <w:top w:val="none" w:sz="0" w:space="0" w:color="auto"/>
            <w:left w:val="none" w:sz="0" w:space="0" w:color="auto"/>
            <w:bottom w:val="none" w:sz="0" w:space="0" w:color="auto"/>
            <w:right w:val="none" w:sz="0" w:space="0" w:color="auto"/>
          </w:divBdr>
        </w:div>
        <w:div w:id="1662780169">
          <w:marLeft w:val="0"/>
          <w:marRight w:val="0"/>
          <w:marTop w:val="0"/>
          <w:marBottom w:val="0"/>
          <w:divBdr>
            <w:top w:val="none" w:sz="0" w:space="0" w:color="auto"/>
            <w:left w:val="none" w:sz="0" w:space="0" w:color="auto"/>
            <w:bottom w:val="none" w:sz="0" w:space="0" w:color="auto"/>
            <w:right w:val="none" w:sz="0" w:space="0" w:color="auto"/>
          </w:divBdr>
        </w:div>
        <w:div w:id="1803189122">
          <w:marLeft w:val="0"/>
          <w:marRight w:val="0"/>
          <w:marTop w:val="0"/>
          <w:marBottom w:val="0"/>
          <w:divBdr>
            <w:top w:val="none" w:sz="0" w:space="0" w:color="auto"/>
            <w:left w:val="none" w:sz="0" w:space="0" w:color="auto"/>
            <w:bottom w:val="none" w:sz="0" w:space="0" w:color="auto"/>
            <w:right w:val="none" w:sz="0" w:space="0" w:color="auto"/>
          </w:divBdr>
        </w:div>
        <w:div w:id="1822694966">
          <w:marLeft w:val="0"/>
          <w:marRight w:val="0"/>
          <w:marTop w:val="0"/>
          <w:marBottom w:val="0"/>
          <w:divBdr>
            <w:top w:val="none" w:sz="0" w:space="0" w:color="auto"/>
            <w:left w:val="none" w:sz="0" w:space="0" w:color="auto"/>
            <w:bottom w:val="none" w:sz="0" w:space="0" w:color="auto"/>
            <w:right w:val="none" w:sz="0" w:space="0" w:color="auto"/>
          </w:divBdr>
        </w:div>
        <w:div w:id="1948274482">
          <w:marLeft w:val="0"/>
          <w:marRight w:val="0"/>
          <w:marTop w:val="0"/>
          <w:marBottom w:val="0"/>
          <w:divBdr>
            <w:top w:val="none" w:sz="0" w:space="0" w:color="auto"/>
            <w:left w:val="none" w:sz="0" w:space="0" w:color="auto"/>
            <w:bottom w:val="none" w:sz="0" w:space="0" w:color="auto"/>
            <w:right w:val="none" w:sz="0" w:space="0" w:color="auto"/>
          </w:divBdr>
        </w:div>
      </w:divsChild>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05551383">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142351">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37677589">
      <w:bodyDiv w:val="1"/>
      <w:marLeft w:val="0"/>
      <w:marRight w:val="0"/>
      <w:marTop w:val="0"/>
      <w:marBottom w:val="0"/>
      <w:divBdr>
        <w:top w:val="none" w:sz="0" w:space="0" w:color="auto"/>
        <w:left w:val="none" w:sz="0" w:space="0" w:color="auto"/>
        <w:bottom w:val="none" w:sz="0" w:space="0" w:color="auto"/>
        <w:right w:val="none" w:sz="0" w:space="0" w:color="auto"/>
      </w:divBdr>
      <w:divsChild>
        <w:div w:id="675422921">
          <w:marLeft w:val="0"/>
          <w:marRight w:val="0"/>
          <w:marTop w:val="0"/>
          <w:marBottom w:val="0"/>
          <w:divBdr>
            <w:top w:val="none" w:sz="0" w:space="0" w:color="auto"/>
            <w:left w:val="none" w:sz="0" w:space="0" w:color="auto"/>
            <w:bottom w:val="none" w:sz="0" w:space="0" w:color="auto"/>
            <w:right w:val="none" w:sz="0" w:space="0" w:color="auto"/>
          </w:divBdr>
          <w:divsChild>
            <w:div w:id="440880481">
              <w:marLeft w:val="0"/>
              <w:marRight w:val="0"/>
              <w:marTop w:val="0"/>
              <w:marBottom w:val="0"/>
              <w:divBdr>
                <w:top w:val="none" w:sz="0" w:space="0" w:color="auto"/>
                <w:left w:val="none" w:sz="0" w:space="0" w:color="auto"/>
                <w:bottom w:val="none" w:sz="0" w:space="0" w:color="auto"/>
                <w:right w:val="none" w:sz="0" w:space="0" w:color="auto"/>
              </w:divBdr>
            </w:div>
            <w:div w:id="442654884">
              <w:marLeft w:val="0"/>
              <w:marRight w:val="0"/>
              <w:marTop w:val="0"/>
              <w:marBottom w:val="0"/>
              <w:divBdr>
                <w:top w:val="none" w:sz="0" w:space="0" w:color="auto"/>
                <w:left w:val="none" w:sz="0" w:space="0" w:color="auto"/>
                <w:bottom w:val="none" w:sz="0" w:space="0" w:color="auto"/>
                <w:right w:val="none" w:sz="0" w:space="0" w:color="auto"/>
              </w:divBdr>
            </w:div>
            <w:div w:id="557473298">
              <w:marLeft w:val="0"/>
              <w:marRight w:val="0"/>
              <w:marTop w:val="0"/>
              <w:marBottom w:val="0"/>
              <w:divBdr>
                <w:top w:val="none" w:sz="0" w:space="0" w:color="auto"/>
                <w:left w:val="none" w:sz="0" w:space="0" w:color="auto"/>
                <w:bottom w:val="none" w:sz="0" w:space="0" w:color="auto"/>
                <w:right w:val="none" w:sz="0" w:space="0" w:color="auto"/>
              </w:divBdr>
            </w:div>
            <w:div w:id="646788361">
              <w:marLeft w:val="0"/>
              <w:marRight w:val="0"/>
              <w:marTop w:val="0"/>
              <w:marBottom w:val="0"/>
              <w:divBdr>
                <w:top w:val="none" w:sz="0" w:space="0" w:color="auto"/>
                <w:left w:val="none" w:sz="0" w:space="0" w:color="auto"/>
                <w:bottom w:val="none" w:sz="0" w:space="0" w:color="auto"/>
                <w:right w:val="none" w:sz="0" w:space="0" w:color="auto"/>
              </w:divBdr>
            </w:div>
            <w:div w:id="937131178">
              <w:marLeft w:val="0"/>
              <w:marRight w:val="0"/>
              <w:marTop w:val="0"/>
              <w:marBottom w:val="0"/>
              <w:divBdr>
                <w:top w:val="none" w:sz="0" w:space="0" w:color="auto"/>
                <w:left w:val="none" w:sz="0" w:space="0" w:color="auto"/>
                <w:bottom w:val="none" w:sz="0" w:space="0" w:color="auto"/>
                <w:right w:val="none" w:sz="0" w:space="0" w:color="auto"/>
              </w:divBdr>
            </w:div>
            <w:div w:id="1644002139">
              <w:marLeft w:val="0"/>
              <w:marRight w:val="0"/>
              <w:marTop w:val="0"/>
              <w:marBottom w:val="0"/>
              <w:divBdr>
                <w:top w:val="none" w:sz="0" w:space="0" w:color="auto"/>
                <w:left w:val="none" w:sz="0" w:space="0" w:color="auto"/>
                <w:bottom w:val="none" w:sz="0" w:space="0" w:color="auto"/>
                <w:right w:val="none" w:sz="0" w:space="0" w:color="auto"/>
              </w:divBdr>
            </w:div>
            <w:div w:id="1773894708">
              <w:marLeft w:val="0"/>
              <w:marRight w:val="0"/>
              <w:marTop w:val="0"/>
              <w:marBottom w:val="0"/>
              <w:divBdr>
                <w:top w:val="none" w:sz="0" w:space="0" w:color="auto"/>
                <w:left w:val="none" w:sz="0" w:space="0" w:color="auto"/>
                <w:bottom w:val="none" w:sz="0" w:space="0" w:color="auto"/>
                <w:right w:val="none" w:sz="0" w:space="0" w:color="auto"/>
              </w:divBdr>
            </w:div>
            <w:div w:id="1828739465">
              <w:marLeft w:val="0"/>
              <w:marRight w:val="0"/>
              <w:marTop w:val="0"/>
              <w:marBottom w:val="0"/>
              <w:divBdr>
                <w:top w:val="none" w:sz="0" w:space="0" w:color="auto"/>
                <w:left w:val="none" w:sz="0" w:space="0" w:color="auto"/>
                <w:bottom w:val="none" w:sz="0" w:space="0" w:color="auto"/>
                <w:right w:val="none" w:sz="0" w:space="0" w:color="auto"/>
              </w:divBdr>
            </w:div>
            <w:div w:id="1990790671">
              <w:marLeft w:val="0"/>
              <w:marRight w:val="0"/>
              <w:marTop w:val="0"/>
              <w:marBottom w:val="0"/>
              <w:divBdr>
                <w:top w:val="none" w:sz="0" w:space="0" w:color="auto"/>
                <w:left w:val="none" w:sz="0" w:space="0" w:color="auto"/>
                <w:bottom w:val="none" w:sz="0" w:space="0" w:color="auto"/>
                <w:right w:val="none" w:sz="0" w:space="0" w:color="auto"/>
              </w:divBdr>
            </w:div>
            <w:div w:id="2036150338">
              <w:marLeft w:val="0"/>
              <w:marRight w:val="0"/>
              <w:marTop w:val="0"/>
              <w:marBottom w:val="0"/>
              <w:divBdr>
                <w:top w:val="none" w:sz="0" w:space="0" w:color="auto"/>
                <w:left w:val="none" w:sz="0" w:space="0" w:color="auto"/>
                <w:bottom w:val="none" w:sz="0" w:space="0" w:color="auto"/>
                <w:right w:val="none" w:sz="0" w:space="0" w:color="auto"/>
              </w:divBdr>
            </w:div>
            <w:div w:id="2142072878">
              <w:marLeft w:val="0"/>
              <w:marRight w:val="0"/>
              <w:marTop w:val="0"/>
              <w:marBottom w:val="0"/>
              <w:divBdr>
                <w:top w:val="none" w:sz="0" w:space="0" w:color="auto"/>
                <w:left w:val="none" w:sz="0" w:space="0" w:color="auto"/>
                <w:bottom w:val="none" w:sz="0" w:space="0" w:color="auto"/>
                <w:right w:val="none" w:sz="0" w:space="0" w:color="auto"/>
              </w:divBdr>
            </w:div>
          </w:divsChild>
        </w:div>
        <w:div w:id="819422285">
          <w:marLeft w:val="0"/>
          <w:marRight w:val="0"/>
          <w:marTop w:val="0"/>
          <w:marBottom w:val="0"/>
          <w:divBdr>
            <w:top w:val="none" w:sz="0" w:space="0" w:color="auto"/>
            <w:left w:val="none" w:sz="0" w:space="0" w:color="auto"/>
            <w:bottom w:val="none" w:sz="0" w:space="0" w:color="auto"/>
            <w:right w:val="none" w:sz="0" w:space="0" w:color="auto"/>
          </w:divBdr>
        </w:div>
        <w:div w:id="1328358997">
          <w:marLeft w:val="0"/>
          <w:marRight w:val="0"/>
          <w:marTop w:val="0"/>
          <w:marBottom w:val="0"/>
          <w:divBdr>
            <w:top w:val="none" w:sz="0" w:space="0" w:color="auto"/>
            <w:left w:val="none" w:sz="0" w:space="0" w:color="auto"/>
            <w:bottom w:val="none" w:sz="0" w:space="0" w:color="auto"/>
            <w:right w:val="none" w:sz="0" w:space="0" w:color="auto"/>
          </w:divBdr>
        </w:div>
        <w:div w:id="2094277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sac.gov.au/internet/msac/publishing.nsf/Content/Home-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carestatistics.humanservices.gov.au/statistics/mbs_item.j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ihw.gov.au/reports/cancer/cancer-data-in-australia/contents/cancer-summary-data-visualis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internet/msac/publishing.nsf/Content/1618-publi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4475</Words>
  <Characters>25512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29928</CharactersWithSpaces>
  <SharedDoc>false</SharedDoc>
  <HyperlinkBase/>
  <HLinks>
    <vt:vector size="54" baseType="variant">
      <vt:variant>
        <vt:i4>6684716</vt:i4>
      </vt:variant>
      <vt:variant>
        <vt:i4>48</vt:i4>
      </vt:variant>
      <vt:variant>
        <vt:i4>0</vt:i4>
      </vt:variant>
      <vt:variant>
        <vt:i4>5</vt:i4>
      </vt:variant>
      <vt:variant>
        <vt:lpwstr>http://msac.gov.au/internet/msac/publishing.nsf/Content/Home-1</vt:lpwstr>
      </vt:variant>
      <vt:variant>
        <vt:lpwstr/>
      </vt:variant>
      <vt:variant>
        <vt:i4>983161</vt:i4>
      </vt:variant>
      <vt:variant>
        <vt:i4>45</vt:i4>
      </vt:variant>
      <vt:variant>
        <vt:i4>0</vt:i4>
      </vt:variant>
      <vt:variant>
        <vt:i4>5</vt:i4>
      </vt:variant>
      <vt:variant>
        <vt:lpwstr>http://medicarestatistics.humanservices.gov.au/statistics/mbs_item.jsp</vt:lpwstr>
      </vt:variant>
      <vt:variant>
        <vt:lpwstr/>
      </vt:variant>
      <vt:variant>
        <vt:i4>6291513</vt:i4>
      </vt:variant>
      <vt:variant>
        <vt:i4>42</vt:i4>
      </vt:variant>
      <vt:variant>
        <vt:i4>0</vt:i4>
      </vt:variant>
      <vt:variant>
        <vt:i4>5</vt:i4>
      </vt:variant>
      <vt:variant>
        <vt:lpwstr>https://www.aihw.gov.au/reports/cancer/cancer-data-in-australia/contents/cancer-summary-data-visualisation</vt:lpwstr>
      </vt:variant>
      <vt:variant>
        <vt:lpwstr/>
      </vt:variant>
      <vt:variant>
        <vt:i4>2621545</vt:i4>
      </vt:variant>
      <vt:variant>
        <vt:i4>9</vt:i4>
      </vt:variant>
      <vt:variant>
        <vt:i4>0</vt:i4>
      </vt:variant>
      <vt:variant>
        <vt:i4>5</vt:i4>
      </vt:variant>
      <vt:variant>
        <vt:lpwstr>http://www.msac.gov.au/internet/msac/publishing.nsf/Content/1618-public</vt:lpwstr>
      </vt:variant>
      <vt:variant>
        <vt:lpwstr/>
      </vt:variant>
      <vt:variant>
        <vt:i4>3997744</vt:i4>
      </vt:variant>
      <vt:variant>
        <vt:i4>0</vt:i4>
      </vt:variant>
      <vt:variant>
        <vt:i4>0</vt:i4>
      </vt:variant>
      <vt:variant>
        <vt:i4>5</vt:i4>
      </vt:variant>
      <vt:variant>
        <vt:lpwstr>http://www.msac.gov.au/</vt:lpwstr>
      </vt:variant>
      <vt:variant>
        <vt:lpwstr/>
      </vt:variant>
      <vt:variant>
        <vt:i4>5570684</vt:i4>
      </vt:variant>
      <vt:variant>
        <vt:i4>9</vt:i4>
      </vt:variant>
      <vt:variant>
        <vt:i4>0</vt:i4>
      </vt:variant>
      <vt:variant>
        <vt:i4>5</vt:i4>
      </vt:variant>
      <vt:variant>
        <vt:lpwstr>mailto:Vicky.Dong@health.gov.au</vt:lpwstr>
      </vt:variant>
      <vt:variant>
        <vt:lpwstr/>
      </vt:variant>
      <vt:variant>
        <vt:i4>5570684</vt:i4>
      </vt:variant>
      <vt:variant>
        <vt:i4>6</vt:i4>
      </vt:variant>
      <vt:variant>
        <vt:i4>0</vt:i4>
      </vt:variant>
      <vt:variant>
        <vt:i4>5</vt:i4>
      </vt:variant>
      <vt:variant>
        <vt:lpwstr>mailto:Vicky.Dong@health.gov.au</vt:lpwstr>
      </vt:variant>
      <vt:variant>
        <vt:lpwstr/>
      </vt:variant>
      <vt:variant>
        <vt:i4>5570684</vt:i4>
      </vt:variant>
      <vt:variant>
        <vt:i4>3</vt:i4>
      </vt:variant>
      <vt:variant>
        <vt:i4>0</vt:i4>
      </vt:variant>
      <vt:variant>
        <vt:i4>5</vt:i4>
      </vt:variant>
      <vt:variant>
        <vt:lpwstr>mailto:Vicky.Dong@health.gov.au</vt:lpwstr>
      </vt:variant>
      <vt:variant>
        <vt:lpwstr/>
      </vt:variant>
      <vt:variant>
        <vt:i4>5570684</vt:i4>
      </vt:variant>
      <vt:variant>
        <vt:i4>0</vt:i4>
      </vt:variant>
      <vt:variant>
        <vt:i4>0</vt:i4>
      </vt:variant>
      <vt:variant>
        <vt:i4>5</vt:i4>
      </vt:variant>
      <vt:variant>
        <vt:lpwstr>mailto:Vicky.Dong@health.gov.au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2024-06-11T05:48:00Z</dcterms:created>
  <dcterms:modified xsi:type="dcterms:W3CDTF">2024-06-11T05:48:00Z</dcterms:modified>
  <cp:category/>
</cp:coreProperties>
</file>